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Urja Automotive 366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₹50.00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10 July 2026, 08:10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Urja Automotive 366 Private Limited, a Pharma Manufacturing company, has demonstrated a strong financial health with a revenue growth of 22.73% and an EBITDA margin of 19.57%. The risk verdict is LOW, and we recommend APPROVING the loan application. However, we note that the company's leverage ratio is slightly above 1, which may pose a risk. Overall, the company's financial performance and low risk score support a positive credit decision.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Urja Automotive 366 Private Limited is a Pharma Manufacturing company with a strong market position, as evident from its growing revenue and EBITDA. The company operates in a competitive industry, but its financial performance suggests a stable business model. With a CIBIL score of 697, the company has a good credit history.</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revenue growth of 22.73% in the last year</w:t>
              <w:br/>
              <w:t xml:space="preserve">• High EBITDA margin of 19.57%</w:t>
              <w:br/>
              <w:t xml:space="preserve">• Low risk score of 0.2239, indicating a low credit risk</w:t>
              <w:br/>
              <w:t xml:space="preserve">• Good credit history with a CIBIL score of 697</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Leverage ratio slightly above 1, which may pose a risk</w:t>
              <w:br/>
              <w:t xml:space="preserve">• Total debt of 18006204.93, which is relatively high</w:t>
              <w:br/>
              <w:t xml:space="preserve">• DSCR of 2.2674, which is relatively low</w:t>
              <w:br/>
              <w:t xml:space="preserve">• Stress test verdict of CRITICAL, indicating a high risk in worst-case scenarios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Urja Automotive 366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KNTCU8059O</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29KNTCU8059O4ZR</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U21002KA2019PTC162777</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Urja Automotive 366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2019-02-17</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finance@urjaautomotive366privatelimited.in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+91-8174958858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XXXX-XXXX-1415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Karnataka,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0.95</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SYNTHETIC_DEMO</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75472580, 35827324</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2026-07-10T08:09:28.465150+00:00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₹4.22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₹82.70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₹40.83 Lakh</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₹1.80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₹1.69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₹19.81 Lakh</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₹21.61 Lakh</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₹3.40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₹40.83 Lakh</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697</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67.1%</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2.2%</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87</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2.2674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4.1751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1.0656</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19.6%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16.8%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87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0.9%</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₹4.22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₹4.22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₹40.83 Lakh</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₹27.45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10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Urja Automotive 366 Private Limited, with only one news article found. The sentiment of the news is neutral, and there are no major concerns or red flags. However, the lack of news coverage may indicate a relatively low public profile.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Urja Automotive 366 Private Limited has no ongoing litigations, which is a positive indicator of its creditworthiness. The company's MCA status is ACTIVE, and it is not a defaulter, which further supports its credit profile.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Pharma Manufacturing industry is subject to various challenges, including regulatory changes, competition, and supply chain disruptions. However, Urja Automotive 366 Private Limited's financial performance suggests that it is well-positioned to navigate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0.2239</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₹43.28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940</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0.2135</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0.2000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ltv_ratio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0.1685</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0.1675</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years_in_business</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0.0970</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Monitor and manage leverage ratio to ensure it remains below 1</w:t>
              <w:br/>
              <w:t xml:space="preserve">• Maintain a strong EBITDA margin to support debt repayment</w:t>
              <w:br/>
              <w:t xml:space="preserve">• Continue to build a strong credit history to improve CIBIL score</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Urja Automotive 366 Private Limited</w:t>
            </w:r>
          </w:p>
        </w:tc>
        <w:tc>
          <w:tcPr>
            <w:tcW w:type="dxa" w:w="1440"/>
          </w:tcPr>
          <w:p>
            <w:pPr>
              <w:jc w:val="center"/>
            </w:pPr>
            <w:r>
              <w:rPr>
                <w:rFonts w:ascii="Arial" w:hAnsi="Arial"/>
                <w:sz w:val="18"/>
              </w:rPr>
              <w:t xml:space="preserve">₹4.22 Cr</w:t>
            </w:r>
          </w:p>
        </w:tc>
        <w:tc>
          <w:tcPr>
            <w:tcW w:type="dxa" w:w="1440"/>
          </w:tcPr>
          <w:p>
            <w:pPr>
              <w:jc w:val="center"/>
            </w:pPr>
            <w:r>
              <w:rPr>
                <w:rFonts w:ascii="Arial" w:hAnsi="Arial"/>
                <w:sz w:val="18"/>
              </w:rPr>
              <w:t xml:space="preserve">2.2674</w:t>
            </w:r>
          </w:p>
        </w:tc>
        <w:tc>
          <w:tcPr>
            <w:tcW w:type="dxa" w:w="1440"/>
          </w:tcPr>
          <w:p>
            <w:pPr>
              <w:jc w:val="center"/>
            </w:pPr>
            <w:r>
              <w:rPr>
                <w:rFonts w:ascii="Arial" w:hAnsi="Arial"/>
                <w:sz w:val="18"/>
              </w:rPr>
              <w:t xml:space="preserve">4.1751</w:t>
            </w:r>
          </w:p>
        </w:tc>
        <w:tc>
          <w:tcPr>
            <w:tcW w:type="dxa" w:w="1440"/>
          </w:tcPr>
          <w:p>
            <w:pPr>
              <w:jc w:val="center"/>
            </w:pPr>
            <w:r>
              <w:rPr>
                <w:rFonts w:ascii="Arial" w:hAnsi="Arial"/>
                <w:sz w:val="18"/>
              </w:rPr>
              <w:t xml:space="preserve">1.0656</w:t>
            </w:r>
          </w:p>
        </w:tc>
        <w:tc>
          <w:tcPr>
            <w:tcW w:type="dxa" w:w="1440"/>
          </w:tcPr>
          <w:p>
            <w:pPr>
              <w:jc w:val="center"/>
            </w:pPr>
            <w:r>
              <w:rPr>
                <w:rFonts w:ascii="Arial" w:hAnsi="Arial"/>
                <w:sz w:val="18"/>
              </w:rPr>
              <w:t xml:space="preserve">697</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Zenith Solutions 305 Partnership Firm</w:t>
            </w:r>
          </w:p>
        </w:tc>
        <w:tc>
          <w:tcPr>
            <w:tcW w:type="dxa" w:w="1440"/>
          </w:tcPr>
          <w:p>
            <w:pPr>
              <w:jc w:val="center"/>
            </w:pPr>
            <w:r>
              <w:rPr>
                <w:rFonts w:ascii="Arial" w:hAnsi="Arial"/>
                <w:sz w:val="18"/>
              </w:rPr>
              <w:t xml:space="preserve">₹4.21 Cr</w:t>
            </w:r>
          </w:p>
        </w:tc>
        <w:tc>
          <w:tcPr>
            <w:tcW w:type="dxa" w:w="1440"/>
          </w:tcPr>
          <w:p>
            <w:pPr>
              <w:jc w:val="center"/>
            </w:pPr>
            <w:r>
              <w:rPr>
                <w:rFonts w:ascii="Arial" w:hAnsi="Arial"/>
                <w:sz w:val="18"/>
              </w:rPr>
              <w:t xml:space="preserve">1.7878</w:t>
            </w:r>
          </w:p>
        </w:tc>
        <w:tc>
          <w:tcPr>
            <w:tcW w:type="dxa" w:w="1440"/>
          </w:tcPr>
          <w:p>
            <w:pPr>
              <w:jc w:val="center"/>
            </w:pPr>
            <w:r>
              <w:rPr>
                <w:rFonts w:ascii="Arial" w:hAnsi="Arial"/>
                <w:sz w:val="18"/>
              </w:rPr>
              <w:t xml:space="preserve">4.9727</w:t>
            </w:r>
          </w:p>
        </w:tc>
        <w:tc>
          <w:tcPr>
            <w:tcW w:type="dxa" w:w="1440"/>
          </w:tcPr>
          <w:p>
            <w:pPr>
              <w:jc w:val="center"/>
            </w:pPr>
            <w:r>
              <w:rPr>
                <w:rFonts w:ascii="Arial" w:hAnsi="Arial"/>
                <w:sz w:val="18"/>
              </w:rPr>
              <w:t xml:space="preserve">1.0332</w:t>
            </w:r>
          </w:p>
        </w:tc>
        <w:tc>
          <w:tcPr>
            <w:tcW w:type="dxa" w:w="1440"/>
          </w:tcPr>
          <w:p>
            <w:pPr>
              <w:jc w:val="center"/>
            </w:pPr>
            <w:r>
              <w:rPr>
                <w:rFonts w:ascii="Arial" w:hAnsi="Arial"/>
                <w:sz w:val="18"/>
              </w:rPr>
              <w:t xml:space="preserve">743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Textiles 687 Partnership Firm</w:t>
            </w:r>
          </w:p>
        </w:tc>
        <w:tc>
          <w:tcPr>
            <w:tcW w:type="dxa" w:w="1440"/>
          </w:tcPr>
          <w:p>
            <w:pPr>
              <w:jc w:val="center"/>
            </w:pPr>
            <w:r>
              <w:rPr>
                <w:rFonts w:ascii="Arial" w:hAnsi="Arial"/>
                <w:sz w:val="18"/>
              </w:rPr>
              <w:t xml:space="preserve">₹4.21 Cr</w:t>
            </w:r>
          </w:p>
        </w:tc>
        <w:tc>
          <w:tcPr>
            <w:tcW w:type="dxa" w:w="1440"/>
          </w:tcPr>
          <w:p>
            <w:pPr>
              <w:jc w:val="center"/>
            </w:pPr>
            <w:r>
              <w:rPr>
                <w:rFonts w:ascii="Arial" w:hAnsi="Arial"/>
                <w:sz w:val="18"/>
              </w:rPr>
              <w:t xml:space="preserve">1.5714</w:t>
            </w:r>
          </w:p>
        </w:tc>
        <w:tc>
          <w:tcPr>
            <w:tcW w:type="dxa" w:w="1440"/>
          </w:tcPr>
          <w:p>
            <w:pPr>
              <w:jc w:val="center"/>
            </w:pPr>
            <w:r>
              <w:rPr>
                <w:rFonts w:ascii="Arial" w:hAnsi="Arial"/>
                <w:sz w:val="18"/>
              </w:rPr>
              <w:t xml:space="preserve">1.9091</w:t>
            </w:r>
          </w:p>
        </w:tc>
        <w:tc>
          <w:tcPr>
            <w:tcW w:type="dxa" w:w="1440"/>
          </w:tcPr>
          <w:p>
            <w:pPr>
              <w:jc w:val="center"/>
            </w:pPr>
            <w:r>
              <w:rPr>
                <w:rFonts w:ascii="Arial" w:hAnsi="Arial"/>
                <w:sz w:val="18"/>
              </w:rPr>
              <w:t xml:space="preserve">1.2325</w:t>
            </w:r>
          </w:p>
        </w:tc>
        <w:tc>
          <w:tcPr>
            <w:tcW w:type="dxa" w:w="1440"/>
          </w:tcPr>
          <w:p>
            <w:pPr>
              <w:jc w:val="center"/>
            </w:pPr>
            <w:r>
              <w:rPr>
                <w:rFonts w:ascii="Arial" w:hAnsi="Arial"/>
                <w:sz w:val="18"/>
              </w:rPr>
              <w:t xml:space="preserve">703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Surya Pharma 399 Partnership Firm</w:t>
            </w:r>
          </w:p>
        </w:tc>
        <w:tc>
          <w:tcPr>
            <w:tcW w:type="dxa" w:w="1440"/>
          </w:tcPr>
          <w:p>
            <w:pPr>
              <w:jc w:val="center"/>
            </w:pPr>
            <w:r>
              <w:rPr>
                <w:rFonts w:ascii="Arial" w:hAnsi="Arial"/>
                <w:sz w:val="18"/>
              </w:rPr>
              <w:t xml:space="preserve">₹4.20 Cr</w:t>
            </w:r>
          </w:p>
        </w:tc>
        <w:tc>
          <w:tcPr>
            <w:tcW w:type="dxa" w:w="1440"/>
          </w:tcPr>
          <w:p>
            <w:pPr>
              <w:jc w:val="center"/>
            </w:pPr>
            <w:r>
              <w:rPr>
                <w:rFonts w:ascii="Arial" w:hAnsi="Arial"/>
                <w:sz w:val="18"/>
              </w:rPr>
              <w:t xml:space="preserve">1.4288</w:t>
            </w:r>
          </w:p>
        </w:tc>
        <w:tc>
          <w:tcPr>
            <w:tcW w:type="dxa" w:w="1440"/>
          </w:tcPr>
          <w:p>
            <w:pPr>
              <w:jc w:val="center"/>
            </w:pPr>
            <w:r>
              <w:rPr>
                <w:rFonts w:ascii="Arial" w:hAnsi="Arial"/>
                <w:sz w:val="18"/>
              </w:rPr>
              <w:t xml:space="preserve">1.4286</w:t>
            </w:r>
          </w:p>
        </w:tc>
        <w:tc>
          <w:tcPr>
            <w:tcW w:type="dxa" w:w="1440"/>
          </w:tcPr>
          <w:p>
            <w:pPr>
              <w:jc w:val="center"/>
            </w:pPr>
            <w:r>
              <w:rPr>
                <w:rFonts w:ascii="Arial" w:hAnsi="Arial"/>
                <w:sz w:val="18"/>
              </w:rPr>
              <w:t xml:space="preserve">1.6205</w:t>
            </w:r>
          </w:p>
        </w:tc>
        <w:tc>
          <w:tcPr>
            <w:tcW w:type="dxa" w:w="1440"/>
          </w:tcPr>
          <w:p>
            <w:pPr>
              <w:jc w:val="center"/>
            </w:pPr>
            <w:r>
              <w:rPr>
                <w:rFonts w:ascii="Arial" w:hAnsi="Arial"/>
                <w:sz w:val="18"/>
              </w:rPr>
              <w:t xml:space="preserve">685</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Karan Power 647 Partnership Firm</w:t>
            </w:r>
          </w:p>
        </w:tc>
        <w:tc>
          <w:tcPr>
            <w:tcW w:type="dxa" w:w="1440"/>
          </w:tcPr>
          <w:p>
            <w:pPr>
              <w:jc w:val="center"/>
            </w:pPr>
            <w:r>
              <w:rPr>
                <w:rFonts w:ascii="Arial" w:hAnsi="Arial"/>
                <w:sz w:val="18"/>
              </w:rPr>
              <w:t xml:space="preserve">₹4.19 Cr</w:t>
            </w:r>
          </w:p>
        </w:tc>
        <w:tc>
          <w:tcPr>
            <w:tcW w:type="dxa" w:w="1440"/>
          </w:tcPr>
          <w:p>
            <w:pPr>
              <w:jc w:val="center"/>
            </w:pPr>
            <w:r>
              <w:rPr>
                <w:rFonts w:ascii="Arial" w:hAnsi="Arial"/>
                <w:sz w:val="18"/>
              </w:rPr>
              <w:t xml:space="preserve">0.9628</w:t>
            </w:r>
          </w:p>
        </w:tc>
        <w:tc>
          <w:tcPr>
            <w:tcW w:type="dxa" w:w="1440"/>
          </w:tcPr>
          <w:p>
            <w:pPr>
              <w:jc w:val="center"/>
            </w:pPr>
            <w:r>
              <w:rPr>
                <w:rFonts w:ascii="Arial" w:hAnsi="Arial"/>
                <w:sz w:val="18"/>
              </w:rPr>
              <w:t xml:space="preserve">1.4942</w:t>
            </w:r>
          </w:p>
        </w:tc>
        <w:tc>
          <w:tcPr>
            <w:tcW w:type="dxa" w:w="1440"/>
          </w:tcPr>
          <w:p>
            <w:pPr>
              <w:jc w:val="center"/>
            </w:pPr>
            <w:r>
              <w:rPr>
                <w:rFonts w:ascii="Arial" w:hAnsi="Arial"/>
                <w:sz w:val="18"/>
              </w:rPr>
              <w:t xml:space="preserve">1.6331</w:t>
            </w:r>
          </w:p>
        </w:tc>
        <w:tc>
          <w:tcPr>
            <w:tcW w:type="dxa" w:w="1440"/>
          </w:tcPr>
          <w:p>
            <w:pPr>
              <w:jc w:val="center"/>
            </w:pPr>
            <w:r>
              <w:rPr>
                <w:rFonts w:ascii="Arial" w:hAnsi="Arial"/>
                <w:sz w:val="18"/>
              </w:rPr>
              <w:t xml:space="preserve">696</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1.6186</w:t>
            </w:r>
          </w:p>
        </w:tc>
        <w:tc>
          <w:tcPr>
            <w:tcW w:type="dxa" w:w="1440"/>
            <w:shd w:fill="F3F4F6"/>
          </w:tcPr>
          <w:p>
            <w:pPr>
              <w:jc w:val="center"/>
            </w:pPr>
            <w:r>
              <w:rPr>
                <w:rFonts w:ascii="Arial" w:hAnsi="Arial"/>
                <w:b/>
                <w:sz w:val="18"/>
              </w:rPr>
              <w:t xml:space="preserve">2.7830</w:t>
            </w:r>
          </w:p>
        </w:tc>
        <w:tc>
          <w:tcPr>
            <w:tcW w:type="dxa" w:w="1440"/>
            <w:shd w:fill="F3F4F6"/>
          </w:tcPr>
          <w:p>
            <w:pPr>
              <w:jc w:val="center"/>
            </w:pPr>
            <w:r>
              <w:rPr>
                <w:rFonts w:ascii="Arial" w:hAnsi="Arial"/>
                <w:b/>
                <w:sz w:val="18"/>
              </w:rPr>
              <w:t xml:space="preserve">1.2859</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0.0000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1.3570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0.0000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no flips were detected. The model has been trained on a diverse dataset, and the results suggest that the decision is fair and unbiased. However, it is essential to continue monitoring the model's performance to ensure that it remains unbiased and accurate.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with the promoter revealed a strong understanding of the business and its financial performance. The promoter is confident about the company's growth prospects and has a clear plan to manage debt and maintain a strong credit profile. The discussion did not reveal any major concerns or red flags.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