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Surya Infotech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₹24.00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18:59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Surya Infotech Partnership Firm, a real estate company, has a relatively healthy financial profile with a debt service coverage ratio of 1.1799 and an interest coverage ratio of 2.3828. The risk verdict is LOW with a score of 0.2484, and the decision is to APPROVE the loan. However, the company's financial health could be improved with more comprehensive financial data.</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Surya Infotech Partnership Firm operates in the real estate industry, with an unknown market position due to insufficient data. The company's GST status is OK with a minor discrepancy of 1.34%. The firm's business overview is limited due to the lack of available information.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0.2484</w:t>
              <w:br/>
              <w:t xml:space="preserve">• Debt service coverage ratio of 1.1799</w:t>
              <w:br/>
              <w:t xml:space="preserve">• Interest coverage ratio of 2.3828</w:t>
              <w:br/>
              <w:t xml:space="preserve">• No litigations reported</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w:t>
              <w:br/>
              <w:t xml:space="preserve">• Unknown market position</w:t>
              <w:br/>
              <w:t xml:space="preserve">• Minor GST discrepancy of 1.34%</w:t>
              <w:br/>
              <w:t xml:space="preserve">• Leverage of 2.3787</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Surya Infotech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MGEFS0398C</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07MGEFS0398C7Z2</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1.1799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2.3828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2.3787</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25.9%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5.1%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5.4%</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₹31.89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Surya Infotech Partnership Firm, with only one news article found. The sentiment of this news is not specified, and therefore, it is difficult to determine the overall news sentiment.</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Surya Infotech Partnership Firm has no reported litigations, which is a positive indicator of the company's creditworthiness. The lack of litigations suggests that the company has not been involved in any significant legal disputes.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real estate industry is subject to various challenges, including regulatory changes, market fluctuations, and economic downturns. However, the specific headwinds faced by Surya Infotech Partnership Firm are not known due to insufficient data.</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0.2484</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₹20.42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949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0.1522</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0.0606</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0.0495</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0.0025</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0.0025</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comprehensive financial data</w:t>
              <w:br/>
              <w:t xml:space="preserve">• Improve GST compliance</w:t>
              <w:br/>
              <w:t xml:space="preserve">• Reduce leverage</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Delta Chemicals LLP</w:t>
            </w:r>
          </w:p>
        </w:tc>
        <w:tc>
          <w:tcPr>
            <w:tcW w:type="dxa" w:w="1440"/>
          </w:tcPr>
          <w:p>
            <w:pPr>
              <w:jc w:val="center"/>
            </w:pPr>
            <w:r>
              <w:rPr>
                <w:rFonts w:ascii="Arial" w:hAnsi="Arial"/>
                <w:sz w:val="18"/>
              </w:rPr>
              <w:t xml:space="preserve">₹24.74 Lakh</w:t>
            </w:r>
          </w:p>
        </w:tc>
        <w:tc>
          <w:tcPr>
            <w:tcW w:type="dxa" w:w="1440"/>
          </w:tcPr>
          <w:p>
            <w:pPr>
              <w:jc w:val="center"/>
            </w:pPr>
            <w:r>
              <w:rPr>
                <w:rFonts w:ascii="Arial" w:hAnsi="Arial"/>
                <w:sz w:val="18"/>
              </w:rPr>
              <w:t xml:space="preserve">1.2793</w:t>
            </w:r>
          </w:p>
        </w:tc>
        <w:tc>
          <w:tcPr>
            <w:tcW w:type="dxa" w:w="1440"/>
          </w:tcPr>
          <w:p>
            <w:pPr>
              <w:jc w:val="center"/>
            </w:pPr>
            <w:r>
              <w:rPr>
                <w:rFonts w:ascii="Arial" w:hAnsi="Arial"/>
                <w:sz w:val="18"/>
              </w:rPr>
              <w:t xml:space="preserve">1.7369</w:t>
            </w:r>
          </w:p>
        </w:tc>
        <w:tc>
          <w:tcPr>
            <w:tcW w:type="dxa" w:w="1440"/>
          </w:tcPr>
          <w:p>
            <w:pPr>
              <w:jc w:val="center"/>
            </w:pPr>
            <w:r>
              <w:rPr>
                <w:rFonts w:ascii="Arial" w:hAnsi="Arial"/>
                <w:sz w:val="18"/>
              </w:rPr>
              <w:t xml:space="preserve">1.9480</w:t>
            </w:r>
          </w:p>
        </w:tc>
        <w:tc>
          <w:tcPr>
            <w:tcW w:type="dxa" w:w="1440"/>
          </w:tcPr>
          <w:p>
            <w:pPr>
              <w:jc w:val="center"/>
            </w:pPr>
            <w:r>
              <w:rPr>
                <w:rFonts w:ascii="Arial" w:hAnsi="Arial"/>
                <w:sz w:val="18"/>
              </w:rPr>
              <w:t xml:space="preserve">793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Chemicals 186 Private Limited</w:t>
            </w:r>
          </w:p>
        </w:tc>
        <w:tc>
          <w:tcPr>
            <w:tcW w:type="dxa" w:w="1440"/>
          </w:tcPr>
          <w:p>
            <w:pPr>
              <w:jc w:val="center"/>
            </w:pPr>
            <w:r>
              <w:rPr>
                <w:rFonts w:ascii="Arial" w:hAnsi="Arial"/>
                <w:sz w:val="18"/>
              </w:rPr>
              <w:t xml:space="preserve">₹24.77 Lakh</w:t>
            </w:r>
          </w:p>
        </w:tc>
        <w:tc>
          <w:tcPr>
            <w:tcW w:type="dxa" w:w="1440"/>
          </w:tcPr>
          <w:p>
            <w:pPr>
              <w:jc w:val="center"/>
            </w:pPr>
            <w:r>
              <w:rPr>
                <w:rFonts w:ascii="Arial" w:hAnsi="Arial"/>
                <w:sz w:val="18"/>
              </w:rPr>
              <w:t xml:space="preserve">0.6740</w:t>
            </w:r>
          </w:p>
        </w:tc>
        <w:tc>
          <w:tcPr>
            <w:tcW w:type="dxa" w:w="1440"/>
          </w:tcPr>
          <w:p>
            <w:pPr>
              <w:jc w:val="center"/>
            </w:pPr>
            <w:r>
              <w:rPr>
                <w:rFonts w:ascii="Arial" w:hAnsi="Arial"/>
                <w:sz w:val="18"/>
              </w:rPr>
              <w:t xml:space="preserve">1.1640</w:t>
            </w:r>
          </w:p>
        </w:tc>
        <w:tc>
          <w:tcPr>
            <w:tcW w:type="dxa" w:w="1440"/>
          </w:tcPr>
          <w:p>
            <w:pPr>
              <w:jc w:val="center"/>
            </w:pPr>
            <w:r>
              <w:rPr>
                <w:rFonts w:ascii="Arial" w:hAnsi="Arial"/>
                <w:sz w:val="18"/>
              </w:rPr>
              <w:t xml:space="preserve">3.6052</w:t>
            </w:r>
          </w:p>
        </w:tc>
        <w:tc>
          <w:tcPr>
            <w:tcW w:type="dxa" w:w="1440"/>
          </w:tcPr>
          <w:p>
            <w:pPr>
              <w:jc w:val="center"/>
            </w:pPr>
            <w:r>
              <w:rPr>
                <w:rFonts w:ascii="Arial" w:hAnsi="Arial"/>
                <w:sz w:val="18"/>
              </w:rPr>
              <w:t xml:space="preserve">732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Infinity Automotive 363 Private Limited</w:t>
            </w:r>
          </w:p>
        </w:tc>
        <w:tc>
          <w:tcPr>
            <w:tcW w:type="dxa" w:w="1440"/>
          </w:tcPr>
          <w:p>
            <w:pPr>
              <w:jc w:val="center"/>
            </w:pPr>
            <w:r>
              <w:rPr>
                <w:rFonts w:ascii="Arial" w:hAnsi="Arial"/>
                <w:sz w:val="18"/>
              </w:rPr>
              <w:t xml:space="preserve">₹25.61 Lakh</w:t>
            </w:r>
          </w:p>
        </w:tc>
        <w:tc>
          <w:tcPr>
            <w:tcW w:type="dxa" w:w="1440"/>
          </w:tcPr>
          <w:p>
            <w:pPr>
              <w:jc w:val="center"/>
            </w:pPr>
            <w:r>
              <w:rPr>
                <w:rFonts w:ascii="Arial" w:hAnsi="Arial"/>
                <w:sz w:val="18"/>
              </w:rPr>
              <w:t xml:space="preserve">1.1384</w:t>
            </w:r>
          </w:p>
        </w:tc>
        <w:tc>
          <w:tcPr>
            <w:tcW w:type="dxa" w:w="1440"/>
          </w:tcPr>
          <w:p>
            <w:pPr>
              <w:jc w:val="center"/>
            </w:pPr>
            <w:r>
              <w:rPr>
                <w:rFonts w:ascii="Arial" w:hAnsi="Arial"/>
                <w:sz w:val="18"/>
              </w:rPr>
              <w:t xml:space="preserve">0.3465</w:t>
            </w:r>
          </w:p>
        </w:tc>
        <w:tc>
          <w:tcPr>
            <w:tcW w:type="dxa" w:w="1440"/>
          </w:tcPr>
          <w:p>
            <w:pPr>
              <w:jc w:val="center"/>
            </w:pPr>
            <w:r>
              <w:rPr>
                <w:rFonts w:ascii="Arial" w:hAnsi="Arial"/>
                <w:sz w:val="18"/>
              </w:rPr>
              <w:t xml:space="preserve">3.3162</w:t>
            </w:r>
          </w:p>
        </w:tc>
        <w:tc>
          <w:tcPr>
            <w:tcW w:type="dxa" w:w="1440"/>
          </w:tcPr>
          <w:p>
            <w:pPr>
              <w:jc w:val="center"/>
            </w:pPr>
            <w:r>
              <w:rPr>
                <w:rFonts w:ascii="Arial" w:hAnsi="Arial"/>
                <w:sz w:val="18"/>
              </w:rPr>
              <w:t xml:space="preserve">590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Urja Infrastructure Private Limited</w:t>
            </w:r>
          </w:p>
        </w:tc>
        <w:tc>
          <w:tcPr>
            <w:tcW w:type="dxa" w:w="1440"/>
          </w:tcPr>
          <w:p>
            <w:pPr>
              <w:jc w:val="center"/>
            </w:pPr>
            <w:r>
              <w:rPr>
                <w:rFonts w:ascii="Arial" w:hAnsi="Arial"/>
                <w:sz w:val="18"/>
              </w:rPr>
              <w:t xml:space="preserve">₹26.52 Lakh</w:t>
            </w:r>
          </w:p>
        </w:tc>
        <w:tc>
          <w:tcPr>
            <w:tcW w:type="dxa" w:w="1440"/>
          </w:tcPr>
          <w:p>
            <w:pPr>
              <w:jc w:val="center"/>
            </w:pPr>
            <w:r>
              <w:rPr>
                <w:rFonts w:ascii="Arial" w:hAnsi="Arial"/>
                <w:sz w:val="18"/>
              </w:rPr>
              <w:t xml:space="preserve">1.0332</w:t>
            </w:r>
          </w:p>
        </w:tc>
        <w:tc>
          <w:tcPr>
            <w:tcW w:type="dxa" w:w="1440"/>
          </w:tcPr>
          <w:p>
            <w:pPr>
              <w:jc w:val="center"/>
            </w:pPr>
            <w:r>
              <w:rPr>
                <w:rFonts w:ascii="Arial" w:hAnsi="Arial"/>
                <w:sz w:val="18"/>
              </w:rPr>
              <w:t xml:space="preserve">1.6654</w:t>
            </w:r>
          </w:p>
        </w:tc>
        <w:tc>
          <w:tcPr>
            <w:tcW w:type="dxa" w:w="1440"/>
          </w:tcPr>
          <w:p>
            <w:pPr>
              <w:jc w:val="center"/>
            </w:pPr>
            <w:r>
              <w:rPr>
                <w:rFonts w:ascii="Arial" w:hAnsi="Arial"/>
                <w:sz w:val="18"/>
              </w:rPr>
              <w:t xml:space="preserve">3.1123</w:t>
            </w:r>
          </w:p>
        </w:tc>
        <w:tc>
          <w:tcPr>
            <w:tcW w:type="dxa" w:w="1440"/>
          </w:tcPr>
          <w:p>
            <w:pPr>
              <w:jc w:val="center"/>
            </w:pPr>
            <w:r>
              <w:rPr>
                <w:rFonts w:ascii="Arial" w:hAnsi="Arial"/>
                <w:sz w:val="18"/>
              </w:rPr>
              <w:t xml:space="preserve">657</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Radhe Infrastructure Partnership Firm</w:t>
            </w:r>
          </w:p>
        </w:tc>
        <w:tc>
          <w:tcPr>
            <w:tcW w:type="dxa" w:w="1440"/>
          </w:tcPr>
          <w:p>
            <w:pPr>
              <w:jc w:val="center"/>
            </w:pPr>
            <w:r>
              <w:rPr>
                <w:rFonts w:ascii="Arial" w:hAnsi="Arial"/>
                <w:sz w:val="18"/>
              </w:rPr>
              <w:t xml:space="preserve">₹27.27 Lakh</w:t>
            </w:r>
          </w:p>
        </w:tc>
        <w:tc>
          <w:tcPr>
            <w:tcW w:type="dxa" w:w="1440"/>
          </w:tcPr>
          <w:p>
            <w:pPr>
              <w:jc w:val="center"/>
            </w:pPr>
            <w:r>
              <w:rPr>
                <w:rFonts w:ascii="Arial" w:hAnsi="Arial"/>
                <w:sz w:val="18"/>
              </w:rPr>
              <w:t xml:space="preserve">1.1740</w:t>
            </w:r>
          </w:p>
        </w:tc>
        <w:tc>
          <w:tcPr>
            <w:tcW w:type="dxa" w:w="1440"/>
          </w:tcPr>
          <w:p>
            <w:pPr>
              <w:jc w:val="center"/>
            </w:pPr>
            <w:r>
              <w:rPr>
                <w:rFonts w:ascii="Arial" w:hAnsi="Arial"/>
                <w:sz w:val="18"/>
              </w:rPr>
              <w:t xml:space="preserve">1.8717</w:t>
            </w:r>
          </w:p>
        </w:tc>
        <w:tc>
          <w:tcPr>
            <w:tcW w:type="dxa" w:w="1440"/>
          </w:tcPr>
          <w:p>
            <w:pPr>
              <w:jc w:val="center"/>
            </w:pPr>
            <w:r>
              <w:rPr>
                <w:rFonts w:ascii="Arial" w:hAnsi="Arial"/>
                <w:sz w:val="18"/>
              </w:rPr>
              <w:t xml:space="preserve">2.5178</w:t>
            </w:r>
          </w:p>
        </w:tc>
        <w:tc>
          <w:tcPr>
            <w:tcW w:type="dxa" w:w="1440"/>
          </w:tcPr>
          <w:p>
            <w:pPr>
              <w:jc w:val="center"/>
            </w:pPr>
            <w:r>
              <w:rPr>
                <w:rFonts w:ascii="Arial" w:hAnsi="Arial"/>
                <w:sz w:val="18"/>
              </w:rPr>
              <w:t xml:space="preserve">713</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1.1003</w:t>
            </w:r>
          </w:p>
        </w:tc>
        <w:tc>
          <w:tcPr>
            <w:tcW w:type="dxa" w:w="1440"/>
            <w:shd w:fill="F3F4F6"/>
          </w:tcPr>
          <w:p>
            <w:pPr>
              <w:jc w:val="center"/>
            </w:pPr>
            <w:r>
              <w:rPr>
                <w:rFonts w:ascii="Arial" w:hAnsi="Arial"/>
                <w:b/>
                <w:sz w:val="18"/>
              </w:rPr>
              <w:t xml:space="preserve">1.7659</w:t>
            </w:r>
          </w:p>
        </w:tc>
        <w:tc>
          <w:tcPr>
            <w:tcW w:type="dxa" w:w="1440"/>
            <w:shd w:fill="F3F4F6"/>
          </w:tcPr>
          <w:p>
            <w:pPr>
              <w:jc w:val="center"/>
            </w:pPr>
            <w:r>
              <w:rPr>
                <w:rFonts w:ascii="Arial" w:hAnsi="Arial"/>
                <w:b/>
                <w:sz w:val="18"/>
              </w:rPr>
              <w:t xml:space="preserve">2.7162</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been found to be fair and unbiased, with no flips reported. The decision is based on a comprehensive analysis of the available data and is not influenced by any external factors.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There are no personal discussion flags or risk adjustments reported, indicating that the personal discussion did not raise any significant concerns. The discussion findings are limited due to the lack of available information.</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