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Surya Retail 324 Partnership Firm</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₹40.00 Lakh</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10 July 2026, 08:40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Surya Retail 324 Partnership Firm, operating in the Renewable Energy industry, exhibits a moderate financial health with a DSCR of 1.334 and an ICR of 2.8139. However, the leverage ratio of 2.081 and stress test results raise concerns. The risk decision is MANDATORY REVIEW due to stress test failure and forensic alerts. We recommend a thorough review of the company's financials and corrective actions to improve its credit profile.</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Surya Retail 324 Partnership Firm is a partnership firm operating in the Renewable Energy industry, with a revenue of ₹3.84 Cr and an EBITDA of ₹86.52 Lakh. The company has a moderate market position, with a CIBIL score of 784. The firm's industry is growing, with increasing demand for renewable energy sources.</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Strong ICR of 2.8139, indicating a healthy interest coverage</w:t>
              <w:br/>
              <w:t xml:space="preserve">• Moderate DSCR of 1.334, suggesting a reasonable debt service capacity</w:t>
              <w:br/>
              <w:t xml:space="preserve">• Active MCA status and no defaulter history</w:t>
              <w:br/>
              <w:t xml:space="preserve">• Low GST discrepancy percentage of 1.77%</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Leverage ratio of 2.081, indicating a higher debt level</w:t>
              <w:br/>
              <w:t xml:space="preserve">• Stress test failure, with a worst-case DSCR of 0.0</w:t>
              <w:br/>
              <w:t xml:space="preserve">• Forensic alert due to severe turnover divergence or bank statement anomalies</w:t>
              <w:br/>
              <w:t xml:space="preserve">• High-risk band with a risk score of 0.3066</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Surya Retail 324 Partnership Firm</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SHHFS2176C</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33SHHFS2176C1ZB</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N/A</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VALID</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Surya Retail 324 Partnership Firm</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Firm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2019-09-27</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finance@suryaretail324partnershipfirm.in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+91-7884867819</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XXXX-XXXX-1965</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YES</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Tamil Nadu, India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0.95</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NSDL_API_VERIFIED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2025-09-30</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79549326, 54498728</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None</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2026-07-10T08:38:40.644251+00:00</w:t>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r>
              <w:t xml:space="preserve">VERIFIED — All KYC matching completed successfully</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₹3.84 Cr</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₹86.52 Lakh</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₹36.06 Lakh</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₹3.20 Cr</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₹1.54 Cr</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₹30.75 Lakh</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₹38.41 Lakh</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₹2.98 Cr</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₹36.06 Lakh</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784</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57.0%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0.9%</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84</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1.3340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2.8139</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2.0810</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22.5%</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10.7%</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84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1.8%</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WARNING</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₹3.84 Cr</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₹3.84 Cr</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₹36.06 Lakh</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₹16.60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12</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available on Surya Retail 324 Partnership Firm, with only one news article found. The news sentiment is neutral, with no major positive or negative developments reported.</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The company has no reported litigations, indicating a low litigation exposure. This is a positive factor in the company's credit assessment.</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Renewable Energy industry is experiencing growth, driven by increasing demand for clean energy sources. However, the industry is also subject to regulatory changes and technological disruptions, which may impact the company's operations.</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MANDATORY REVIEW</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HIGH</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0.3066</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HIGH</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v2.1_production</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₹32.64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973</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current_ratio</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0.3050</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dscr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0.2623</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revenue_growth_yoy</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0.2526</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icr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0.2459</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leverage</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0.2216</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 Stress Test Failed: Debt service capacity collapses under simulated stress.</w:t>
              <w:br/>
              <w:t xml:space="preserve">• Forensic Alert: Severe turnover divergence or bank statement anomalies.</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Improve debt service capacity by reducing debt or increasing cash flows</w:t>
              <w:br/>
              <w:t xml:space="preserve">• Address forensic alert by rectifying turnover divergence or bank statement anomalies</w:t>
              <w:br/>
              <w:t xml:space="preserve">• Enhance financial reporting and transparency to reduce risk perception</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Ganesh Pharma 428 Partnership Firm</w:t>
            </w:r>
          </w:p>
        </w:tc>
        <w:tc>
          <w:tcPr>
            <w:tcW w:type="dxa" w:w="1440"/>
          </w:tcPr>
          <w:p>
            <w:pPr>
              <w:jc w:val="center"/>
            </w:pPr>
            <w:r>
              <w:rPr>
                <w:rFonts w:ascii="Arial" w:hAnsi="Arial"/>
                <w:sz w:val="18"/>
              </w:rPr>
              <w:t xml:space="preserve">₹3.84 Cr</w:t>
            </w:r>
          </w:p>
        </w:tc>
        <w:tc>
          <w:tcPr>
            <w:tcW w:type="dxa" w:w="1440"/>
          </w:tcPr>
          <w:p>
            <w:pPr>
              <w:jc w:val="center"/>
            </w:pPr>
            <w:r>
              <w:rPr>
                <w:rFonts w:ascii="Arial" w:hAnsi="Arial"/>
                <w:sz w:val="18"/>
              </w:rPr>
              <w:t xml:space="preserve">1.7351</w:t>
            </w:r>
          </w:p>
        </w:tc>
        <w:tc>
          <w:tcPr>
            <w:tcW w:type="dxa" w:w="1440"/>
          </w:tcPr>
          <w:p>
            <w:pPr>
              <w:jc w:val="center"/>
            </w:pPr>
            <w:r>
              <w:rPr>
                <w:rFonts w:ascii="Arial" w:hAnsi="Arial"/>
                <w:sz w:val="18"/>
              </w:rPr>
              <w:t xml:space="preserve">2.2661</w:t>
            </w:r>
          </w:p>
        </w:tc>
        <w:tc>
          <w:tcPr>
            <w:tcW w:type="dxa" w:w="1440"/>
          </w:tcPr>
          <w:p>
            <w:pPr>
              <w:jc w:val="center"/>
            </w:pPr>
            <w:r>
              <w:rPr>
                <w:rFonts w:ascii="Arial" w:hAnsi="Arial"/>
                <w:sz w:val="18"/>
              </w:rPr>
              <w:t xml:space="preserve">2.2292</w:t>
            </w:r>
          </w:p>
        </w:tc>
        <w:tc>
          <w:tcPr>
            <w:tcW w:type="dxa" w:w="1440"/>
          </w:tcPr>
          <w:p>
            <w:pPr>
              <w:jc w:val="center"/>
            </w:pPr>
            <w:r>
              <w:rPr>
                <w:rFonts w:ascii="Arial" w:hAnsi="Arial"/>
                <w:sz w:val="18"/>
              </w:rPr>
              <w:t xml:space="preserve">708</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Apex Foods 457 Private Limited</w:t>
            </w:r>
          </w:p>
        </w:tc>
        <w:tc>
          <w:tcPr>
            <w:tcW w:type="dxa" w:w="1440"/>
          </w:tcPr>
          <w:p>
            <w:pPr>
              <w:jc w:val="center"/>
            </w:pPr>
            <w:r>
              <w:rPr>
                <w:rFonts w:ascii="Arial" w:hAnsi="Arial"/>
                <w:sz w:val="18"/>
              </w:rPr>
              <w:t xml:space="preserve">₹3.84 Cr</w:t>
            </w:r>
          </w:p>
        </w:tc>
        <w:tc>
          <w:tcPr>
            <w:tcW w:type="dxa" w:w="1440"/>
          </w:tcPr>
          <w:p>
            <w:pPr>
              <w:jc w:val="center"/>
            </w:pPr>
            <w:r>
              <w:rPr>
                <w:rFonts w:ascii="Arial" w:hAnsi="Arial"/>
                <w:sz w:val="18"/>
              </w:rPr>
              <w:t xml:space="preserve">1.8177</w:t>
            </w:r>
          </w:p>
        </w:tc>
        <w:tc>
          <w:tcPr>
            <w:tcW w:type="dxa" w:w="1440"/>
          </w:tcPr>
          <w:p>
            <w:pPr>
              <w:jc w:val="center"/>
            </w:pPr>
            <w:r>
              <w:rPr>
                <w:rFonts w:ascii="Arial" w:hAnsi="Arial"/>
                <w:sz w:val="18"/>
              </w:rPr>
              <w:t xml:space="preserve">3.8338</w:t>
            </w:r>
          </w:p>
        </w:tc>
        <w:tc>
          <w:tcPr>
            <w:tcW w:type="dxa" w:w="1440"/>
          </w:tcPr>
          <w:p>
            <w:pPr>
              <w:jc w:val="center"/>
            </w:pPr>
            <w:r>
              <w:rPr>
                <w:rFonts w:ascii="Arial" w:hAnsi="Arial"/>
                <w:sz w:val="18"/>
              </w:rPr>
              <w:t xml:space="preserve">1.8629</w:t>
            </w:r>
          </w:p>
        </w:tc>
        <w:tc>
          <w:tcPr>
            <w:tcW w:type="dxa" w:w="1440"/>
          </w:tcPr>
          <w:p>
            <w:pPr>
              <w:jc w:val="center"/>
            </w:pPr>
            <w:r>
              <w:rPr>
                <w:rFonts w:ascii="Arial" w:hAnsi="Arial"/>
                <w:sz w:val="18"/>
              </w:rPr>
              <w:t xml:space="preserve">697</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Vidya Foods 230 Private Limited</w:t>
            </w:r>
          </w:p>
        </w:tc>
        <w:tc>
          <w:tcPr>
            <w:tcW w:type="dxa" w:w="1440"/>
          </w:tcPr>
          <w:p>
            <w:pPr>
              <w:jc w:val="center"/>
            </w:pPr>
            <w:r>
              <w:rPr>
                <w:rFonts w:ascii="Arial" w:hAnsi="Arial"/>
                <w:sz w:val="18"/>
              </w:rPr>
              <w:t xml:space="preserve">₹3.84 Cr</w:t>
            </w:r>
          </w:p>
        </w:tc>
        <w:tc>
          <w:tcPr>
            <w:tcW w:type="dxa" w:w="1440"/>
          </w:tcPr>
          <w:p>
            <w:pPr>
              <w:jc w:val="center"/>
            </w:pPr>
            <w:r>
              <w:rPr>
                <w:rFonts w:ascii="Arial" w:hAnsi="Arial"/>
                <w:sz w:val="18"/>
              </w:rPr>
              <w:t xml:space="preserve">1.6142</w:t>
            </w:r>
          </w:p>
        </w:tc>
        <w:tc>
          <w:tcPr>
            <w:tcW w:type="dxa" w:w="1440"/>
          </w:tcPr>
          <w:p>
            <w:pPr>
              <w:jc w:val="center"/>
            </w:pPr>
            <w:r>
              <w:rPr>
                <w:rFonts w:ascii="Arial" w:hAnsi="Arial"/>
                <w:sz w:val="18"/>
              </w:rPr>
              <w:t xml:space="preserve">2.4612</w:t>
            </w:r>
          </w:p>
        </w:tc>
        <w:tc>
          <w:tcPr>
            <w:tcW w:type="dxa" w:w="1440"/>
          </w:tcPr>
          <w:p>
            <w:pPr>
              <w:jc w:val="center"/>
            </w:pPr>
            <w:r>
              <w:rPr>
                <w:rFonts w:ascii="Arial" w:hAnsi="Arial"/>
                <w:sz w:val="18"/>
              </w:rPr>
              <w:t xml:space="preserve">2.1933</w:t>
            </w:r>
          </w:p>
        </w:tc>
        <w:tc>
          <w:tcPr>
            <w:tcW w:type="dxa" w:w="1440"/>
          </w:tcPr>
          <w:p>
            <w:pPr>
              <w:jc w:val="center"/>
            </w:pPr>
            <w:r>
              <w:rPr>
                <w:rFonts w:ascii="Arial" w:hAnsi="Arial"/>
                <w:sz w:val="18"/>
              </w:rPr>
              <w:t xml:space="preserve">697</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Arogya Pharma 575 Partnership Firm</w:t>
            </w:r>
          </w:p>
        </w:tc>
        <w:tc>
          <w:tcPr>
            <w:tcW w:type="dxa" w:w="1440"/>
          </w:tcPr>
          <w:p>
            <w:pPr>
              <w:jc w:val="center"/>
            </w:pPr>
            <w:r>
              <w:rPr>
                <w:rFonts w:ascii="Arial" w:hAnsi="Arial"/>
                <w:sz w:val="18"/>
              </w:rPr>
              <w:t xml:space="preserve">₹3.83 Cr</w:t>
            </w:r>
          </w:p>
        </w:tc>
        <w:tc>
          <w:tcPr>
            <w:tcW w:type="dxa" w:w="1440"/>
          </w:tcPr>
          <w:p>
            <w:pPr>
              <w:jc w:val="center"/>
            </w:pPr>
            <w:r>
              <w:rPr>
                <w:rFonts w:ascii="Arial" w:hAnsi="Arial"/>
                <w:sz w:val="18"/>
              </w:rPr>
              <w:t xml:space="preserve">2.4046</w:t>
            </w:r>
          </w:p>
        </w:tc>
        <w:tc>
          <w:tcPr>
            <w:tcW w:type="dxa" w:w="1440"/>
          </w:tcPr>
          <w:p>
            <w:pPr>
              <w:jc w:val="center"/>
            </w:pPr>
            <w:r>
              <w:rPr>
                <w:rFonts w:ascii="Arial" w:hAnsi="Arial"/>
                <w:sz w:val="18"/>
              </w:rPr>
              <w:t xml:space="preserve">6.5092</w:t>
            </w:r>
          </w:p>
        </w:tc>
        <w:tc>
          <w:tcPr>
            <w:tcW w:type="dxa" w:w="1440"/>
          </w:tcPr>
          <w:p>
            <w:pPr>
              <w:jc w:val="center"/>
            </w:pPr>
            <w:r>
              <w:rPr>
                <w:rFonts w:ascii="Arial" w:hAnsi="Arial"/>
                <w:sz w:val="18"/>
              </w:rPr>
              <w:t xml:space="preserve">1.2296</w:t>
            </w:r>
          </w:p>
        </w:tc>
        <w:tc>
          <w:tcPr>
            <w:tcW w:type="dxa" w:w="1440"/>
          </w:tcPr>
          <w:p>
            <w:pPr>
              <w:jc w:val="center"/>
            </w:pPr>
            <w:r>
              <w:rPr>
                <w:rFonts w:ascii="Arial" w:hAnsi="Arial"/>
                <w:sz w:val="18"/>
              </w:rPr>
              <w:t xml:space="preserve">795</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Vidya Retail 838 Partnership Firm</w:t>
            </w:r>
          </w:p>
        </w:tc>
        <w:tc>
          <w:tcPr>
            <w:tcW w:type="dxa" w:w="1440"/>
          </w:tcPr>
          <w:p>
            <w:pPr>
              <w:jc w:val="center"/>
            </w:pPr>
            <w:r>
              <w:rPr>
                <w:rFonts w:ascii="Arial" w:hAnsi="Arial"/>
                <w:sz w:val="18"/>
              </w:rPr>
              <w:t xml:space="preserve">₹3.82 Cr</w:t>
            </w:r>
          </w:p>
        </w:tc>
        <w:tc>
          <w:tcPr>
            <w:tcW w:type="dxa" w:w="1440"/>
          </w:tcPr>
          <w:p>
            <w:pPr>
              <w:jc w:val="center"/>
            </w:pPr>
            <w:r>
              <w:rPr>
                <w:rFonts w:ascii="Arial" w:hAnsi="Arial"/>
                <w:sz w:val="18"/>
              </w:rPr>
              <w:t xml:space="preserve">1.5758</w:t>
            </w:r>
          </w:p>
        </w:tc>
        <w:tc>
          <w:tcPr>
            <w:tcW w:type="dxa" w:w="1440"/>
          </w:tcPr>
          <w:p>
            <w:pPr>
              <w:jc w:val="center"/>
            </w:pPr>
            <w:r>
              <w:rPr>
                <w:rFonts w:ascii="Arial" w:hAnsi="Arial"/>
                <w:sz w:val="18"/>
              </w:rPr>
              <w:t xml:space="preserve">4.6590</w:t>
            </w:r>
          </w:p>
        </w:tc>
        <w:tc>
          <w:tcPr>
            <w:tcW w:type="dxa" w:w="1440"/>
          </w:tcPr>
          <w:p>
            <w:pPr>
              <w:jc w:val="center"/>
            </w:pPr>
            <w:r>
              <w:rPr>
                <w:rFonts w:ascii="Arial" w:hAnsi="Arial"/>
                <w:sz w:val="18"/>
              </w:rPr>
              <w:t xml:space="preserve">1.6327</w:t>
            </w:r>
          </w:p>
        </w:tc>
        <w:tc>
          <w:tcPr>
            <w:tcW w:type="dxa" w:w="1440"/>
          </w:tcPr>
          <w:p>
            <w:pPr>
              <w:jc w:val="center"/>
            </w:pPr>
            <w:r>
              <w:rPr>
                <w:rFonts w:ascii="Arial" w:hAnsi="Arial"/>
                <w:sz w:val="18"/>
              </w:rPr>
              <w:t xml:space="preserve">739</w:t>
            </w:r>
          </w:p>
        </w:tc>
        <w:tc>
          <w:tcPr>
            <w:tcW w:type="dxa" w:w="1440"/>
          </w:tcPr>
          <w:p>
            <w:pPr>
              <w:jc w:val="center"/>
            </w:pPr>
            <w:r>
              <w:rPr>
                <w:rFonts w:ascii="Arial" w:hAnsi="Arial"/>
                <w:sz w:val="18"/>
              </w:rPr>
              <w:t xml:space="preserve">APPROVED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1.5164</w:t>
            </w:r>
          </w:p>
        </w:tc>
        <w:tc>
          <w:tcPr>
            <w:tcW w:type="dxa" w:w="1440"/>
            <w:shd w:fill="F3F4F6"/>
          </w:tcPr>
          <w:p>
            <w:pPr>
              <w:jc w:val="center"/>
            </w:pPr>
            <w:r>
              <w:rPr>
                <w:rFonts w:ascii="Arial" w:hAnsi="Arial"/>
                <w:b/>
                <w:sz w:val="18"/>
              </w:rPr>
              <w:t xml:space="preserve">2.6760</w:t>
            </w:r>
          </w:p>
        </w:tc>
        <w:tc>
          <w:tcPr>
            <w:tcW w:type="dxa" w:w="1440"/>
            <w:shd w:fill="F3F4F6"/>
          </w:tcPr>
          <w:p>
            <w:pPr>
              <w:jc w:val="center"/>
            </w:pPr>
            <w:r>
              <w:rPr>
                <w:rFonts w:ascii="Arial" w:hAnsi="Arial"/>
                <w:b/>
                <w:sz w:val="18"/>
              </w:rPr>
              <w:t xml:space="preserve">2.1922</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0.0000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CRITICAL</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0.8937</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CRITICAL</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0.0000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CRITICAL</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CRITICAL</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has been tested for bias and has shown no signs of bias, with zero flips. The decision is based on a comprehensive analysis of the company's financials and other relevant factors.</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No personal discussion was conducted; recommend scheduling one before final sign-off.</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