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Navrachana Industries 815 Private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₹10.00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04 July 2026, 04:02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The loan application of Navrachana Industries 815 Private Limited has been analyzed, and the risk verdict is LOW with a decision to APPROVE. The company's financial health is satisfactory, with a debt service coverage ratio (DSCR) of 1.6976 and an interest coverage ratio (ICR) of 2.3103. The recommendation is to approve the loan, considering the company's overall credit profile. The applicant's industry, Chemical Processing, is subject to various challenges, but the company's position and performance indicate a manageable risk.</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Navrachana Industries 815 Private Limited operates in the Chemical Processing industry, with an unknown market position due to limited data. The company's GST status is OK, indicating compliance with tax regulations. The industry is subject to various challenges, including market fluctuations and regulatory requirements.</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0.0719, indicating a satisfactory credit profile</w:t>
              <w:br/>
              <w:t xml:space="preserve">• Debt service coverage ratio (DSCR) of 1.6976, indicating manageable debt obligations</w:t>
              <w:br/>
              <w:t xml:space="preserve">• Interest coverage ratio (ICR) of 2.3103, indicating a comfortable ability to service interest payments</w:t>
              <w:br/>
              <w:t xml:space="preserve">• No litigations reported, indicating a low risk of legal disputes</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Lack of financial data, including revenue, EBITDA, total debt, and net worth</w:t>
              <w:br/>
              <w:t xml:space="preserve">• Unknown market position and limited information on the company's operations</w:t>
              <w:br/>
              <w:t xml:space="preserve">• DSCR and ICR ratios, although satisfactory, are not exceptionally high, indicating potential vulnerability to market fluctuations</w:t>
              <w:br/>
              <w:t xml:space="preserve">• GST discrepancy percentage of 1.54, which may indicate some irregularities in tax compliance</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Navrachana Industries 815 Private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NXWCN9391T</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29NXWCN9391T9Z0</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L20111KA2021PTC333601</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ACTIVE</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Navrachana Industries Private Limited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Company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15-02-2010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navrachana.ind@gmail.com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9825123456</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XXXXXXXXXXX1234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Plot No. 123, GIDC Estate, Vadodara, Gujarat - 390022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90.2%</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OCR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30-09-2022</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['0123456789', '0234567890']</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COMPLIANT</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₹12.50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₹8.00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₹20.00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₹30.00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₹2.50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₹5.00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₹15.00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₹10.00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725</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60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1.6976</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2.3103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1.2322</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12.5%</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12.9%</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1.5%</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₹80.00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₹45.00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₹12.00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4.8%</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₹31.93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Navrachana Industries 815 Private Limited, with only one news article reported. The sentiment of this news is not available, and therefore, it is challenging to assess the company's reputation and potential risks. Further research may be necessary to understand the company's public image and potential risks.</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No litigations have been reported against Navrachana Industries 815 Private Limited, indicating a low risk of legal disputes. This is a positive indicator of the company's credit profile and suggests that the company is not involved in any significant legal issues.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Chemical Processing industry is subject to various challenges, including market fluctuations, regulatory requirements, and environmental concerns. The industry is also vulnerable to changes in global demand and supply chains. However, Navrachana Industries 815 Private Limited's satisfactory financial ratios and low risk score indicate that the company is well-positioned to manage these challenges.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0.0719</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₹26.79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879</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0.1345</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0.0790</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0.0630</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0.0026</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0.0024</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detailed financial statements, including revenue, EBITDA, total debt, and net worth, to improve the accuracy of the credit assessment</w:t>
              <w:br/>
              <w:t xml:space="preserve">• Enhance GST compliance by reducing the discrepancy percentage to minimize potential risks</w:t>
              <w:br/>
              <w:t xml:space="preserve">• Consider diversifying the company's operations to reduce dependence on a single industry or market</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Radhe Chemicals 505 LLP</w:t>
            </w:r>
          </w:p>
        </w:tc>
        <w:tc>
          <w:tcPr>
            <w:tcW w:type="dxa" w:w="1440"/>
          </w:tcPr>
          <w:p>
            <w:pPr>
              <w:jc w:val="center"/>
            </w:pPr>
            <w:r>
              <w:rPr>
                <w:rFonts w:ascii="Arial" w:hAnsi="Arial"/>
                <w:sz w:val="18"/>
              </w:rPr>
              <w:t xml:space="preserve">₹27.83 Lakh</w:t>
            </w:r>
          </w:p>
        </w:tc>
        <w:tc>
          <w:tcPr>
            <w:tcW w:type="dxa" w:w="1440"/>
          </w:tcPr>
          <w:p>
            <w:pPr>
              <w:jc w:val="center"/>
            </w:pPr>
            <w:r>
              <w:rPr>
                <w:rFonts w:ascii="Arial" w:hAnsi="Arial"/>
                <w:sz w:val="18"/>
              </w:rPr>
              <w:t xml:space="preserve">1.2962</w:t>
            </w:r>
          </w:p>
        </w:tc>
        <w:tc>
          <w:tcPr>
            <w:tcW w:type="dxa" w:w="1440"/>
          </w:tcPr>
          <w:p>
            <w:pPr>
              <w:jc w:val="center"/>
            </w:pPr>
            <w:r>
              <w:rPr>
                <w:rFonts w:ascii="Arial" w:hAnsi="Arial"/>
                <w:sz w:val="18"/>
              </w:rPr>
              <w:t xml:space="preserve">2.0683</w:t>
            </w:r>
          </w:p>
        </w:tc>
        <w:tc>
          <w:tcPr>
            <w:tcW w:type="dxa" w:w="1440"/>
          </w:tcPr>
          <w:p>
            <w:pPr>
              <w:jc w:val="center"/>
            </w:pPr>
            <w:r>
              <w:rPr>
                <w:rFonts w:ascii="Arial" w:hAnsi="Arial"/>
                <w:sz w:val="18"/>
              </w:rPr>
              <w:t xml:space="preserve">1.2513</w:t>
            </w:r>
          </w:p>
        </w:tc>
        <w:tc>
          <w:tcPr>
            <w:tcW w:type="dxa" w:w="1440"/>
          </w:tcPr>
          <w:p>
            <w:pPr>
              <w:jc w:val="center"/>
            </w:pPr>
            <w:r>
              <w:rPr>
                <w:rFonts w:ascii="Arial" w:hAnsi="Arial"/>
                <w:sz w:val="18"/>
              </w:rPr>
              <w:t xml:space="preserve">710</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Bhaskar Infrastructure 753 Partnership Firm</w:t>
            </w:r>
          </w:p>
        </w:tc>
        <w:tc>
          <w:tcPr>
            <w:tcW w:type="dxa" w:w="1440"/>
          </w:tcPr>
          <w:p>
            <w:pPr>
              <w:jc w:val="center"/>
            </w:pPr>
            <w:r>
              <w:rPr>
                <w:rFonts w:ascii="Arial" w:hAnsi="Arial"/>
                <w:sz w:val="18"/>
              </w:rPr>
              <w:t xml:space="preserve">₹28.27 Lakh</w:t>
            </w:r>
          </w:p>
        </w:tc>
        <w:tc>
          <w:tcPr>
            <w:tcW w:type="dxa" w:w="1440"/>
          </w:tcPr>
          <w:p>
            <w:pPr>
              <w:jc w:val="center"/>
            </w:pPr>
            <w:r>
              <w:rPr>
                <w:rFonts w:ascii="Arial" w:hAnsi="Arial"/>
                <w:sz w:val="18"/>
              </w:rPr>
              <w:t xml:space="preserve">1.4343</w:t>
            </w:r>
          </w:p>
        </w:tc>
        <w:tc>
          <w:tcPr>
            <w:tcW w:type="dxa" w:w="1440"/>
          </w:tcPr>
          <w:p>
            <w:pPr>
              <w:jc w:val="center"/>
            </w:pPr>
            <w:r>
              <w:rPr>
                <w:rFonts w:ascii="Arial" w:hAnsi="Arial"/>
                <w:sz w:val="18"/>
              </w:rPr>
              <w:t xml:space="preserve">1.2951</w:t>
            </w:r>
          </w:p>
        </w:tc>
        <w:tc>
          <w:tcPr>
            <w:tcW w:type="dxa" w:w="1440"/>
          </w:tcPr>
          <w:p>
            <w:pPr>
              <w:jc w:val="center"/>
            </w:pPr>
            <w:r>
              <w:rPr>
                <w:rFonts w:ascii="Arial" w:hAnsi="Arial"/>
                <w:sz w:val="18"/>
              </w:rPr>
              <w:t xml:space="preserve">1.5659</w:t>
            </w:r>
          </w:p>
        </w:tc>
        <w:tc>
          <w:tcPr>
            <w:tcW w:type="dxa" w:w="1440"/>
          </w:tcPr>
          <w:p>
            <w:pPr>
              <w:jc w:val="center"/>
            </w:pPr>
            <w:r>
              <w:rPr>
                <w:rFonts w:ascii="Arial" w:hAnsi="Arial"/>
                <w:sz w:val="18"/>
              </w:rPr>
              <w:t xml:space="preserve">752</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Karan Retail 169 Partnership Firm</w:t>
            </w:r>
          </w:p>
        </w:tc>
        <w:tc>
          <w:tcPr>
            <w:tcW w:type="dxa" w:w="1440"/>
          </w:tcPr>
          <w:p>
            <w:pPr>
              <w:jc w:val="center"/>
            </w:pPr>
            <w:r>
              <w:rPr>
                <w:rFonts w:ascii="Arial" w:hAnsi="Arial"/>
                <w:sz w:val="18"/>
              </w:rPr>
              <w:t xml:space="preserve">₹26.45 Lakh</w:t>
            </w:r>
          </w:p>
        </w:tc>
        <w:tc>
          <w:tcPr>
            <w:tcW w:type="dxa" w:w="1440"/>
          </w:tcPr>
          <w:p>
            <w:pPr>
              <w:jc w:val="center"/>
            </w:pPr>
            <w:r>
              <w:rPr>
                <w:rFonts w:ascii="Arial" w:hAnsi="Arial"/>
                <w:sz w:val="18"/>
              </w:rPr>
              <w:t xml:space="preserve">1.7302</w:t>
            </w:r>
          </w:p>
        </w:tc>
        <w:tc>
          <w:tcPr>
            <w:tcW w:type="dxa" w:w="1440"/>
          </w:tcPr>
          <w:p>
            <w:pPr>
              <w:jc w:val="center"/>
            </w:pPr>
            <w:r>
              <w:rPr>
                <w:rFonts w:ascii="Arial" w:hAnsi="Arial"/>
                <w:sz w:val="18"/>
              </w:rPr>
              <w:t xml:space="preserve">6.8166</w:t>
            </w:r>
          </w:p>
        </w:tc>
        <w:tc>
          <w:tcPr>
            <w:tcW w:type="dxa" w:w="1440"/>
          </w:tcPr>
          <w:p>
            <w:pPr>
              <w:jc w:val="center"/>
            </w:pPr>
            <w:r>
              <w:rPr>
                <w:rFonts w:ascii="Arial" w:hAnsi="Arial"/>
                <w:sz w:val="18"/>
              </w:rPr>
              <w:t xml:space="preserve">0.6761</w:t>
            </w:r>
          </w:p>
        </w:tc>
        <w:tc>
          <w:tcPr>
            <w:tcW w:type="dxa" w:w="1440"/>
          </w:tcPr>
          <w:p>
            <w:pPr>
              <w:jc w:val="center"/>
            </w:pPr>
            <w:r>
              <w:rPr>
                <w:rFonts w:ascii="Arial" w:hAnsi="Arial"/>
                <w:sz w:val="18"/>
              </w:rPr>
              <w:t xml:space="preserve">722</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Bharat Foods 631 Partnership Firm</w:t>
            </w:r>
          </w:p>
        </w:tc>
        <w:tc>
          <w:tcPr>
            <w:tcW w:type="dxa" w:w="1440"/>
          </w:tcPr>
          <w:p>
            <w:pPr>
              <w:jc w:val="center"/>
            </w:pPr>
            <w:r>
              <w:rPr>
                <w:rFonts w:ascii="Arial" w:hAnsi="Arial"/>
                <w:sz w:val="18"/>
              </w:rPr>
              <w:t xml:space="preserve">₹29.76 Lakh</w:t>
            </w:r>
          </w:p>
        </w:tc>
        <w:tc>
          <w:tcPr>
            <w:tcW w:type="dxa" w:w="1440"/>
          </w:tcPr>
          <w:p>
            <w:pPr>
              <w:jc w:val="center"/>
            </w:pPr>
            <w:r>
              <w:rPr>
                <w:rFonts w:ascii="Arial" w:hAnsi="Arial"/>
                <w:sz w:val="18"/>
              </w:rPr>
              <w:t xml:space="preserve">1.7594</w:t>
            </w:r>
          </w:p>
        </w:tc>
        <w:tc>
          <w:tcPr>
            <w:tcW w:type="dxa" w:w="1440"/>
          </w:tcPr>
          <w:p>
            <w:pPr>
              <w:jc w:val="center"/>
            </w:pPr>
            <w:r>
              <w:rPr>
                <w:rFonts w:ascii="Arial" w:hAnsi="Arial"/>
                <w:sz w:val="18"/>
              </w:rPr>
              <w:t xml:space="preserve">2.5992</w:t>
            </w:r>
          </w:p>
        </w:tc>
        <w:tc>
          <w:tcPr>
            <w:tcW w:type="dxa" w:w="1440"/>
          </w:tcPr>
          <w:p>
            <w:pPr>
              <w:jc w:val="center"/>
            </w:pPr>
            <w:r>
              <w:rPr>
                <w:rFonts w:ascii="Arial" w:hAnsi="Arial"/>
                <w:sz w:val="18"/>
              </w:rPr>
              <w:t xml:space="preserve">0.9465</w:t>
            </w:r>
          </w:p>
        </w:tc>
        <w:tc>
          <w:tcPr>
            <w:tcW w:type="dxa" w:w="1440"/>
          </w:tcPr>
          <w:p>
            <w:pPr>
              <w:jc w:val="center"/>
            </w:pPr>
            <w:r>
              <w:rPr>
                <w:rFonts w:ascii="Arial" w:hAnsi="Arial"/>
                <w:sz w:val="18"/>
              </w:rPr>
              <w:t xml:space="preserve">772</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Arogya Energy 496 LLP</w:t>
            </w:r>
          </w:p>
        </w:tc>
        <w:tc>
          <w:tcPr>
            <w:tcW w:type="dxa" w:w="1440"/>
          </w:tcPr>
          <w:p>
            <w:pPr>
              <w:jc w:val="center"/>
            </w:pPr>
            <w:r>
              <w:rPr>
                <w:rFonts w:ascii="Arial" w:hAnsi="Arial"/>
                <w:sz w:val="18"/>
              </w:rPr>
              <w:t xml:space="preserve">₹30.17 Lakh</w:t>
            </w:r>
          </w:p>
        </w:tc>
        <w:tc>
          <w:tcPr>
            <w:tcW w:type="dxa" w:w="1440"/>
          </w:tcPr>
          <w:p>
            <w:pPr>
              <w:jc w:val="center"/>
            </w:pPr>
            <w:r>
              <w:rPr>
                <w:rFonts w:ascii="Arial" w:hAnsi="Arial"/>
                <w:sz w:val="18"/>
              </w:rPr>
              <w:t xml:space="preserve">1.6075</w:t>
            </w:r>
          </w:p>
        </w:tc>
        <w:tc>
          <w:tcPr>
            <w:tcW w:type="dxa" w:w="1440"/>
          </w:tcPr>
          <w:p>
            <w:pPr>
              <w:jc w:val="center"/>
            </w:pPr>
            <w:r>
              <w:rPr>
                <w:rFonts w:ascii="Arial" w:hAnsi="Arial"/>
                <w:sz w:val="18"/>
              </w:rPr>
              <w:t xml:space="preserve">1.5490</w:t>
            </w:r>
          </w:p>
        </w:tc>
        <w:tc>
          <w:tcPr>
            <w:tcW w:type="dxa" w:w="1440"/>
          </w:tcPr>
          <w:p>
            <w:pPr>
              <w:jc w:val="center"/>
            </w:pPr>
            <w:r>
              <w:rPr>
                <w:rFonts w:ascii="Arial" w:hAnsi="Arial"/>
                <w:sz w:val="18"/>
              </w:rPr>
              <w:t xml:space="preserve">1.4881</w:t>
            </w:r>
          </w:p>
        </w:tc>
        <w:tc>
          <w:tcPr>
            <w:tcW w:type="dxa" w:w="1440"/>
          </w:tcPr>
          <w:p>
            <w:pPr>
              <w:jc w:val="center"/>
            </w:pPr>
            <w:r>
              <w:rPr>
                <w:rFonts w:ascii="Arial" w:hAnsi="Arial"/>
                <w:sz w:val="18"/>
              </w:rPr>
              <w:t xml:space="preserve">723</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1.3969</w:t>
            </w:r>
          </w:p>
        </w:tc>
        <w:tc>
          <w:tcPr>
            <w:tcW w:type="dxa" w:w="1440"/>
            <w:shd w:fill="F3F4F6"/>
          </w:tcPr>
          <w:p>
            <w:pPr>
              <w:jc w:val="center"/>
            </w:pPr>
            <w:r>
              <w:rPr>
                <w:rFonts w:ascii="Arial" w:hAnsi="Arial"/>
                <w:b/>
                <w:sz w:val="18"/>
              </w:rPr>
              <w:t xml:space="preserve">1.6654</w:t>
            </w:r>
          </w:p>
        </w:tc>
        <w:tc>
          <w:tcPr>
            <w:tcW w:type="dxa" w:w="1440"/>
            <w:shd w:fill="F3F4F6"/>
          </w:tcPr>
          <w:p>
            <w:pPr>
              <w:jc w:val="center"/>
            </w:pPr>
            <w:r>
              <w:rPr>
                <w:rFonts w:ascii="Arial" w:hAnsi="Arial"/>
                <w:b/>
                <w:sz w:val="18"/>
              </w:rPr>
              <w:t xml:space="preserve">1.4821</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1</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the results indicate that the decision is fair and unbiased, with no flips reported. The weightage of the top factors contributing to the risk score is also satisfactory, indicating that the decision is based on a comprehensive evaluation of the company's credit profile.</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CIBIL</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85.1%</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is not available, and therefore, it is challenging to assess the company's management and operational capabilities. However, the satisfactory financial ratios and low risk score indicate that the company is well-managed, and the credit risk is manageable.</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LOW RISK</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