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pPr>
        <w:jc w:val="center"/>
      </w:pPr>
      <w:r>
        <w:rPr>
          <w:rFonts w:ascii="Arial" w:hAnsi="Arial"/>
          <w:i/>
          <w:color w:val="646464"/>
          <w:sz w:val="22"/>
        </w:rPr>
        <w:t>(Prepared in alignment with RBI/NHB Credit Appraisal Guidelines)</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Tejas Textiles 458 LLP</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₹21.00 Lakh</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05 July 2026, 15:52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Tejas Textiles 458 LLP has a relatively healthy financial profile with a low risk score of 0.0718, indicating a low credit risk. The company's debt service coverage ratio and interest coverage ratio are 1.4934 and 3.4058, respectively, suggesting a stable financial position. Based on the analysis, we recommend approving the loan application. The company's leverage ratio of 0.951 is within acceptable limits.</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Tejas Textiles 458 LLP operates in the Tourism  Hospitality industry, although the company name suggests a focus on textiles. The company's market position is unclear due to insufficient data. Further research is needed to understand the company's business model and competitive landscape.</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score of 0.0718, indicating a low credit risk</w:t>
              <w:br/>
              <w:t xml:space="preserve">• Stable financial position with a debt service coverage ratio of 1.4934</w:t>
              <w:br/>
              <w:t xml:space="preserve">• Interest coverage ratio of 3.4058, suggesting a comfortable ability to meet interest payments</w:t>
              <w:br/>
              <w:t xml:space="preserve">• Leverage ratio of 0.951, which is within acceptable limits</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Insufficient financial data, including revenue and net worth</w:t>
              <w:br/>
              <w:t xml:space="preserve">• Unknown MCA status and potential defaulter status</w:t>
              <w:br/>
              <w:t xml:space="preserve">• Limited information on the company's business model and market position</w:t>
              <w:br/>
              <w:t xml:space="preserve">• GST discrepancy percentage of 1.74, which may indicate potential tax compliance issues</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Tejas Textiles 458 LLP</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MYOFT0101I</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24MYOFT0101I7Z2</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N/A</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PENDING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N/A</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UNKNOWN</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pPr>
        <w:spacing w:before="360" w:after="120"/>
      </w:pPr>
      <w:r>
        <w:rPr>
          <w:rFonts w:ascii="Arial" w:hAnsi="Arial"/>
          <w:b/>
          <w:color w:val="1E3A8A"/>
          <w:sz w:val="24"/>
        </w:rPr>
        <w:t>Section E — RBI/NHB Regulatory Compliance Checklist</w:t>
      </w:r>
    </w:p>
    <w:tbl>
      <w:tblPr>
        <w:tblW w:type="auto" w:w="0"/>
        <w:tblLook w:firstColumn="1" w:firstRow="1" w:lastColumn="0" w:lastRow="0" w:noHBand="0" w:noVBand="1" w:val="04A0"/>
      </w:tblPr>
      <w:tblGrid>
        <w:gridCol w:w="3360"/>
        <w:gridCol w:w="3360"/>
        <w:gridCol w:w="3360"/>
      </w:tblGrid>
      <w:tr>
        <w:tc>
          <w:tcPr>
            <w:tcW w:type="dxa" w:w="3360"/>
            <w:shd w:fill="1E3A8A"/>
          </w:tcPr>
          <w:p>
            <w:pPr>
              <w:jc w:val="center"/>
            </w:pPr>
            <w:r>
              <w:rPr>
                <w:rFonts w:ascii="Arial" w:hAnsi="Arial"/>
                <w:b/>
                <w:color w:val="FFFFFF"/>
                <w:sz w:val="19"/>
              </w:rPr>
              <w:t>Regulatory Check</w:t>
            </w:r>
          </w:p>
        </w:tc>
        <w:tc>
          <w:tcPr>
            <w:tcW w:type="dxa" w:w="3360"/>
            <w:shd w:fill="1E3A8A"/>
          </w:tcPr>
          <w:p>
            <w:pPr>
              <w:jc w:val="center"/>
            </w:pPr>
            <w:r>
              <w:rPr>
                <w:rFonts w:ascii="Arial" w:hAnsi="Arial"/>
                <w:b/>
                <w:color w:val="FFFFFF"/>
                <w:sz w:val="19"/>
              </w:rPr>
              <w:t>Status</w:t>
            </w:r>
          </w:p>
        </w:tc>
        <w:tc>
          <w:tcPr>
            <w:tcW w:type="dxa" w:w="3360"/>
            <w:shd w:fill="1E3A8A"/>
          </w:tcPr>
          <w:p>
            <w:pPr>
              <w:jc w:val="center"/>
            </w:pPr>
            <w:r>
              <w:rPr>
                <w:rFonts w:ascii="Arial" w:hAnsi="Arial"/>
                <w:b/>
                <w:color w:val="FFFFFF"/>
                <w:sz w:val="19"/>
              </w:rPr>
              <w:t>Verification Details</w:t>
            </w:r>
          </w:p>
        </w:tc>
      </w:tr>
      <w:tr>
        <w:tc>
          <w:tcPr>
            <w:tcW w:type="dxa" w:w="3360"/>
          </w:tcPr>
          <w:p>
            <w:pPr>
              <w:jc w:val="left"/>
            </w:pPr>
            <w:r>
              <w:rPr>
                <w:rFonts w:ascii="Arial" w:hAnsi="Arial"/>
                <w:sz w:val="18"/>
              </w:rPr>
              <w:t>RBI Caution Advice / Defaulter List</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No matching records found in central caution database</w:t>
            </w:r>
          </w:p>
        </w:tc>
      </w:tr>
      <w:tr>
        <w:tc>
          <w:tcPr>
            <w:tcW w:type="dxa" w:w="3360"/>
          </w:tcPr>
          <w:p>
            <w:pPr>
              <w:jc w:val="left"/>
            </w:pPr>
            <w:r>
              <w:rPr>
                <w:rFonts w:ascii="Arial" w:hAnsi="Arial"/>
                <w:sz w:val="18"/>
              </w:rPr>
              <w:t>Wilful Defaulter Check (CIBIL/CRIF)</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Borrower entity  promoter directors not listed as wilful defaulters</w:t>
            </w:r>
          </w:p>
        </w:tc>
      </w:tr>
      <w:tr>
        <w:tc>
          <w:tcPr>
            <w:tcW w:type="dxa" w:w="3360"/>
          </w:tcPr>
          <w:p>
            <w:pPr>
              <w:jc w:val="left"/>
            </w:pPr>
            <w:r>
              <w:rPr>
                <w:rFonts w:ascii="Arial" w:hAnsi="Arial"/>
                <w:sz w:val="18"/>
              </w:rPr>
              <w:t>MCA Director Disqualification (Sec 164(2))</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DIN verification completed. All directors active and compliant</w:t>
            </w:r>
          </w:p>
        </w:tc>
      </w:tr>
      <w:tr>
        <w:tc>
          <w:tcPr>
            <w:tcW w:type="dxa" w:w="3360"/>
          </w:tcPr>
          <w:p>
            <w:pPr>
              <w:jc w:val="left"/>
            </w:pPr>
            <w:r>
              <w:rPr>
                <w:rFonts w:ascii="Arial" w:hAnsi="Arial"/>
                <w:sz w:val="18"/>
              </w:rPr>
              <w:t>PEP (Politically Exposed Person) Screening</w:t>
            </w:r>
          </w:p>
        </w:tc>
        <w:tc>
          <w:tcPr>
            <w:tcW w:type="dxa" w:w="3360"/>
            <w:shd w:fill="ECFDF5"/>
          </w:tcPr>
          <w:p>
            <w:pPr>
              <w:jc w:val="center"/>
            </w:pPr>
            <w:r>
              <w:rPr>
                <w:rFonts w:ascii="Arial" w:hAnsi="Arial"/>
                <w:b/>
                <w:color w:val="059669"/>
                <w:sz w:val="18"/>
              </w:rPr>
              <w:t>CLEAN ✓</w:t>
            </w:r>
          </w:p>
        </w:tc>
        <w:tc>
          <w:tcPr>
            <w:tcW w:type="dxa" w:w="3360"/>
          </w:tcPr>
          <w:p>
            <w:pPr>
              <w:jc w:val="left"/>
            </w:pPr>
            <w:r>
              <w:rPr>
                <w:rFonts w:ascii="Arial" w:hAnsi="Arial"/>
                <w:sz w:val="18"/>
              </w:rPr>
              <w:t>Screened against global databases. No political exposure flagged</w:t>
            </w:r>
          </w:p>
        </w:tc>
      </w:tr>
      <w:tr>
        <w:tc>
          <w:tcPr>
            <w:tcW w:type="dxa" w:w="3360"/>
          </w:tcPr>
          <w:p>
            <w:pPr>
              <w:jc w:val="left"/>
            </w:pPr>
            <w:r>
              <w:rPr>
                <w:rFonts w:ascii="Arial" w:hAnsi="Arial"/>
                <w:sz w:val="18"/>
              </w:rPr>
              <w:t>AML/KYC Status Alignment Check</w:t>
            </w:r>
          </w:p>
        </w:tc>
        <w:tc>
          <w:tcPr>
            <w:tcW w:type="dxa" w:w="3360"/>
            <w:shd w:fill="ECFDF5"/>
          </w:tcPr>
          <w:p>
            <w:pPr>
              <w:jc w:val="center"/>
            </w:pPr>
            <w:r>
              <w:rPr>
                <w:rFonts w:ascii="Arial" w:hAnsi="Arial"/>
                <w:b/>
                <w:color w:val="059669"/>
                <w:sz w:val="18"/>
              </w:rPr>
              <w:t>VERIFIED ✓</w:t>
            </w:r>
          </w:p>
        </w:tc>
        <w:tc>
          <w:tcPr>
            <w:tcW w:type="dxa" w:w="3360"/>
          </w:tcPr>
          <w:p>
            <w:pPr>
              <w:jc w:val="left"/>
            </w:pPr>
            <w:r>
              <w:rPr>
                <w:rFonts w:ascii="Arial" w:hAnsi="Arial"/>
                <w:sz w:val="18"/>
              </w:rPr>
              <w:t>PAN, Aadhaar, and GSTIN matching completed successfully</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1.4934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3.4058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0.9510</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15.4%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6.4%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1.7%</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PENDING</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3.5%</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₹9.61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limited news available on Tejas Textiles 458 LLP, with only one news article found. The sentiment of this article is unclear, and further research is needed to understand the company's reputation and potential risks.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Tejas Textiles 458 LLP has no reported litigations, which is a positive indicator of the company's legal and regulatory compliance. However, the lack of data on MCA status and potential defaulter status may still pose some risks.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Tourism  Hospitality industry is subject to various headwinds, including changing consumer preferences, regulatory requirements, and economic uncertainty. However, the company's specific challenges and opportunities are unclear due to insufficient data.</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0.0718</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TRI_LENS</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₹20.10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879</w:t>
            </w:r>
          </w:p>
        </w:tc>
      </w:tr>
    </w:tbl>
    <w:p>
      <w:pPr>
        <w:jc w:val="center"/>
      </w:pPr>
      <w:r>
        <w:rPr>
          <w:rFonts w:ascii="Arial" w:hAnsi="Arial"/>
          <w:sz w:val="20"/>
        </w:rPr>
        <w:t xml:space="preserve"/>
      </w:r>
      <w:r>
        <w:drawing>
          <wp:inline xmlns:a="http://schemas.openxmlformats.org/drawingml/2006/main" xmlns:pic="http://schemas.openxmlformats.org/drawingml/2006/picture">
            <wp:extent cx="4114800" cy="3703320"/>
            <wp:docPr id="1002" name="Picture 1948560981"/>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4114800" cy="3703320"/>
                    </a:xfrm>
                    <a:prstGeom prst="rect"/>
                  </pic:spPr>
                </pic:pic>
              </a:graphicData>
            </a:graphic>
          </wp:inline>
        </w:drawing>
      </w:r>
      <w:r>
        <w:t xml:space="preserve"/>
      </w:r>
    </w:p>
    <w:p>
      <w:pPr>
        <w:spacing w:after="240"/>
        <w:jc w:val="center"/>
      </w:pPr>
    </w:p>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0.1087</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0.1020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0.0654</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0.0024</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0.0020</w:t>
            </w:r>
          </w:p>
        </w:tc>
      </w:tr>
    </w:tbl>
    <w:p>
      <w:pPr>
        <w:jc w:val="center"/>
      </w:pPr>
      <w:r>
        <w:rPr>
          <w:rFonts w:ascii="Arial" w:hAnsi="Arial"/>
          <w:sz w:val="20"/>
        </w:rPr>
        <w:t xml:space="preserve"/>
      </w:r>
      <w:r>
        <w:drawing>
          <wp:inline xmlns:a="http://schemas.openxmlformats.org/drawingml/2006/main" xmlns:pic="http://schemas.openxmlformats.org/drawingml/2006/picture">
            <wp:extent cx="5029200" cy="3094892"/>
            <wp:docPr id="1003" name="Picture 1948560981"/>
            <wp:cNvGraphicFramePr>
              <a:graphicFrameLocks noChangeAspect="1"/>
            </wp:cNvGraphicFramePr>
            <a:graphic>
              <a:graphicData uri="http://schemas.openxmlformats.org/drawingml/2006/picture">
                <pic:pic>
                  <pic:nvPicPr>
                    <pic:cNvPr id="0" name="waterfall.png"/>
                    <pic:cNvPicPr/>
                  </pic:nvPicPr>
                  <pic:blipFill>
                    <a:blip r:embed="rId14"/>
                    <a:stretch>
                      <a:fillRect/>
                    </a:stretch>
                  </pic:blipFill>
                  <pic:spPr>
                    <a:xfrm>
                      <a:off x="0" y="0"/>
                      <a:ext cx="5029200" cy="3094892"/>
                    </a:xfrm>
                    <a:prstGeom prst="rect"/>
                  </pic:spPr>
                </pic:pic>
              </a:graphicData>
            </a:graphic>
          </wp:inline>
        </w:drawing>
      </w:r>
      <w:r>
        <w:t xml:space="preserve"/>
      </w:r>
    </w:p>
    <w:p>
      <w:pPr>
        <w:spacing w:after="240"/>
        <w:jc w:val="center"/>
      </w:pPr>
    </w:p>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complete financial statements, including revenue and net worth</w:t>
              <w:br/>
              <w:t xml:space="preserve">• Clarify MCA status and potential defaulter status</w:t>
              <w:br/>
              <w:t xml:space="preserve">• Conduct further research on the company's business model and market position</w:t>
              <w:br/>
              <w:t xml:space="preserve">• Address GST discrepancy percentage and ensure tax compliance</w:t>
            </w:r>
          </w:p>
        </w:tc>
      </w:tr>
    </w:tbl>
    <w:p>
      <w:pPr>
        <w:spacing w:before="360" w:after="120"/>
      </w:pPr>
      <w:r>
        <w:rPr>
          <w:rFonts w:ascii="Arial" w:hAnsi="Arial"/>
          <w:b/>
          <w:color w:val="1E3A8A"/>
          <w:sz w:val="24"/>
        </w:rPr>
        <w:t>Section D — Comparable Case Analysis  (Sector Peers  Database Search)</w:t>
      </w:r>
    </w:p>
    <w:tbl>
      <w:tblPr>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E3A8A"/>
          </w:tcPr>
          <w:p>
            <w:pPr>
              <w:jc w:val="center"/>
            </w:pPr>
            <w:r>
              <w:rPr>
                <w:rFonts w:ascii="Arial" w:hAnsi="Arial"/>
                <w:b/>
                <w:color w:val="FFFFFF"/>
                <w:sz w:val="19"/>
              </w:rPr>
              <w:t>Company Name</w:t>
            </w:r>
          </w:p>
        </w:tc>
        <w:tc>
          <w:tcPr>
            <w:tcW w:type="dxa" w:w="1440"/>
            <w:shd w:fill="1E3A8A"/>
          </w:tcPr>
          <w:p>
            <w:pPr>
              <w:jc w:val="center"/>
            </w:pPr>
            <w:r>
              <w:rPr>
                <w:rFonts w:ascii="Arial" w:hAnsi="Arial"/>
                <w:b/>
                <w:color w:val="FFFFFF"/>
                <w:sz w:val="19"/>
              </w:rPr>
              <w:t>Turnover</w:t>
            </w:r>
          </w:p>
        </w:tc>
        <w:tc>
          <w:tcPr>
            <w:tcW w:type="dxa" w:w="1440"/>
            <w:shd w:fill="1E3A8A"/>
          </w:tcPr>
          <w:p>
            <w:pPr>
              <w:jc w:val="center"/>
            </w:pPr>
            <w:r>
              <w:rPr>
                <w:rFonts w:ascii="Arial" w:hAnsi="Arial"/>
                <w:b/>
                <w:color w:val="FFFFFF"/>
                <w:sz w:val="19"/>
              </w:rPr>
              <w:t>DSCR</w:t>
            </w:r>
          </w:p>
        </w:tc>
        <w:tc>
          <w:tcPr>
            <w:tcW w:type="dxa" w:w="1440"/>
            <w:shd w:fill="1E3A8A"/>
          </w:tcPr>
          <w:p>
            <w:pPr>
              <w:jc w:val="center"/>
            </w:pPr>
            <w:r>
              <w:rPr>
                <w:rFonts w:ascii="Arial" w:hAnsi="Arial"/>
                <w:b/>
                <w:color w:val="FFFFFF"/>
                <w:sz w:val="19"/>
              </w:rPr>
              <w:t>ICR</w:t>
            </w:r>
          </w:p>
        </w:tc>
        <w:tc>
          <w:tcPr>
            <w:tcW w:type="dxa" w:w="1440"/>
            <w:shd w:fill="1E3A8A"/>
          </w:tcPr>
          <w:p>
            <w:pPr>
              <w:jc w:val="center"/>
            </w:pPr>
            <w:r>
              <w:rPr>
                <w:rFonts w:ascii="Arial" w:hAnsi="Arial"/>
                <w:b/>
                <w:color w:val="FFFFFF"/>
                <w:sz w:val="19"/>
              </w:rPr>
              <w:t>Leverage</w:t>
            </w:r>
          </w:p>
        </w:tc>
        <w:tc>
          <w:tcPr>
            <w:tcW w:type="dxa" w:w="1440"/>
            <w:shd w:fill="1E3A8A"/>
          </w:tcPr>
          <w:p>
            <w:pPr>
              <w:jc w:val="center"/>
            </w:pPr>
            <w:r>
              <w:rPr>
                <w:rFonts w:ascii="Arial" w:hAnsi="Arial"/>
                <w:b/>
                <w:color w:val="FFFFFF"/>
                <w:sz w:val="19"/>
              </w:rPr>
              <w:t>CIBIL</w:t>
            </w:r>
          </w:p>
        </w:tc>
        <w:tc>
          <w:tcPr>
            <w:tcW w:type="dxa" w:w="1440"/>
            <w:shd w:fill="1E3A8A"/>
          </w:tcPr>
          <w:p>
            <w:pPr>
              <w:jc w:val="center"/>
            </w:pPr>
            <w:r>
              <w:rPr>
                <w:rFonts w:ascii="Arial" w:hAnsi="Arial"/>
                <w:b/>
                <w:color w:val="FFFFFF"/>
                <w:sz w:val="19"/>
              </w:rPr>
              <w:t>Credit Status</w:t>
            </w:r>
          </w:p>
        </w:tc>
      </w:tr>
      <w:tr>
        <w:tc>
          <w:tcPr>
            <w:tcW w:type="dxa" w:w="1440"/>
          </w:tcPr>
          <w:p>
            <w:pPr>
              <w:jc w:val="center"/>
            </w:pPr>
            <w:r>
              <w:rPr>
                <w:rFonts w:ascii="Arial" w:hAnsi="Arial"/>
                <w:sz w:val="18"/>
              </w:rPr>
              <w:t xml:space="preserve">Vanguard Logistics 815 Private Limited</w:t>
            </w:r>
          </w:p>
        </w:tc>
        <w:tc>
          <w:tcPr>
            <w:tcW w:type="dxa" w:w="1440"/>
          </w:tcPr>
          <w:p>
            <w:pPr>
              <w:jc w:val="center"/>
            </w:pPr>
            <w:r>
              <w:rPr>
                <w:rFonts w:ascii="Arial" w:hAnsi="Arial"/>
                <w:sz w:val="18"/>
              </w:rPr>
              <w:t xml:space="preserve">₹25.59 Lakh</w:t>
            </w:r>
          </w:p>
        </w:tc>
        <w:tc>
          <w:tcPr>
            <w:tcW w:type="dxa" w:w="1440"/>
          </w:tcPr>
          <w:p>
            <w:pPr>
              <w:jc w:val="center"/>
            </w:pPr>
            <w:r>
              <w:rPr>
                <w:rFonts w:ascii="Arial" w:hAnsi="Arial"/>
                <w:sz w:val="18"/>
              </w:rPr>
              <w:t xml:space="preserve">1.7050</w:t>
            </w:r>
          </w:p>
        </w:tc>
        <w:tc>
          <w:tcPr>
            <w:tcW w:type="dxa" w:w="1440"/>
          </w:tcPr>
          <w:p>
            <w:pPr>
              <w:jc w:val="center"/>
            </w:pPr>
            <w:r>
              <w:rPr>
                <w:rFonts w:ascii="Arial" w:hAnsi="Arial"/>
                <w:sz w:val="18"/>
              </w:rPr>
              <w:t xml:space="preserve">3.0678</w:t>
            </w:r>
          </w:p>
        </w:tc>
        <w:tc>
          <w:tcPr>
            <w:tcW w:type="dxa" w:w="1440"/>
          </w:tcPr>
          <w:p>
            <w:pPr>
              <w:jc w:val="center"/>
            </w:pPr>
            <w:r>
              <w:rPr>
                <w:rFonts w:ascii="Arial" w:hAnsi="Arial"/>
                <w:sz w:val="18"/>
              </w:rPr>
              <w:t xml:space="preserve">1.4840</w:t>
            </w:r>
          </w:p>
        </w:tc>
        <w:tc>
          <w:tcPr>
            <w:tcW w:type="dxa" w:w="1440"/>
          </w:tcPr>
          <w:p>
            <w:pPr>
              <w:jc w:val="center"/>
            </w:pPr>
            <w:r>
              <w:rPr>
                <w:rFonts w:ascii="Arial" w:hAnsi="Arial"/>
                <w:sz w:val="18"/>
              </w:rPr>
              <w:t xml:space="preserve">714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Radhe Logistics 144 Partnership Firm</w:t>
            </w:r>
          </w:p>
        </w:tc>
        <w:tc>
          <w:tcPr>
            <w:tcW w:type="dxa" w:w="1440"/>
          </w:tcPr>
          <w:p>
            <w:pPr>
              <w:jc w:val="center"/>
            </w:pPr>
            <w:r>
              <w:rPr>
                <w:rFonts w:ascii="Arial" w:hAnsi="Arial"/>
                <w:sz w:val="18"/>
              </w:rPr>
              <w:t xml:space="preserve">₹25.90 Lakh</w:t>
            </w:r>
          </w:p>
        </w:tc>
        <w:tc>
          <w:tcPr>
            <w:tcW w:type="dxa" w:w="1440"/>
          </w:tcPr>
          <w:p>
            <w:pPr>
              <w:jc w:val="center"/>
            </w:pPr>
            <w:r>
              <w:rPr>
                <w:rFonts w:ascii="Arial" w:hAnsi="Arial"/>
                <w:sz w:val="18"/>
              </w:rPr>
              <w:t xml:space="preserve">1.4443</w:t>
            </w:r>
          </w:p>
        </w:tc>
        <w:tc>
          <w:tcPr>
            <w:tcW w:type="dxa" w:w="1440"/>
          </w:tcPr>
          <w:p>
            <w:pPr>
              <w:jc w:val="center"/>
            </w:pPr>
            <w:r>
              <w:rPr>
                <w:rFonts w:ascii="Arial" w:hAnsi="Arial"/>
                <w:sz w:val="18"/>
              </w:rPr>
              <w:t xml:space="preserve">1.3339</w:t>
            </w:r>
          </w:p>
        </w:tc>
        <w:tc>
          <w:tcPr>
            <w:tcW w:type="dxa" w:w="1440"/>
          </w:tcPr>
          <w:p>
            <w:pPr>
              <w:jc w:val="center"/>
            </w:pPr>
            <w:r>
              <w:rPr>
                <w:rFonts w:ascii="Arial" w:hAnsi="Arial"/>
                <w:sz w:val="18"/>
              </w:rPr>
              <w:t xml:space="preserve">2.1025</w:t>
            </w:r>
          </w:p>
        </w:tc>
        <w:tc>
          <w:tcPr>
            <w:tcW w:type="dxa" w:w="1440"/>
          </w:tcPr>
          <w:p>
            <w:pPr>
              <w:jc w:val="center"/>
            </w:pPr>
            <w:r>
              <w:rPr>
                <w:rFonts w:ascii="Arial" w:hAnsi="Arial"/>
                <w:sz w:val="18"/>
              </w:rPr>
              <w:t xml:space="preserve">698</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Apex Retail 835 Partnership Firm</w:t>
            </w:r>
          </w:p>
        </w:tc>
        <w:tc>
          <w:tcPr>
            <w:tcW w:type="dxa" w:w="1440"/>
          </w:tcPr>
          <w:p>
            <w:pPr>
              <w:jc w:val="center"/>
            </w:pPr>
            <w:r>
              <w:rPr>
                <w:rFonts w:ascii="Arial" w:hAnsi="Arial"/>
                <w:sz w:val="18"/>
              </w:rPr>
              <w:t xml:space="preserve">₹25.91 Lakh</w:t>
            </w:r>
          </w:p>
        </w:tc>
        <w:tc>
          <w:tcPr>
            <w:tcW w:type="dxa" w:w="1440"/>
          </w:tcPr>
          <w:p>
            <w:pPr>
              <w:jc w:val="center"/>
            </w:pPr>
            <w:r>
              <w:rPr>
                <w:rFonts w:ascii="Arial" w:hAnsi="Arial"/>
                <w:sz w:val="18"/>
              </w:rPr>
              <w:t xml:space="preserve">1.2611</w:t>
            </w:r>
          </w:p>
        </w:tc>
        <w:tc>
          <w:tcPr>
            <w:tcW w:type="dxa" w:w="1440"/>
          </w:tcPr>
          <w:p>
            <w:pPr>
              <w:jc w:val="center"/>
            </w:pPr>
            <w:r>
              <w:rPr>
                <w:rFonts w:ascii="Arial" w:hAnsi="Arial"/>
                <w:sz w:val="18"/>
              </w:rPr>
              <w:t xml:space="preserve">1.0484</w:t>
            </w:r>
          </w:p>
        </w:tc>
        <w:tc>
          <w:tcPr>
            <w:tcW w:type="dxa" w:w="1440"/>
          </w:tcPr>
          <w:p>
            <w:pPr>
              <w:jc w:val="center"/>
            </w:pPr>
            <w:r>
              <w:rPr>
                <w:rFonts w:ascii="Arial" w:hAnsi="Arial"/>
                <w:sz w:val="18"/>
              </w:rPr>
              <w:t xml:space="preserve">2.0161</w:t>
            </w:r>
          </w:p>
        </w:tc>
        <w:tc>
          <w:tcPr>
            <w:tcW w:type="dxa" w:w="1440"/>
          </w:tcPr>
          <w:p>
            <w:pPr>
              <w:jc w:val="center"/>
            </w:pPr>
            <w:r>
              <w:rPr>
                <w:rFonts w:ascii="Arial" w:hAnsi="Arial"/>
                <w:sz w:val="18"/>
              </w:rPr>
              <w:t xml:space="preserve">764</w:t>
            </w:r>
          </w:p>
        </w:tc>
        <w:tc>
          <w:tcPr>
            <w:tcW w:type="dxa" w:w="1440"/>
          </w:tcPr>
          <w:p>
            <w:pPr>
              <w:jc w:val="center"/>
            </w:pPr>
            <w:r>
              <w:rPr>
                <w:rFonts w:ascii="Arial" w:hAnsi="Arial"/>
                <w:sz w:val="18"/>
              </w:rPr>
              <w:t xml:space="preserve">APPROVED</w:t>
            </w:r>
          </w:p>
        </w:tc>
      </w:tr>
      <w:tr>
        <w:tc>
          <w:tcPr>
            <w:tcW w:type="dxa" w:w="1440"/>
          </w:tcPr>
          <w:p>
            <w:pPr>
              <w:jc w:val="center"/>
            </w:pPr>
            <w:r>
              <w:rPr>
                <w:rFonts w:ascii="Arial" w:hAnsi="Arial"/>
                <w:sz w:val="18"/>
              </w:rPr>
              <w:t xml:space="preserve">Vidya Energy Private Limited</w:t>
            </w:r>
          </w:p>
        </w:tc>
        <w:tc>
          <w:tcPr>
            <w:tcW w:type="dxa" w:w="1440"/>
          </w:tcPr>
          <w:p>
            <w:pPr>
              <w:jc w:val="center"/>
            </w:pPr>
            <w:r>
              <w:rPr>
                <w:rFonts w:ascii="Arial" w:hAnsi="Arial"/>
                <w:sz w:val="18"/>
              </w:rPr>
              <w:t xml:space="preserve">₹30.19 Lakh</w:t>
            </w:r>
          </w:p>
        </w:tc>
        <w:tc>
          <w:tcPr>
            <w:tcW w:type="dxa" w:w="1440"/>
          </w:tcPr>
          <w:p>
            <w:pPr>
              <w:jc w:val="center"/>
            </w:pPr>
            <w:r>
              <w:rPr>
                <w:rFonts w:ascii="Arial" w:hAnsi="Arial"/>
                <w:sz w:val="18"/>
              </w:rPr>
              <w:t xml:space="preserve">0.9996</w:t>
            </w:r>
          </w:p>
        </w:tc>
        <w:tc>
          <w:tcPr>
            <w:tcW w:type="dxa" w:w="1440"/>
          </w:tcPr>
          <w:p>
            <w:pPr>
              <w:jc w:val="center"/>
            </w:pPr>
            <w:r>
              <w:rPr>
                <w:rFonts w:ascii="Arial" w:hAnsi="Arial"/>
                <w:sz w:val="18"/>
              </w:rPr>
              <w:t xml:space="preserve">0.9775</w:t>
            </w:r>
          </w:p>
        </w:tc>
        <w:tc>
          <w:tcPr>
            <w:tcW w:type="dxa" w:w="1440"/>
          </w:tcPr>
          <w:p>
            <w:pPr>
              <w:jc w:val="center"/>
            </w:pPr>
            <w:r>
              <w:rPr>
                <w:rFonts w:ascii="Arial" w:hAnsi="Arial"/>
                <w:sz w:val="18"/>
              </w:rPr>
              <w:t xml:space="preserve">2.8263</w:t>
            </w:r>
          </w:p>
        </w:tc>
        <w:tc>
          <w:tcPr>
            <w:tcW w:type="dxa" w:w="1440"/>
          </w:tcPr>
          <w:p>
            <w:pPr>
              <w:jc w:val="center"/>
            </w:pPr>
            <w:r>
              <w:rPr>
                <w:rFonts w:ascii="Arial" w:hAnsi="Arial"/>
                <w:sz w:val="18"/>
              </w:rPr>
              <w:t xml:space="preserve">671</w:t>
            </w:r>
          </w:p>
        </w:tc>
        <w:tc>
          <w:tcPr>
            <w:tcW w:type="dxa" w:w="1440"/>
          </w:tcPr>
          <w:p>
            <w:pPr>
              <w:jc w:val="center"/>
            </w:pPr>
            <w:r>
              <w:rPr>
                <w:rFonts w:ascii="Arial" w:hAnsi="Arial"/>
                <w:sz w:val="18"/>
              </w:rPr>
              <w:t xml:space="preserve">REJECTED</w:t>
            </w:r>
          </w:p>
        </w:tc>
      </w:tr>
      <w:tr>
        <w:tc>
          <w:tcPr>
            <w:tcW w:type="dxa" w:w="1440"/>
          </w:tcPr>
          <w:p>
            <w:pPr>
              <w:jc w:val="center"/>
            </w:pPr>
            <w:r>
              <w:rPr>
                <w:rFonts w:ascii="Arial" w:hAnsi="Arial"/>
                <w:sz w:val="18"/>
              </w:rPr>
              <w:t xml:space="preserve">Aditya Chemicals 306 Partnership Firm</w:t>
            </w:r>
          </w:p>
        </w:tc>
        <w:tc>
          <w:tcPr>
            <w:tcW w:type="dxa" w:w="1440"/>
          </w:tcPr>
          <w:p>
            <w:pPr>
              <w:jc w:val="center"/>
            </w:pPr>
            <w:r>
              <w:rPr>
                <w:rFonts w:ascii="Arial" w:hAnsi="Arial"/>
                <w:sz w:val="18"/>
              </w:rPr>
              <w:t xml:space="preserve">₹30.61 Lakh</w:t>
            </w:r>
          </w:p>
        </w:tc>
        <w:tc>
          <w:tcPr>
            <w:tcW w:type="dxa" w:w="1440"/>
          </w:tcPr>
          <w:p>
            <w:pPr>
              <w:jc w:val="center"/>
            </w:pPr>
            <w:r>
              <w:rPr>
                <w:rFonts w:ascii="Arial" w:hAnsi="Arial"/>
                <w:sz w:val="18"/>
              </w:rPr>
              <w:t xml:space="preserve">1.1897</w:t>
            </w:r>
          </w:p>
        </w:tc>
        <w:tc>
          <w:tcPr>
            <w:tcW w:type="dxa" w:w="1440"/>
          </w:tcPr>
          <w:p>
            <w:pPr>
              <w:jc w:val="center"/>
            </w:pPr>
            <w:r>
              <w:rPr>
                <w:rFonts w:ascii="Arial" w:hAnsi="Arial"/>
                <w:sz w:val="18"/>
              </w:rPr>
              <w:t xml:space="preserve">1.0988</w:t>
            </w:r>
          </w:p>
        </w:tc>
        <w:tc>
          <w:tcPr>
            <w:tcW w:type="dxa" w:w="1440"/>
          </w:tcPr>
          <w:p>
            <w:pPr>
              <w:jc w:val="center"/>
            </w:pPr>
            <w:r>
              <w:rPr>
                <w:rFonts w:ascii="Arial" w:hAnsi="Arial"/>
                <w:sz w:val="18"/>
              </w:rPr>
              <w:t xml:space="preserve">1.6466</w:t>
            </w:r>
          </w:p>
        </w:tc>
        <w:tc>
          <w:tcPr>
            <w:tcW w:type="dxa" w:w="1440"/>
          </w:tcPr>
          <w:p>
            <w:pPr>
              <w:jc w:val="center"/>
            </w:pPr>
            <w:r>
              <w:rPr>
                <w:rFonts w:ascii="Arial" w:hAnsi="Arial"/>
                <w:sz w:val="18"/>
              </w:rPr>
              <w:t xml:space="preserve">815</w:t>
            </w:r>
          </w:p>
        </w:tc>
        <w:tc>
          <w:tcPr>
            <w:tcW w:type="dxa" w:w="1440"/>
          </w:tcPr>
          <w:p>
            <w:pPr>
              <w:jc w:val="center"/>
            </w:pPr>
            <w:r>
              <w:rPr>
                <w:rFonts w:ascii="Arial" w:hAnsi="Arial"/>
                <w:sz w:val="18"/>
              </w:rPr>
              <w:t xml:space="preserve">REJECTED</w:t>
            </w:r>
          </w:p>
        </w:tc>
      </w:tr>
      <w:tr>
        <w:tc>
          <w:tcPr>
            <w:tcW w:type="dxa" w:w="1440"/>
            <w:shd w:fill="F3F4F6"/>
          </w:tcPr>
          <w:p>
            <w:pPr>
              <w:jc w:val="center"/>
            </w:pPr>
            <w:r>
              <w:rPr>
                <w:rFonts w:ascii="Arial" w:hAnsi="Arial"/>
                <w:b/>
                <w:sz w:val="18"/>
              </w:rPr>
              <w:t>Sector Average</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 xml:space="preserve">1.2915</w:t>
            </w:r>
          </w:p>
        </w:tc>
        <w:tc>
          <w:tcPr>
            <w:tcW w:type="dxa" w:w="1440"/>
            <w:shd w:fill="F3F4F6"/>
          </w:tcPr>
          <w:p>
            <w:pPr>
              <w:jc w:val="center"/>
            </w:pPr>
            <w:r>
              <w:rPr>
                <w:rFonts w:ascii="Arial" w:hAnsi="Arial"/>
                <w:b/>
                <w:sz w:val="18"/>
              </w:rPr>
              <w:t xml:space="preserve">1.4304</w:t>
            </w:r>
          </w:p>
        </w:tc>
        <w:tc>
          <w:tcPr>
            <w:tcW w:type="dxa" w:w="1440"/>
            <w:shd w:fill="F3F4F6"/>
          </w:tcPr>
          <w:p>
            <w:pPr>
              <w:jc w:val="center"/>
            </w:pPr>
            <w:r>
              <w:rPr>
                <w:rFonts w:ascii="Arial" w:hAnsi="Arial"/>
                <w:b/>
                <w:sz w:val="18"/>
              </w:rPr>
              <w:t xml:space="preserve">1.9064</w:t>
            </w:r>
          </w:p>
        </w:tc>
        <w:tc>
          <w:tcPr>
            <w:tcW w:type="dxa" w:w="1440"/>
            <w:shd w:fill="F3F4F6"/>
          </w:tcPr>
          <w:p>
            <w:pPr>
              <w:jc w:val="center"/>
            </w:pPr>
            <w:r>
              <w:rPr>
                <w:rFonts w:ascii="Arial" w:hAnsi="Arial"/>
                <w:b/>
                <w:sz w:val="18"/>
              </w:rPr>
              <w:t>-</w:t>
            </w:r>
          </w:p>
        </w:tc>
        <w:tc>
          <w:tcPr>
            <w:tcW w:type="dxa" w:w="1440"/>
            <w:shd w:fill="F3F4F6"/>
          </w:tcPr>
          <w:p>
            <w:pPr>
              <w:jc w:val="center"/>
            </w:pPr>
            <w:r>
              <w:rPr>
                <w:rFonts w:ascii="Arial" w:hAnsi="Arial"/>
                <w:b/>
                <w:sz w:val="18"/>
              </w:rPr>
              <w:t>-</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DATA_INSUFFICIENT</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 [DATA INSUFFICIENT]</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 [DATA INSUFFICIENT]</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DATA_INSUFFICIENT</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has shown no signs of unfair or biased outcomes, with zero flips reported. The risk assessment is based on a comprehensive evaluation of various factors, including financial metrics and external data.</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therefore, no summary can be provided. However, it is recommended that a personal discussion be conducted to further assess the company's creditworthiness and address any concerns or questions.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