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Kalyani Chemicals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13 June 2026, 19:55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Kalyani Chemicals Partnership Firm has demonstrated a relatively stable financial health with a low risk score of 0.2967, falling under the 'LOW' risk band. The risk decision is 'APPROVE', and we recommend proceeding with the loan application. The company's debt service coverage ratio and interest coverage ratio are satisfactory, indicating a manageable debt burden.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Kalyani Chemicals Partnership Firm operates in the retail trade industry, with an unknown market position due to limited information. The company's GST status is 'OK', indicating compliance with tax regulations. However, the lack of financial data and industry benchmarks makes it challenging to assess its market standing.</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0.2967, indicating a relatively stable credit profile</w:t>
              <w:br/>
              <w:t xml:space="preserve">• Satisfactory debt service coverage ratio of 1.8983 and interest coverage ratio of 3.2148</w:t>
              <w:br/>
              <w:t xml:space="preserve">• No litigations and a low news count, suggesting a relatively clean public image</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including revenue, EBITDA, total debt, and net worth</w:t>
              <w:br/>
              <w:t xml:space="preserve">• Unknown market position and limited industry benchmarks</w:t>
              <w:br/>
              <w:t xml:space="preserve">• Moderate leverage of 0.8054, which may indicate a higher debt burden</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Kalyani Chemicals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QDZFK6865A</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29QDZFK6865A2ZE</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U24299MH2010PTC204511</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Kalyani Chemicals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01-04-2010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info@kalyanichemicals.com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022-26789012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Industrial Estate, Mumbai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'0234567890']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750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1.8983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3.2148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0.8054</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12.2%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29.6%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1.8%</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7.8%</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₹2.51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Kalyani Chemicals Partnership Firm, with only one news article found. The sentiment of this news is unknown, and further research is required to assess the company's public image. The low news count may indicate a relatively quiet public presence.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NO PENDING LITIGATIONS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retail trade industry is subject to various challenges, including intense competition, changing consumer preferences, and regulatory requirements. However, the impact of these headwinds on Kalyani Chemicals Partnership Firm is unknown due to limited information. Further research is required to assess the company's resilience to industry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0.2967</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XGBOOST</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₹32.06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969</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-3.2107</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-2.6161</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-0.3132</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-0.0728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-0.0468</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detailed financial statements, including revenue, EBITDA, total debt, and net worth</w:t>
              <w:br/>
              <w:t xml:space="preserve">• Conduct market research to assess the company's market position and industry benchmarks</w:t>
              <w:br/>
              <w:t xml:space="preserve">• Monitor and manage leverage to ensure a healthy debt-to-equity ratio</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unfairness, with zero flips. The risk score and decision are based on a comprehensive analysis of available data, indicating a fair and unbiased assessment. However, the limited data and unknown market position may introduce some uncertainty in the decision-making process.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CIBIL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no flags have been raised. The risk adjustment is zero, indicating no additional risk factors. However, a personal discussion with the applicant may provide valuable insights into the company's operations, management, and growth prospects.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