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>Company: Castrol India Limited</w:t>
      </w:r>
    </w:p>
    <w:p>
      <w:r>
        <w:t>PAN: AAACC4343K | GSTIN: 27AAACC4343K1Z1 | CIN: L23200MH1979PLC021359</w:t>
      </w:r>
    </w:p>
    <w:p>
      <w:r>
        <w:t>Generated: 2026-04-15 20:44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₹5,721.50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₹1,900.30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</w:tbl>
    <w:p>
      <w:r>
        <w:t>DSCR: 1426.8080</w:t>
      </w:r>
    </w:p>
    <w:p>
      <w:r>
        <w:t>ICR: Data pending</w:t>
      </w:r>
    </w:p>
    <w:p>
      <w:r>
        <w:t>Leverage (D/E): Data pending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No significant sector headwinds detected.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0.1736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₹6.72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919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ebitda_margin_normalized: 0.0800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news_sentiment_norm: 0.0250</w:t>
      </w:r>
    </w:p>
    <w:p>
      <w:pPr>
        <w:pStyle w:val="ListBullet"/>
      </w:pPr>
      <w:r>
        <w:t xml:space="preserve">  • dscr_normalized: 0.0000</w:t>
      </w:r>
    </w:p>
    <w:p>
      <w:pPr>
        <w:pStyle w:val="ListBullet"/>
      </w:pPr>
      <w:r>
        <w:t xml:space="preserve">  • leverage_normalized: 0.0000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Worst Case DSCR: 0.0000 → CRITICAL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0.0000</w:t>
      </w:r>
    </w:p>
    <w:p>
      <w:r>
        <w:t>Formula: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