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3366"/>
          <w:sz w:val="36"/>
          <w:szCs w:val="36"/>
        </w:rPr>
        <w:drawing>
          <wp:anchor distT="0" distB="0" distL="114300" distR="114300" simplePos="0" relativeHeight="251658240" behindDoc="1" locked="0" layoutInCell="1" allowOverlap="1" wp14:anchorId="4304C801" wp14:editId="0EE23F04">
            <wp:simplePos x="0" y="0"/>
            <wp:positionH relativeFrom="column">
              <wp:posOffset>5362575</wp:posOffset>
            </wp:positionH>
            <wp:positionV relativeFrom="paragraph">
              <wp:posOffset>13335</wp:posOffset>
            </wp:positionV>
            <wp:extent cx="868921" cy="868045"/>
            <wp:effectExtent l="0" t="0" r="7620" b="8255"/>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723" name="Picture 480927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8921" cy="86804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Zenith Chemicals Private Limited</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₹10.00 Cr</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14 June 2026, 17:01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The loan application of Zenith Chemicals Private Limited has been reviewed, and based on the analysis, the company's financial health is satisfactory with a low risk verdict. The recommendation is to approve the loan. The company's debt service coverage ratio and interest coverage ratio are within acceptable limits, indicating a low risk of default. The overall credit profile of the company is strong, with a low risk score of 0.1423.</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Zenith Chemicals Private Limited is an agro processing company with a satisfactory market position. The company's industry is subject to various challenges, including fluctuations in raw material prices and government regulations. However, the company's financial performance and credit profile indicate a stable business.</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Low risk score of 0.1423, indicating a low probability of default</w:t>
              <w:br/>
              <w:t xml:space="preserve">• Satisfactory debt service coverage ratio of 1.9161, indicating a low risk of default</w:t>
              <w:br/>
              <w:t xml:space="preserve">• Low leverage of 0.9146, indicating a low risk of default</w:t>
              <w:br/>
              <w:t xml:space="preserve">• No major litigations or news indicating a negative impact on the company</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High bank divergence percentage of 3.41, indicating a potential risk</w:t>
              <w:br/>
              <w:t xml:space="preserve">• GST discrepancy percentage of 1.97, indicating a potential risk</w:t>
              <w:br/>
              <w:t xml:space="preserve">• Unknown MCA status, indicating a lack of information</w:t>
              <w:br/>
              <w:t xml:space="preserve">• No major strengths in the company's credit profile, indicating a potential risk</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Zenith Chemicals Private Limited</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TAXCZ7082T</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36TAXCZ7082T4ZX</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L10300TS2023PLC946703</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ACTIVE</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Zenith Chemicals Private Limited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Company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01-01-2010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info@zenithchemicals.com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022-12345678</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XXXX-XXXX-XXXX-1234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Plot No. 123, Industrial Estate, Mumbai - 400001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95.6%</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OCR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30-09-2022</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['1234567890', '2345678901']</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COMPLIANT</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pPr>
              <w:jc w:val="left"/>
            </w:pPr>
            <w:r>
              <w:rPr>
                <w:rFonts w:ascii="Arial" w:hAnsi="Arial"/>
                <w:sz w:val="18"/>
              </w:rPr>
              <w:t>PAN, Aadhaar, and GSTIN matching completed successfully</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₹50.00 Cr</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₹15.00 Cr</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₹8.00 Cr</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₹20.00 Cr</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₹30.00 Cr</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₹2.50 Cr</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₹5.00 Cr</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₹25.00 Cr</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₹10.00 Cr</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750</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60.0%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10.0%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60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1.9161</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4.2503</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0.9146</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17.4%</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20.9%</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2.0%</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MATCH</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₹100.00 Cr</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₹50.00 Cr</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₹15.00 Cr</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3.4%</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₹21.81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on the company, with only one news article found. The sentiment of the news is neutral, indicating no major positive or negative impact on the company. The lack of news indicates a low risk of negative publicity.</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There are no major litigations against the company, with zero litigations found. This indicates a low risk of legal issues affecting the company's credit profile. The company's low litigation risk is a positive indicator of its creditworthiness.</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agro processing industry is subject to various challenges, including fluctuations in raw material prices and government regulations. However, the company's financial performance and credit profile indicate a stable business, with a low risk of default. The industry's challenges do not seem to have a significant impact on the company's creditworthiness.</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LOW</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0.1423</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LOW</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₹26.52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907</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3"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bounce_rate</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0.3477</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bank_divergence_pct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0.1335</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gst_discrepancy_pct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0.0643</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current_ratio</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0.0057</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ebitda_margin</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0.0048</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4"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Improve bank divergence percentage to reduce the risk of default</w:t>
              <w:br/>
              <w:t xml:space="preserve">• Reduce GST discrepancy percentage to reduce the risk of default</w:t>
              <w:br/>
              <w:t xml:space="preserve">• Obtain a satisfactory MCA status to reduce the risk of default</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Shivam Logistics Partnership Firm</w:t>
            </w:r>
          </w:p>
        </w:tc>
        <w:tc>
          <w:tcPr>
            <w:tcW w:type="dxa" w:w="1440"/>
          </w:tcPr>
          <w:p>
            <w:pPr>
              <w:jc w:val="center"/>
            </w:pPr>
            <w:r>
              <w:rPr>
                <w:rFonts w:ascii="Arial" w:hAnsi="Arial"/>
                <w:sz w:val="18"/>
              </w:rPr>
              <w:t xml:space="preserve">₹60.84 Lakh</w:t>
            </w:r>
          </w:p>
        </w:tc>
        <w:tc>
          <w:tcPr>
            <w:tcW w:type="dxa" w:w="1440"/>
          </w:tcPr>
          <w:p>
            <w:pPr>
              <w:jc w:val="center"/>
            </w:pPr>
            <w:r>
              <w:rPr>
                <w:rFonts w:ascii="Arial" w:hAnsi="Arial"/>
                <w:sz w:val="18"/>
              </w:rPr>
              <w:t xml:space="preserve">1.6760</w:t>
            </w:r>
          </w:p>
        </w:tc>
        <w:tc>
          <w:tcPr>
            <w:tcW w:type="dxa" w:w="1440"/>
          </w:tcPr>
          <w:p>
            <w:pPr>
              <w:jc w:val="center"/>
            </w:pPr>
            <w:r>
              <w:rPr>
                <w:rFonts w:ascii="Arial" w:hAnsi="Arial"/>
                <w:sz w:val="18"/>
              </w:rPr>
              <w:t xml:space="preserve">2.0554</w:t>
            </w:r>
          </w:p>
        </w:tc>
        <w:tc>
          <w:tcPr>
            <w:tcW w:type="dxa" w:w="1440"/>
          </w:tcPr>
          <w:p>
            <w:pPr>
              <w:jc w:val="center"/>
            </w:pPr>
            <w:r>
              <w:rPr>
                <w:rFonts w:ascii="Arial" w:hAnsi="Arial"/>
                <w:sz w:val="18"/>
              </w:rPr>
              <w:t xml:space="preserve">1.2422</w:t>
            </w:r>
          </w:p>
        </w:tc>
        <w:tc>
          <w:tcPr>
            <w:tcW w:type="dxa" w:w="1440"/>
          </w:tcPr>
          <w:p>
            <w:pPr>
              <w:jc w:val="center"/>
            </w:pPr>
            <w:r>
              <w:rPr>
                <w:rFonts w:ascii="Arial" w:hAnsi="Arial"/>
                <w:sz w:val="18"/>
              </w:rPr>
              <w:t xml:space="preserve">739</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Shivam Chemicals LLP</w:t>
            </w:r>
          </w:p>
        </w:tc>
        <w:tc>
          <w:tcPr>
            <w:tcW w:type="dxa" w:w="1440"/>
          </w:tcPr>
          <w:p>
            <w:pPr>
              <w:jc w:val="center"/>
            </w:pPr>
            <w:r>
              <w:rPr>
                <w:rFonts w:ascii="Arial" w:hAnsi="Arial"/>
                <w:sz w:val="18"/>
              </w:rPr>
              <w:t xml:space="preserve">₹1.02 Cr</w:t>
            </w:r>
          </w:p>
        </w:tc>
        <w:tc>
          <w:tcPr>
            <w:tcW w:type="dxa" w:w="1440"/>
          </w:tcPr>
          <w:p>
            <w:pPr>
              <w:jc w:val="center"/>
            </w:pPr>
            <w:r>
              <w:rPr>
                <w:rFonts w:ascii="Arial" w:hAnsi="Arial"/>
                <w:sz w:val="18"/>
              </w:rPr>
              <w:t xml:space="preserve">1.8216</w:t>
            </w:r>
          </w:p>
        </w:tc>
        <w:tc>
          <w:tcPr>
            <w:tcW w:type="dxa" w:w="1440"/>
          </w:tcPr>
          <w:p>
            <w:pPr>
              <w:jc w:val="center"/>
            </w:pPr>
            <w:r>
              <w:rPr>
                <w:rFonts w:ascii="Arial" w:hAnsi="Arial"/>
                <w:sz w:val="18"/>
              </w:rPr>
              <w:t xml:space="preserve">2.9286</w:t>
            </w:r>
          </w:p>
        </w:tc>
        <w:tc>
          <w:tcPr>
            <w:tcW w:type="dxa" w:w="1440"/>
          </w:tcPr>
          <w:p>
            <w:pPr>
              <w:jc w:val="center"/>
            </w:pPr>
            <w:r>
              <w:rPr>
                <w:rFonts w:ascii="Arial" w:hAnsi="Arial"/>
                <w:sz w:val="18"/>
              </w:rPr>
              <w:t xml:space="preserve">0.8370</w:t>
            </w:r>
          </w:p>
        </w:tc>
        <w:tc>
          <w:tcPr>
            <w:tcW w:type="dxa" w:w="1440"/>
          </w:tcPr>
          <w:p>
            <w:pPr>
              <w:jc w:val="center"/>
            </w:pPr>
            <w:r>
              <w:rPr>
                <w:rFonts w:ascii="Arial" w:hAnsi="Arial"/>
                <w:sz w:val="18"/>
              </w:rPr>
              <w:t xml:space="preserve">753</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Radhe Enterprises Private Limited</w:t>
            </w:r>
          </w:p>
        </w:tc>
        <w:tc>
          <w:tcPr>
            <w:tcW w:type="dxa" w:w="1440"/>
          </w:tcPr>
          <w:p>
            <w:pPr>
              <w:jc w:val="center"/>
            </w:pPr>
            <w:r>
              <w:rPr>
                <w:rFonts w:ascii="Arial" w:hAnsi="Arial"/>
                <w:sz w:val="18"/>
              </w:rPr>
              <w:t xml:space="preserve">₹1.35 Cr</w:t>
            </w:r>
          </w:p>
        </w:tc>
        <w:tc>
          <w:tcPr>
            <w:tcW w:type="dxa" w:w="1440"/>
          </w:tcPr>
          <w:p>
            <w:pPr>
              <w:jc w:val="center"/>
            </w:pPr>
            <w:r>
              <w:rPr>
                <w:rFonts w:ascii="Arial" w:hAnsi="Arial"/>
                <w:sz w:val="18"/>
              </w:rPr>
              <w:t xml:space="preserve">1.6626</w:t>
            </w:r>
          </w:p>
        </w:tc>
        <w:tc>
          <w:tcPr>
            <w:tcW w:type="dxa" w:w="1440"/>
          </w:tcPr>
          <w:p>
            <w:pPr>
              <w:jc w:val="center"/>
            </w:pPr>
            <w:r>
              <w:rPr>
                <w:rFonts w:ascii="Arial" w:hAnsi="Arial"/>
                <w:sz w:val="18"/>
              </w:rPr>
              <w:t xml:space="preserve">12.1264</w:t>
            </w:r>
          </w:p>
        </w:tc>
        <w:tc>
          <w:tcPr>
            <w:tcW w:type="dxa" w:w="1440"/>
          </w:tcPr>
          <w:p>
            <w:pPr>
              <w:jc w:val="center"/>
            </w:pPr>
            <w:r>
              <w:rPr>
                <w:rFonts w:ascii="Arial" w:hAnsi="Arial"/>
                <w:sz w:val="18"/>
              </w:rPr>
              <w:t xml:space="preserve">0.2881</w:t>
            </w:r>
          </w:p>
        </w:tc>
        <w:tc>
          <w:tcPr>
            <w:tcW w:type="dxa" w:w="1440"/>
          </w:tcPr>
          <w:p>
            <w:pPr>
              <w:jc w:val="center"/>
            </w:pPr>
            <w:r>
              <w:rPr>
                <w:rFonts w:ascii="Arial" w:hAnsi="Arial"/>
                <w:sz w:val="18"/>
              </w:rPr>
              <w:t xml:space="preserve">743</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Delta Enterprises Partnership Firm</w:t>
            </w:r>
          </w:p>
        </w:tc>
        <w:tc>
          <w:tcPr>
            <w:tcW w:type="dxa" w:w="1440"/>
          </w:tcPr>
          <w:p>
            <w:pPr>
              <w:jc w:val="center"/>
            </w:pPr>
            <w:r>
              <w:rPr>
                <w:rFonts w:ascii="Arial" w:hAnsi="Arial"/>
                <w:sz w:val="18"/>
              </w:rPr>
              <w:t xml:space="preserve">₹1.53 Cr</w:t>
            </w:r>
          </w:p>
        </w:tc>
        <w:tc>
          <w:tcPr>
            <w:tcW w:type="dxa" w:w="1440"/>
          </w:tcPr>
          <w:p>
            <w:pPr>
              <w:jc w:val="center"/>
            </w:pPr>
            <w:r>
              <w:rPr>
                <w:rFonts w:ascii="Arial" w:hAnsi="Arial"/>
                <w:sz w:val="18"/>
              </w:rPr>
              <w:t xml:space="preserve">2.4152</w:t>
            </w:r>
          </w:p>
        </w:tc>
        <w:tc>
          <w:tcPr>
            <w:tcW w:type="dxa" w:w="1440"/>
          </w:tcPr>
          <w:p>
            <w:pPr>
              <w:jc w:val="center"/>
            </w:pPr>
            <w:r>
              <w:rPr>
                <w:rFonts w:ascii="Arial" w:hAnsi="Arial"/>
                <w:sz w:val="18"/>
              </w:rPr>
              <w:t xml:space="preserve">4.1097</w:t>
            </w:r>
          </w:p>
        </w:tc>
        <w:tc>
          <w:tcPr>
            <w:tcW w:type="dxa" w:w="1440"/>
          </w:tcPr>
          <w:p>
            <w:pPr>
              <w:jc w:val="center"/>
            </w:pPr>
            <w:r>
              <w:rPr>
                <w:rFonts w:ascii="Arial" w:hAnsi="Arial"/>
                <w:sz w:val="18"/>
              </w:rPr>
              <w:t xml:space="preserve">0.6286</w:t>
            </w:r>
          </w:p>
        </w:tc>
        <w:tc>
          <w:tcPr>
            <w:tcW w:type="dxa" w:w="1440"/>
          </w:tcPr>
          <w:p>
            <w:pPr>
              <w:jc w:val="center"/>
            </w:pPr>
            <w:r>
              <w:rPr>
                <w:rFonts w:ascii="Arial" w:hAnsi="Arial"/>
                <w:sz w:val="18"/>
              </w:rPr>
              <w:t xml:space="preserve">768</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Zenith Chemicals Private Limited</w:t>
            </w:r>
          </w:p>
        </w:tc>
        <w:tc>
          <w:tcPr>
            <w:tcW w:type="dxa" w:w="1440"/>
          </w:tcPr>
          <w:p>
            <w:pPr>
              <w:jc w:val="center"/>
            </w:pPr>
            <w:r>
              <w:rPr>
                <w:rFonts w:ascii="Arial" w:hAnsi="Arial"/>
                <w:sz w:val="18"/>
              </w:rPr>
              <w:t xml:space="preserve">₹2.99 Cr</w:t>
            </w:r>
          </w:p>
        </w:tc>
        <w:tc>
          <w:tcPr>
            <w:tcW w:type="dxa" w:w="1440"/>
          </w:tcPr>
          <w:p>
            <w:pPr>
              <w:jc w:val="center"/>
            </w:pPr>
            <w:r>
              <w:rPr>
                <w:rFonts w:ascii="Arial" w:hAnsi="Arial"/>
                <w:sz w:val="18"/>
              </w:rPr>
              <w:t xml:space="preserve">1.9161</w:t>
            </w:r>
          </w:p>
        </w:tc>
        <w:tc>
          <w:tcPr>
            <w:tcW w:type="dxa" w:w="1440"/>
          </w:tcPr>
          <w:p>
            <w:pPr>
              <w:jc w:val="center"/>
            </w:pPr>
            <w:r>
              <w:rPr>
                <w:rFonts w:ascii="Arial" w:hAnsi="Arial"/>
                <w:sz w:val="18"/>
              </w:rPr>
              <w:t xml:space="preserve">4.2503</w:t>
            </w:r>
          </w:p>
        </w:tc>
        <w:tc>
          <w:tcPr>
            <w:tcW w:type="dxa" w:w="1440"/>
          </w:tcPr>
          <w:p>
            <w:pPr>
              <w:jc w:val="center"/>
            </w:pPr>
            <w:r>
              <w:rPr>
                <w:rFonts w:ascii="Arial" w:hAnsi="Arial"/>
                <w:sz w:val="18"/>
              </w:rPr>
              <w:t xml:space="preserve">0.9146</w:t>
            </w:r>
          </w:p>
        </w:tc>
        <w:tc>
          <w:tcPr>
            <w:tcW w:type="dxa" w:w="1440"/>
          </w:tcPr>
          <w:p>
            <w:pPr>
              <w:jc w:val="center"/>
            </w:pPr>
            <w:r>
              <w:rPr>
                <w:rFonts w:ascii="Arial" w:hAnsi="Arial"/>
                <w:sz w:val="18"/>
              </w:rPr>
              <w:t xml:space="preserve">778</w:t>
            </w:r>
          </w:p>
        </w:tc>
        <w:tc>
          <w:tcPr>
            <w:tcW w:type="dxa" w:w="1440"/>
          </w:tcPr>
          <w:p>
            <w:pPr>
              <w:jc w:val="center"/>
            </w:pPr>
            <w:r>
              <w:rPr>
                <w:rFonts w:ascii="Arial" w:hAnsi="Arial"/>
                <w:sz w:val="18"/>
              </w:rPr>
              <w:t xml:space="preserve">APPROVED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1.6114</w:t>
            </w:r>
          </w:p>
        </w:tc>
        <w:tc>
          <w:tcPr>
            <w:tcW w:type="dxa" w:w="1440"/>
            <w:shd w:fill="F3F4F6"/>
          </w:tcPr>
          <w:p>
            <w:pPr>
              <w:jc w:val="center"/>
            </w:pPr>
            <w:r>
              <w:rPr>
                <w:rFonts w:ascii="Arial" w:hAnsi="Arial"/>
                <w:b/>
                <w:sz w:val="18"/>
              </w:rPr>
              <w:t xml:space="preserve">3.8846</w:t>
            </w:r>
          </w:p>
        </w:tc>
        <w:tc>
          <w:tcPr>
            <w:tcW w:type="dxa" w:w="1440"/>
            <w:shd w:fill="F3F4F6"/>
          </w:tcPr>
          <w:p>
            <w:pPr>
              <w:jc w:val="center"/>
            </w:pPr>
            <w:r>
              <w:rPr>
                <w:rFonts w:ascii="Arial" w:hAnsi="Arial"/>
                <w:b/>
                <w:sz w:val="18"/>
              </w:rPr>
              <w:t xml:space="preserve">0.9922</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SURVIVES</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1.8000</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SURVIVES</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is fair and unbiased, with no flips found in the bias test. The tested bias indicates a low risk of bias in the AI decision, and the company's credit profile is evaluated based on its financial performance and creditworthiness. The lack of bias in the AI decision indicates a reliable credit assessment.</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MODEL</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85.2%</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transcript indicates a low risk of default, with no major flags found. The risk adjustment is zero, indicating a low risk of default. The transcript indicates a satisfactory credit profile, with a low risk of default.</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LOW RISK</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