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Apex Chemicals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₹15.00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14 June 2026, 09:23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Apex Chemicals Partnership Firm has demonstrated a satisfactory financial health with a low risk score of 0.1505, and the decision to approve the loan is recommended. The company's leverage and debt service coverage ratio are within acceptable limits. However, the lack of financial data and industry challenges are concerns that need to be monitored. The overall risk verdict is LOW, and the recommendation is to approve the loan with regular monitoring.</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Apex Chemicals Partnership Firm operates in the IT Services industry, with an unknown market position due to limited data availability. The company has a satisfactory GST status with a low discrepancy percentage. The firm's business operations and market standing require further analysis for a comprehensive understanding.</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0.1505, indicating a satisfactory credit profile</w:t>
              <w:br/>
              <w:t xml:space="preserve">• Acceptable debt service coverage ratio of 1.3722</w:t>
              <w:br/>
              <w:t xml:space="preserve">• Leverage of 1.2003, which is within manageable limits</w:t>
              <w:br/>
              <w:t xml:space="preserve">• Satisfactory GST status with a low discrepancy percentage of 2.29</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financial data, including revenue, EBITDA, total debt, and net worth</w:t>
              <w:br/>
              <w:t xml:space="preserve">• Unknown market position in the IT Services industry</w:t>
              <w:br/>
              <w:t xml:space="preserve">• Industry challenges and headwinds that may impact the company's performance</w:t>
              <w:br/>
              <w:t xml:space="preserve">• Limited news and litigation data available for a comprehensive assessment</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Apex Chemicals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RSGFA8141J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09RSGFA8141J5Z9</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U24100MH2015PTC267141</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Apex Chemicals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apexchemicals@gmail.com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Industrial Estate, Mumbai, Maharashtra,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 '07894563']</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1.3722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1.5071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1.2003</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9.8%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2.3%</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4.4%</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₹22.34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Apex Chemicals Partnership Firm, with only one news article found. The sentiment of the news is not explicitly stated, and further analysis is required to understand the company's reputation and potential risks. The lack of news data is a concern, and regular monitoring is recommended to stay updated on the company's developments.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Apex Chemicals Partnership Firm has no reported litigations, which is a positive indicator of the company's legal standing. However, the lack of data on potential litigations or disputes is a concern, and regular checks are necessary to ensure the company's compliance with legal requirements. The company's litigation exposure is currently deemed low, but ongoing monitoring is essential.</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IT Services industry is subject to various challenges, including intense competition, rapid technological changes, and evolving regulatory requirements. These headwinds may impact Apex Chemicals Partnership Firm's performance and require the company to adapt and innovate to remain competitive. The company's ability to navigate these challenges will be crucial to its long-term success.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0.1505</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₹44.58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910</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0.1707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0.1676</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0.0744</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0.0124</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0.0102</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EBITDA, total debt, and net worth</w:t>
              <w:br/>
              <w:t xml:space="preserve">• Conduct regular GST audits to ensure compliance and minimize discrepancies</w:t>
              <w:br/>
              <w:t xml:space="preserve">• Develop a comprehensive risk management plan to address industry challenges and potential litigations</w:t>
              <w:br/>
              <w:t xml:space="preserve">• Establish a strong online presence and engage with stakeholders to improve news and reputation</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the results indicate that the decision is fair and unbiased. The bias testing revealed no flips, and the weightage of the features used in the decision-making process is consistent. However, ongoing monitoring and testing are necessary to ensure that the AI system remains unbiased and effective.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CIBIL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no flags or risk adjustments have been noted. The discussion findings are limited, and further analysis is required to understand the company's management and operational aspects. Regular interactions with the company's management will be essential to assess their capabilities and intentions.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