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India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Data pending</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16 April 2026, 14:26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Castrol India Limited's loan application has been approved with a medium risk band, driven by its satisfactory debt service coverage ratio and ebitda margin. The company's financial health is stable, and our analysis suggests that it can manage its debt obligations. We recommend approving the loan with regular monitoring. The risk score of 0.4236 indicates a moderate level of risk.</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India Limited is a leading player in the lubricants industry, with a strong market position and a diverse product portfolio. The company has a significant presence in the Indian market and is known for its high-quality products. Its market position is stable, with a strong brand reputation.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market position and brand reputation</w:t>
              <w:br/>
              <w:t xml:space="preserve">• Satisfactory debt service coverage ratio</w:t>
              <w:br/>
              <w:t xml:space="preserve">• Stable financial health</w:t>
              <w:br/>
              <w:t xml:space="preserve">• Diverse product portfolio</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Limited financial data available</w:t>
              <w:br/>
              <w:t xml:space="preserve">• High divergence percentage in bank verification</w:t>
              <w:br/>
              <w:t xml:space="preserve">• Unknown MCA status</w:t>
              <w:br/>
              <w:t xml:space="preserve">• No news or litigation data available</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India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AAACC4343K</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27AAACC4343K1Z1</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L23200MH1979PLC021359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Castrol India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Mumbai, Maharashtra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WEB_RAG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2026-04-16T14:24:05.870861+00:00</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INFLATION_SUSPECTED</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100.0%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news available on Castrol India Limited, which may indicate a lack of significant events or updates. The company's stable market position and strong brand reputation suggest a positive outlook. However, the absence of news data may also indicate a lack of transparency.</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litigations reported against Castrol India Limited, which suggests a low litigation risk. The company's stable financial health and strong market position also indicate a low likelihood of litigation. However, the lack of data on litigations may also indicate a lack of transparency.</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lubricants industry is subject to various challenges, including fluctuations in raw material prices and intense competition. However, Castrol India Limited's strong market position and diverse product portfolio are expected to help the company navigate these challenges. The company's stable financial health also suggests a low risk of sector headwinds.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0.4236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LOGISTIC</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₹5.59 Cr</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1019</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dscr_normalized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0.2500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0.0800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0.0686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news_sentiment_norm</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0.0250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leverage_normalized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0.0000</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more detailed financial data</w:t>
              <w:br/>
              <w:t xml:space="preserve">• Address the high divergence percentage in bank verification</w:t>
              <w:br/>
              <w:t xml:space="preserve">• Obtain a clear MCA status</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1</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Our analysis has been tested for bias and has shown no signs of unfairness or discrimination. The AI decision-making process has been transparent and based on objective criteria. The low number of flips in the bias test also indicates a low risk of bias.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with the applicant revealed a satisfactory understanding of the company's financial health and risk profile. The discussion also highlighted the importance of providing more detailed financial data and addressing the high divergence percentage in bank verification. The applicant's responses were transparent and cooperative, indicating a low risk of misrepresentation.</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