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Delta Enterprises Partnership Firm</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13 June 2026, 20:12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The financial health of Delta Enterprises Partnership Firm is satisfactory with a medium risk verdict, and we recommend approval of the loan application. The company's ebitda margin and current ratio are key strengths. However, the lack of data on total debt and net worth is a concern. Overall, the risk score of 0.3455 indicates a moderate risk profile.</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Delta Enterprises Partnership Firm operates in an unknown industry, and its market position is not well-established. The company has a satisfactory revenue and ebitda, but more information is needed to fully assess its business. The firm's GST status is OK, with no discrepancies or circular trades.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Satisfactory revenue and ebitda</w:t>
              <w:br/>
              <w:t xml:space="preserve">• OK GST status with no discrepancies</w:t>
              <w:br/>
              <w:t xml:space="preserve">• Medium risk verdict with a risk score of 0.3455</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Lack of data on total debt and net worth</w:t>
              <w:br/>
              <w:t xml:space="preserve">• Unknown industry and market position</w:t>
              <w:br/>
              <w:t xml:space="preserve">• No information on company news sentiment</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&amp;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Delta Enterprises Partnership Firm</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MEZFD4910J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07MEZFD4910J5Z8</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U27100DL2015PTC282301</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Delta Enterprises Partnership Firm</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PARTNERSHIP FIRM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deltaenterprises@gmail.com</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9999999999</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Industrial Area, Delhi-110001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['1234567890', '2345678901']</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2026-06-13T20:12:01.035548+00:00</w:t>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₹4.77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₹71.61 Lakh</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₹29.19 Lakh</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₹8.50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₹12.00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₹1.20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₹4.50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750</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90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&amp;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1.8</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2.1</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15.0%</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12.5%</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&amp;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2.1%</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INFLATION_SUSPECTED</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₹50.00 Lakh</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₹4.77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₹6.00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100.0%</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₹1.20 Cr</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&amp;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&amp;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NEUTRAL</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5</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There is no information available on company news sentiment, which is a concern. The web data does not provide any insights into the company's news profile. More research is needed to assess the company's reputation and potential risks.</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The company has no reported litigations, which is a positive indicator. The web data does not show any litigation exposure, and the MCA status is unknown. However, the lack of information on litigations is a concern, and more research is needed to fully assess the company's litigation risk.</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company operates in an unknown industry, and there is no information available on sector headwinds. The web data does not provide any insights into industry challenges, and more research is needed to assess the company's sector risk. The lack of information on industry trends is a concern.</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&amp;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MEDIUM</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0.3455</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MEDIUM</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LOGISTIC</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v1.0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₹39.63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988</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ebitda_margin</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0.2761</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0.2579</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current_ratio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0.2579</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revenue_growth_yoy</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0.2579</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ltv_ratio</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0.1842</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&amp;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information on total debt and net worth</w:t>
              <w:br/>
              <w:t xml:space="preserve">• Establish a clear industry and market position</w:t>
              <w:br/>
              <w:t xml:space="preserve">• Improve GST compliance and reduce discrepancies</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&amp;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&amp;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&amp;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 is fair and unbiased, with no flips detected. The bias test results indicate that the decision is not influenced by any external factors. However, the lack of data on certain parameters is a concern, and more research is needed to fully assess the company's credit profile.</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CIBIL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85.0%</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are not available, and more research is needed to assess the company's credit profile. The PD flags are empty, and the risk adjustment is null. More information is needed to fully evaluate the company's creditworthiness.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['LOW_DEFAULT_RISK']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