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Radhe Metals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₹2.50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15 June 2026, 06:29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Radhe Metals Partnership Firm, an agro processing company, has demonstrated a satisfactory financial health with a low risk score of 0.119, falling under the 'LOW' risk band. Based on the analysis, the recommendation is to approve the loan application. The company's ability to survive stress scenarios and its low leverage ratio of 0.5595 are key positives.</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Radhe Metals Partnership Firm operates in the agro processing industry, with its market position not explicitly stated in the provided data. The company has a satisfactory GST status with a low discrepancy percentage of 2.34. The industry is subject to various challenges, including fluctuations in raw material prices and changing consumer preferences.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0.119, indicating a low credit risk</w:t>
              <w:br/>
              <w:t xml:space="preserve">• Ability to survive stress scenarios with a worst-case DSCR of 1.8</w:t>
              <w:br/>
              <w:t xml:space="preserve">• Low leverage ratio of 0.5595, indicating a manageable debt level</w:t>
              <w:br/>
              <w:t xml:space="preserve">• Satisfactory GST status with a low discrepancy percentage of 2.34</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Limited financial information available, including missing revenue and ebitda data</w:t>
              <w:br/>
              <w:t xml:space="preserve">• Unknown MCA status and potential defaulter status</w:t>
              <w:br/>
              <w:t xml:space="preserve">• Low news count, which may indicate a lack of transparency or limited public presence</w:t>
              <w:br/>
              <w:t xml:space="preserve">• Potential for industry headwinds, including fluctuations in raw material prices and changing consumer preferences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Radhe Metals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SNKFR1413J</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24SNKFR1413J8ZS</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U27310MH2015PTC262141</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Radhe Metals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01-04-2015</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radhemetal@gmail.com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9821098210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 MIDC, Butibori, Nagpur - 441122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['07864641', '06789123']</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₹25.00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₹3.75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₹8.75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₹1.25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₹2.00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₹12.50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₹3.25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65.2%</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10.5%</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2.5137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7.7054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0.5595</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19.1%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33.8%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2.3%</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MATCH</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₹22.50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₹2.75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5.6%</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₹21.82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Radhe Metals Partnership Firm, with only one news article found. The sentiment of this news is not explicitly stated, but the low news count may indicate a lack of transparency or limited public presence. Further research is required to determine the company's reputation and market position.</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Radhe Metals Partnership Firm has no reported litigations, which is a positive indicator of its creditworthiness. The lack of litigation exposure reduces the risk of legal liabilities and potential financial losses.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agro processing industry is subject to various challenges, including fluctuations in raw material prices, changing consumer preferences, and regulatory requirements. These headwinds may impact the company's financial performance and credit profile, and should be closely monitored.</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0.1190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₹45.50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898</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3"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0.2180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0.1618</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0.0763</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promoter_holding_pct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0.0047</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0.0042</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4"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information, including revenue and ebitda data</w:t>
              <w:br/>
              <w:t xml:space="preserve">• Obtain a satisfactory MCA status and resolve any potential defaulter status</w:t>
              <w:br/>
              <w:t xml:space="preserve">• Improve transparency and public presence through regular news updates and media engagement</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Shivam Logistics Partnership Firm</w:t>
            </w:r>
          </w:p>
        </w:tc>
        <w:tc>
          <w:tcPr>
            <w:tcW w:type="dxa" w:w="1440"/>
          </w:tcPr>
          <w:p>
            <w:pPr>
              <w:jc w:val="center"/>
            </w:pPr>
            <w:r>
              <w:rPr>
                <w:rFonts w:ascii="Arial" w:hAnsi="Arial"/>
                <w:sz w:val="18"/>
              </w:rPr>
              <w:t xml:space="preserve">₹60.84 Lakh</w:t>
            </w:r>
          </w:p>
        </w:tc>
        <w:tc>
          <w:tcPr>
            <w:tcW w:type="dxa" w:w="1440"/>
          </w:tcPr>
          <w:p>
            <w:pPr>
              <w:jc w:val="center"/>
            </w:pPr>
            <w:r>
              <w:rPr>
                <w:rFonts w:ascii="Arial" w:hAnsi="Arial"/>
                <w:sz w:val="18"/>
              </w:rPr>
              <w:t xml:space="preserve">1.6760</w:t>
            </w:r>
          </w:p>
        </w:tc>
        <w:tc>
          <w:tcPr>
            <w:tcW w:type="dxa" w:w="1440"/>
          </w:tcPr>
          <w:p>
            <w:pPr>
              <w:jc w:val="center"/>
            </w:pPr>
            <w:r>
              <w:rPr>
                <w:rFonts w:ascii="Arial" w:hAnsi="Arial"/>
                <w:sz w:val="18"/>
              </w:rPr>
              <w:t xml:space="preserve">2.0554</w:t>
            </w:r>
          </w:p>
        </w:tc>
        <w:tc>
          <w:tcPr>
            <w:tcW w:type="dxa" w:w="1440"/>
          </w:tcPr>
          <w:p>
            <w:pPr>
              <w:jc w:val="center"/>
            </w:pPr>
            <w:r>
              <w:rPr>
                <w:rFonts w:ascii="Arial" w:hAnsi="Arial"/>
                <w:sz w:val="18"/>
              </w:rPr>
              <w:t xml:space="preserve">1.2422</w:t>
            </w:r>
          </w:p>
        </w:tc>
        <w:tc>
          <w:tcPr>
            <w:tcW w:type="dxa" w:w="1440"/>
          </w:tcPr>
          <w:p>
            <w:pPr>
              <w:jc w:val="center"/>
            </w:pPr>
            <w:r>
              <w:rPr>
                <w:rFonts w:ascii="Arial" w:hAnsi="Arial"/>
                <w:sz w:val="18"/>
              </w:rPr>
              <w:t xml:space="preserve">739</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Shivam Chemicals LLP</w:t>
            </w:r>
          </w:p>
        </w:tc>
        <w:tc>
          <w:tcPr>
            <w:tcW w:type="dxa" w:w="1440"/>
          </w:tcPr>
          <w:p>
            <w:pPr>
              <w:jc w:val="center"/>
            </w:pPr>
            <w:r>
              <w:rPr>
                <w:rFonts w:ascii="Arial" w:hAnsi="Arial"/>
                <w:sz w:val="18"/>
              </w:rPr>
              <w:t xml:space="preserve">₹1.02 Cr</w:t>
            </w:r>
          </w:p>
        </w:tc>
        <w:tc>
          <w:tcPr>
            <w:tcW w:type="dxa" w:w="1440"/>
          </w:tcPr>
          <w:p>
            <w:pPr>
              <w:jc w:val="center"/>
            </w:pPr>
            <w:r>
              <w:rPr>
                <w:rFonts w:ascii="Arial" w:hAnsi="Arial"/>
                <w:sz w:val="18"/>
              </w:rPr>
              <w:t xml:space="preserve">1.8216</w:t>
            </w:r>
          </w:p>
        </w:tc>
        <w:tc>
          <w:tcPr>
            <w:tcW w:type="dxa" w:w="1440"/>
          </w:tcPr>
          <w:p>
            <w:pPr>
              <w:jc w:val="center"/>
            </w:pPr>
            <w:r>
              <w:rPr>
                <w:rFonts w:ascii="Arial" w:hAnsi="Arial"/>
                <w:sz w:val="18"/>
              </w:rPr>
              <w:t xml:space="preserve">2.9286</w:t>
            </w:r>
          </w:p>
        </w:tc>
        <w:tc>
          <w:tcPr>
            <w:tcW w:type="dxa" w:w="1440"/>
          </w:tcPr>
          <w:p>
            <w:pPr>
              <w:jc w:val="center"/>
            </w:pPr>
            <w:r>
              <w:rPr>
                <w:rFonts w:ascii="Arial" w:hAnsi="Arial"/>
                <w:sz w:val="18"/>
              </w:rPr>
              <w:t xml:space="preserve">0.8370</w:t>
            </w:r>
          </w:p>
        </w:tc>
        <w:tc>
          <w:tcPr>
            <w:tcW w:type="dxa" w:w="1440"/>
          </w:tcPr>
          <w:p>
            <w:pPr>
              <w:jc w:val="center"/>
            </w:pPr>
            <w:r>
              <w:rPr>
                <w:rFonts w:ascii="Arial" w:hAnsi="Arial"/>
                <w:sz w:val="18"/>
              </w:rPr>
              <w:t xml:space="preserve">753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Radhe Enterprises Private Limited</w:t>
            </w:r>
          </w:p>
        </w:tc>
        <w:tc>
          <w:tcPr>
            <w:tcW w:type="dxa" w:w="1440"/>
          </w:tcPr>
          <w:p>
            <w:pPr>
              <w:jc w:val="center"/>
            </w:pPr>
            <w:r>
              <w:rPr>
                <w:rFonts w:ascii="Arial" w:hAnsi="Arial"/>
                <w:sz w:val="18"/>
              </w:rPr>
              <w:t xml:space="preserve">₹1.35 Cr</w:t>
            </w:r>
          </w:p>
        </w:tc>
        <w:tc>
          <w:tcPr>
            <w:tcW w:type="dxa" w:w="1440"/>
          </w:tcPr>
          <w:p>
            <w:pPr>
              <w:jc w:val="center"/>
            </w:pPr>
            <w:r>
              <w:rPr>
                <w:rFonts w:ascii="Arial" w:hAnsi="Arial"/>
                <w:sz w:val="18"/>
              </w:rPr>
              <w:t xml:space="preserve">1.6626</w:t>
            </w:r>
          </w:p>
        </w:tc>
        <w:tc>
          <w:tcPr>
            <w:tcW w:type="dxa" w:w="1440"/>
          </w:tcPr>
          <w:p>
            <w:pPr>
              <w:jc w:val="center"/>
            </w:pPr>
            <w:r>
              <w:rPr>
                <w:rFonts w:ascii="Arial" w:hAnsi="Arial"/>
                <w:sz w:val="18"/>
              </w:rPr>
              <w:t xml:space="preserve">12.1264</w:t>
            </w:r>
          </w:p>
        </w:tc>
        <w:tc>
          <w:tcPr>
            <w:tcW w:type="dxa" w:w="1440"/>
          </w:tcPr>
          <w:p>
            <w:pPr>
              <w:jc w:val="center"/>
            </w:pPr>
            <w:r>
              <w:rPr>
                <w:rFonts w:ascii="Arial" w:hAnsi="Arial"/>
                <w:sz w:val="18"/>
              </w:rPr>
              <w:t xml:space="preserve">0.2881</w:t>
            </w:r>
          </w:p>
        </w:tc>
        <w:tc>
          <w:tcPr>
            <w:tcW w:type="dxa" w:w="1440"/>
          </w:tcPr>
          <w:p>
            <w:pPr>
              <w:jc w:val="center"/>
            </w:pPr>
            <w:r>
              <w:rPr>
                <w:rFonts w:ascii="Arial" w:hAnsi="Arial"/>
                <w:sz w:val="18"/>
              </w:rPr>
              <w:t xml:space="preserve">743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Delta Enterprises Partnership Firm</w:t>
            </w:r>
          </w:p>
        </w:tc>
        <w:tc>
          <w:tcPr>
            <w:tcW w:type="dxa" w:w="1440"/>
          </w:tcPr>
          <w:p>
            <w:pPr>
              <w:jc w:val="center"/>
            </w:pPr>
            <w:r>
              <w:rPr>
                <w:rFonts w:ascii="Arial" w:hAnsi="Arial"/>
                <w:sz w:val="18"/>
              </w:rPr>
              <w:t xml:space="preserve">₹1.53 Cr</w:t>
            </w:r>
          </w:p>
        </w:tc>
        <w:tc>
          <w:tcPr>
            <w:tcW w:type="dxa" w:w="1440"/>
          </w:tcPr>
          <w:p>
            <w:pPr>
              <w:jc w:val="center"/>
            </w:pPr>
            <w:r>
              <w:rPr>
                <w:rFonts w:ascii="Arial" w:hAnsi="Arial"/>
                <w:sz w:val="18"/>
              </w:rPr>
              <w:t xml:space="preserve">2.4152</w:t>
            </w:r>
          </w:p>
        </w:tc>
        <w:tc>
          <w:tcPr>
            <w:tcW w:type="dxa" w:w="1440"/>
          </w:tcPr>
          <w:p>
            <w:pPr>
              <w:jc w:val="center"/>
            </w:pPr>
            <w:r>
              <w:rPr>
                <w:rFonts w:ascii="Arial" w:hAnsi="Arial"/>
                <w:sz w:val="18"/>
              </w:rPr>
              <w:t xml:space="preserve">4.1097</w:t>
            </w:r>
          </w:p>
        </w:tc>
        <w:tc>
          <w:tcPr>
            <w:tcW w:type="dxa" w:w="1440"/>
          </w:tcPr>
          <w:p>
            <w:pPr>
              <w:jc w:val="center"/>
            </w:pPr>
            <w:r>
              <w:rPr>
                <w:rFonts w:ascii="Arial" w:hAnsi="Arial"/>
                <w:sz w:val="18"/>
              </w:rPr>
              <w:t xml:space="preserve">0.6286</w:t>
            </w:r>
          </w:p>
        </w:tc>
        <w:tc>
          <w:tcPr>
            <w:tcW w:type="dxa" w:w="1440"/>
          </w:tcPr>
          <w:p>
            <w:pPr>
              <w:jc w:val="center"/>
            </w:pPr>
            <w:r>
              <w:rPr>
                <w:rFonts w:ascii="Arial" w:hAnsi="Arial"/>
                <w:sz w:val="18"/>
              </w:rPr>
              <w:t xml:space="preserve">768</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Zenith Chemicals Private Limited</w:t>
            </w:r>
          </w:p>
        </w:tc>
        <w:tc>
          <w:tcPr>
            <w:tcW w:type="dxa" w:w="1440"/>
          </w:tcPr>
          <w:p>
            <w:pPr>
              <w:jc w:val="center"/>
            </w:pPr>
            <w:r>
              <w:rPr>
                <w:rFonts w:ascii="Arial" w:hAnsi="Arial"/>
                <w:sz w:val="18"/>
              </w:rPr>
              <w:t xml:space="preserve">₹2.99 Cr</w:t>
            </w:r>
          </w:p>
        </w:tc>
        <w:tc>
          <w:tcPr>
            <w:tcW w:type="dxa" w:w="1440"/>
          </w:tcPr>
          <w:p>
            <w:pPr>
              <w:jc w:val="center"/>
            </w:pPr>
            <w:r>
              <w:rPr>
                <w:rFonts w:ascii="Arial" w:hAnsi="Arial"/>
                <w:sz w:val="18"/>
              </w:rPr>
              <w:t xml:space="preserve">1.9161</w:t>
            </w:r>
          </w:p>
        </w:tc>
        <w:tc>
          <w:tcPr>
            <w:tcW w:type="dxa" w:w="1440"/>
          </w:tcPr>
          <w:p>
            <w:pPr>
              <w:jc w:val="center"/>
            </w:pPr>
            <w:r>
              <w:rPr>
                <w:rFonts w:ascii="Arial" w:hAnsi="Arial"/>
                <w:sz w:val="18"/>
              </w:rPr>
              <w:t xml:space="preserve">4.2503</w:t>
            </w:r>
          </w:p>
        </w:tc>
        <w:tc>
          <w:tcPr>
            <w:tcW w:type="dxa" w:w="1440"/>
          </w:tcPr>
          <w:p>
            <w:pPr>
              <w:jc w:val="center"/>
            </w:pPr>
            <w:r>
              <w:rPr>
                <w:rFonts w:ascii="Arial" w:hAnsi="Arial"/>
                <w:sz w:val="18"/>
              </w:rPr>
              <w:t xml:space="preserve">0.9146</w:t>
            </w:r>
          </w:p>
        </w:tc>
        <w:tc>
          <w:tcPr>
            <w:tcW w:type="dxa" w:w="1440"/>
          </w:tcPr>
          <w:p>
            <w:pPr>
              <w:jc w:val="center"/>
            </w:pPr>
            <w:r>
              <w:rPr>
                <w:rFonts w:ascii="Arial" w:hAnsi="Arial"/>
                <w:sz w:val="18"/>
              </w:rPr>
              <w:t xml:space="preserve">778</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1.6114</w:t>
            </w:r>
          </w:p>
        </w:tc>
        <w:tc>
          <w:tcPr>
            <w:tcW w:type="dxa" w:w="1440"/>
            <w:shd w:fill="F3F4F6"/>
          </w:tcPr>
          <w:p>
            <w:pPr>
              <w:jc w:val="center"/>
            </w:pPr>
            <w:r>
              <w:rPr>
                <w:rFonts w:ascii="Arial" w:hAnsi="Arial"/>
                <w:b/>
                <w:sz w:val="18"/>
              </w:rPr>
              <w:t xml:space="preserve">3.8846</w:t>
            </w:r>
          </w:p>
        </w:tc>
        <w:tc>
          <w:tcPr>
            <w:tcW w:type="dxa" w:w="1440"/>
            <w:shd w:fill="F3F4F6"/>
          </w:tcPr>
          <w:p>
            <w:pPr>
              <w:jc w:val="center"/>
            </w:pPr>
            <w:r>
              <w:rPr>
                <w:rFonts w:ascii="Arial" w:hAnsi="Arial"/>
                <w:b/>
                <w:sz w:val="18"/>
              </w:rPr>
              <w:t xml:space="preserve">0.9922</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1</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no signs of unfairness, with zero flips reported. The low risk score and satisfactory credit profile suggest that the decision is fair and unbiased. However, further review and monitoring are required to ensure that the decision remains fair and unbiased over time.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CIBIL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are not explicitly stated in the provided data, but the low risk score and satisfactory credit profile suggest that the company has a strong credit profile. Further discussion and review are required to determine the company's creditworthiness and potential for loan approval.</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