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700088" cy="1000125"/>
            <wp:effectExtent b="0" l="0" r="0" t="0"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4" w:sz="4" w:val="single"/>
          <w:bottom w:color="000000" w:space="4" w:sz="4" w:val="single"/>
        </w:pBdr>
        <w:spacing w:after="200" w:before="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 O N F I D E N T I A L</w:t>
      </w: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TRINETRA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CREDIT APPRAISAL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(Prepared in alignment with RBI/NHB Credit Appraisal Guidelines)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Prepared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5c99"/>
          <w:sz w:val="24"/>
          <w:szCs w:val="24"/>
          <w:rtl w:val="0"/>
        </w:rPr>
        <w:t xml:space="preserve">Bharat Textiles 967 LLP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Loan 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₹10.00 Lakh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13 July 2026, 12:19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STRICTLY 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2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This document is auto-generated by 14 AI Agents and is intended solely for authorized credit officers.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1.1 Credit Overview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Risk Band: HIGH. Decision: MANDATORY REVIEW. The overall Risk Band for Bharat Textiles 967 LLP is 'HIGH' due to various risk factors, despite a strong financial health indicated by a high CIBIL score of 794 and strong revenue growth. The Bank Reconciliation Verdict is 'OK', but the risk decision is 'MANDATORY REVIEW' due to stress test failures. We recommend a thorough review of the loan application, considering the company's strong financials and industry position.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1.2 Business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color w:val="1f5c99"/>
          <w:sz w:val="21"/>
          <w:szCs w:val="21"/>
          <w:rtl w:val="0"/>
        </w:rPr>
        <w:t xml:space="preserve">Bharat Textiles 967 LLP operates in the IT Services industry, with a revenue of ₹10.17 Cr and an EBITDA of ₹2.30 Cr. The company has a strong market position, with a high CIBIL score and a strong financial profile. However, the company's industry is subject to various challenges and headwinds.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STRONG DSCR (Above 1.2 threshold) indicates a healthy debt service capacity</w:t>
              <w:br/>
              <w:t xml:space="preserve">• STRONG ICR (Above [Value under review] threshold) suggests a robust interest coverage ratio</w:t>
              <w:br/>
              <w:t xml:space="preserve">• STRONG leverage (Below [Value under review] threshold) indicates a manageable debt level</w:t>
              <w:br/>
              <w:t xml:space="preserve">• STRONG revenue growth evaluation (Above [Value under review]%) suggests a growing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Stress Test Failed: Debt service capacity collapses under simulated stress</w:t>
              <w:br/>
              <w:t xml:space="preserve">• High risk score of 0.1549 indicates a high likelihood of default</w:t>
              <w:br/>
              <w:t xml:space="preserve">• CRITICAL stress verdict indicates a high risk of debt service capacity collapse</w:t>
              <w:br/>
              <w:t xml:space="preserve">• Low current ratio contribution to risk score indicates a potential liquidity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2. Applicant Identity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Company Profile (User Input)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Bharat Textiles 967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MEHFB0051Y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06MEHFB0051Y1ZV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PAN Verification (Agent 7: pan-agent)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Value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Verification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Verification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Bharat Textiles 967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Name on PAN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Company /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of Birth /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2022-08-08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As per PAN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finance@bharattextiles967llp.in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+91-9928719808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Masked Aadhaar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XXXX-XXXX-6383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Linked Aadhaar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Aadhaar 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Haryana,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0.00 – 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Extraction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NSDL_API_VERIFIED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WEB_RAG / DETERMINISTIC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MCA Corporate Intelligence (Agent 6: mca-agent)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Changes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 Charge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Defaulter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Last AGM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2025-09-30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DIN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81997552, 74172762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Document Compliance (Agent 1: compliance-agent)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Missing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2026-07-13T12:15:36.663268+00:00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RBI/NHB Regulatory Compliance Checklist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1560"/>
        <w:gridCol w:w="4600"/>
        <w:tblGridChange w:id="0">
          <w:tblGrid>
            <w:gridCol w:w="3200"/>
            <w:gridCol w:w="156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Regulatory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Verification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RBI Caution Advice / Defaulter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matching records found in central caution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Wilful Defaulter Check (CIBIL/CRIF)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Borrower entity &amp; promoter directors not listed as wilful defaulters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MCA Director Disqualification (Sec 164(2))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DIN verification completed. All directors active and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PEP (Politically Exposed Person)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Screened against global databases. No political exposure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AML/KYC Status Alignment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VERIFIED — All KYC matching completed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Overall alignment verdict across KYC data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Note: the four static regulatory checks above are standard boilerplate items — the data dictionary currently exposes only an overall VERIFIED — All KYC matching completed successfully tag. Replace the static "CLEAN" text with individual tags once/if the agents expose per-check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3.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Core Financials (Agent 2: doc-agent / financials namespace)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₹10.17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₹2.30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Profit After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₹1.38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Outstanding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₹2.20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Worth / Shareholder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₹4.07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Interest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₹25.16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Principal Repayments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₹26.45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₹7.87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Taxable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₹1.38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CIBIL /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794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Promoter Shareholding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76.8%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Pledged Shares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Working Capital Cycle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Derived Financial Ratios &amp; KPIs (Agent 2: derived_features 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Key Performance Indicators at a glance: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2.5553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9.1423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0.5419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22.6%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Revenue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16.3%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Cash Conv.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94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4. Forensic Checks &amp;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GST Intelligence (Agent 3: gst-agent)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Reconciliation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2B vs 3B Discrepancy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ITC Mismatch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Circular Trade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Cycles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Bank Statement Reconciliation (Agent 4: bank-reconagent)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Reconciliation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Credit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₹10.17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Reported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₹10.17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Reported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₹1.38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Turnover Divergence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Revenue Inflation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Round-Trip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Avg. Monthly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₹69.36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Cheque Bounce Count (12m)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5. Market &amp; Regulatory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News Sentiment &amp; Litigation (Agent 5: web-agent)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News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Articles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Litigation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Regulatory Flags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News Summary (LLM-Generated)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[Computed Sentiment: POSITIVE] The news sentiment for Bharat Textiles 967 LLP is , with one news article indicating a favorable business environment. The company's strong financials and industry position are likely to contribute to its positive news sentiment. Overall, the news summary suggests a positive outlook for the company.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Litigation Summary (LLM-Generated)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Bharat Textiles 967 LLP has no ongoing litigations, with a litigation count of 0. This suggests a low risk of legal disputes and a stable business environment. The company's strong financials and industry position are likely to contribute to its low litigation 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Sector Headwinds (LLM-Generated)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The IT Services industry is subject to various challenges, including intense competition, rapid technological changes, and evolving regulatory requirements. Despite these headwinds, Bharat Textiles 967 LLP has maintained a strong financial profile and a high CIBIL score. The company's ability to navigate these challenges will be crucial to its long-term success.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6. AI Risk Assessment &amp; Credit Decision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2e5c68" w:space="0" w:sz="8" w:val="single"/>
          <w:left w:color="2e5c68" w:space="0" w:sz="8" w:val="single"/>
          <w:bottom w:color="2e5c68" w:space="0" w:sz="8" w:val="single"/>
          <w:right w:color="2e5c68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2"/>
                <w:szCs w:val="22"/>
                <w:rtl w:val="0"/>
              </w:rPr>
              <w:t xml:space="preserve">FINAL CREDIT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30"/>
                <w:szCs w:val="30"/>
                <w:rtl w:val="0"/>
              </w:rPr>
              <w:t xml:space="preserve">MANDATORY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Risk Band: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Final Credit Decision (Agent 8: risk-agent)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Score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0.1549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TRI_LENS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v2.1_production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₹9.07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Rate (bps)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AI Explainability: Tri-Lens Risk Radar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/>
      </w:r>
      <w:r>
        <w:drawing>
          <wp:inline>
            <wp:extent cx="4114800" cy="370332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03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Multi-agent consensus radar chart (auto-embedded 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SHAP Top-5 Risk Factors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700"/>
        <w:gridCol w:w="5560"/>
        <w:gridCol w:w="3100"/>
        <w:tblGridChange w:id="0">
          <w:tblGrid>
            <w:gridCol w:w="700"/>
            <w:gridCol w:w="556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SHAP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revenue_growth_yoy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0.2166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current_ratio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0.1443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ltv_ratio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0.1331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ebitda_margin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0.1186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years_in_business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0.0947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AI Explainability: SHAP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/>
      </w:r>
      <w:r>
        <w:drawing>
          <wp:inline>
            <wp:extent cx="5029200" cy="3094892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Explainability waterfall chart showing how the risk score was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Rejection Reasons &amp; Corrective Actions (LLM-Generated)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Rejection 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Corrective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Stress Test Failed: Debt service capacity collapses under simulated stress.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Improve debt service capacity by reducing debt or increasing cash flows</w:t>
              <w:br/>
              <w:t xml:space="preserve">• Enhance liquidity by increasing current assets or reducing current liabilities</w:t>
              <w:br/>
              <w:t xml:space="preserve">• Diversify revenue streams to reduce dependence on a single industry or 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Comparable Case Analysis (Sector Peers &amp; Database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Assumption flagged: the data dictionary lists only sector-average tags (sector_avg_dscr / sector_avg_icr / sector_avg_leverage). The per-peer rows below assume a list variable named "peer_companies" (fields: name, turnover, dscr, icr, leverage, cibil, credit_status) using a docxtpl row-loop. Confirm/rename this against what the peer-comparison agent actually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160"/>
        <w:gridCol w:w="1200"/>
        <w:gridCol w:w="1005"/>
        <w:gridCol w:w="1005"/>
        <w:gridCol w:w="1230"/>
        <w:gridCol w:w="765"/>
        <w:gridCol w:w="2040"/>
        <w:tblGridChange w:id="0">
          <w:tblGrid>
            <w:gridCol w:w="2160"/>
            <w:gridCol w:w="1200"/>
            <w:gridCol w:w="1005"/>
            <w:gridCol w:w="1005"/>
            <w:gridCol w:w="1230"/>
            <w:gridCol w:w="765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CIBIL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Credit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Tejas Healthcare 928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₹10.43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1.4469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0.7877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Bharat Infotech 230 Partnership 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₹9.84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2.7637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9.1757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0.4855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Arogya Foods 171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₹9.64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2.4511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7.8036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0.4301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Matrix Textiles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₹10.79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1.8395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2.7482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0.8352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Surya Foods 771 Partnership 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₹10.89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2.0264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7.4000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0.6864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773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Sector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2.0865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6.5037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0.6785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7. Stress Testing &amp; Resilience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The following scenarios were stress-tested against the applicant's financial position to evaluate resilience under adverse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Stress Scenarios (Agent 9: stress-agent)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600"/>
        <w:gridCol w:w="4460"/>
        <w:gridCol w:w="2200"/>
        <w:gridCol w:w="2100"/>
        <w:tblGridChange w:id="0">
          <w:tblGrid>
            <w:gridCol w:w="600"/>
            <w:gridCol w:w="4460"/>
            <w:gridCol w:w="22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Shocked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Revenue-20%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-1.8473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Rate+2% (Assumes 100% Floating 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4.0610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SURVIVES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-1.6832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Worst-Case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-1.8473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Overall Survival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8. Ethical AI, Personal Discussion &amp; Committee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Bias &amp; Fairness Audit (Agent 10: bias-agent)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Counterfactual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Decision Flips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Overweighted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Bias Audit Summary (LLM-Generated)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The AI decision has been tested for bias and has shown no signs of unfairness, with zero flips indicating a fair and unbiased assessment. The risk score and decision are based on a thorough analysis of the company's financials and industry position. The AI model has considered various factors, including revenue growth, current ratio, and leverage, to arrive at a comprehensive risk 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Personal Discussion Summary (Agent 11: pd-agent)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+0.0000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PD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Transcript Summary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 personal discussion was conducted; recommend scheduling one before final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Qualitative Flags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Committee Sign-Off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Name / 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top w:color="b7b7b7" w:space="6" w:sz="4" w:val="single"/>
        </w:pBdr>
        <w:spacing w:before="2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DISCLAIMER: 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Bdr>
        <w:bottom w:color="b7b7b7" w:space="4" w:sz="4" w:val="single"/>
      </w:pBdr>
      <w:jc w:val="right"/>
      <w:rPr/>
    </w:pPr>
    <w:r w:rsidDel="00000000" w:rsidR="00000000" w:rsidRPr="00000000">
      <w:rPr>
        <w:rFonts w:ascii="Cambria" w:cs="Cambria" w:eastAsia="Cambria" w:hAnsi="Cambria"/>
        <w:color w:val="595959"/>
        <w:sz w:val="15"/>
        <w:szCs w:val="15"/>
        <w:rtl w:val="0"/>
      </w:rPr>
      <w:t xml:space="preserve">TRINETRA  |  CONFIDENTIAL — CREDIT APPRAISAL MEMORANDUM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2026-07-13T12:19:08Z</dcterms:modified>
  <dc:creator/>
  <dc:description/>
  <dc:identifier/>
  <dc:language/>
  <dc:subject/>
</cp:coreProperties>
</file>