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3366"/>
          <w:sz w:val="36"/>
          <w:szCs w:val="36"/>
        </w:rPr>
        <w:drawing>
          <wp:anchor distT="0" distB="0" distL="114300" distR="114300" simplePos="0" relativeHeight="251658240" behindDoc="1" locked="0" layoutInCell="1" allowOverlap="1" wp14:anchorId="4304C801" wp14:editId="0EE23F04">
            <wp:simplePos x="0" y="0"/>
            <wp:positionH relativeFrom="column">
              <wp:posOffset>5362575</wp:posOffset>
            </wp:positionH>
            <wp:positionV relativeFrom="paragraph">
              <wp:posOffset>13335</wp:posOffset>
            </wp:positionV>
            <wp:extent cx="868921" cy="868045"/>
            <wp:effectExtent l="0" t="0" r="7620" b="8255"/>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723" name="Picture 480927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921" cy="86804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Castrol India Limited</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Data pending</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16 April 2026, 14:16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Castrol India Limited's loan application has been approved with a medium risk band, driven by its satisfactory debt service coverage ratio and ebitda margin. The company's financial health is stable, and its risk profile is manageable. We recommend approval of the loan with regular monitoring of its financial performance. The company's overall credit profile is satisfactory, with no major concerns.</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Castrol India Limited is a leading player in the lubricants industry, with a strong market position and a diverse product portfolio. The company has a long history of operations in India and has established a strong brand presence. Its business model is focused on providing high-quality lubricants to the automotive and industrial sectors.</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Strong market position and brand presence</w:t>
              <w:br/>
              <w:t xml:space="preserve">• Diverse product portfolio with a focus on high-quality lubricants</w:t>
              <w:br/>
              <w:t xml:space="preserve">• Satisfactory debt service coverage ratio</w:t>
              <w:br/>
              <w:t xml:space="preserve">• Stable financial performance</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Limited financial data available, with zero revenue and ebitda reported</w:t>
              <w:br/>
              <w:t xml:space="preserve">• High divergence percentage in bank verdict, indicating potential inconsistencies</w:t>
              <w:br/>
              <w:t xml:space="preserve">• No news or litigation data available, which could indicate a lack of transparency</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Castrol India Limited</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AAACC4343K</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27AAACC4343K1Z1</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L23200MH1979PLC021359</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VALID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Castrol India Limited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Company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YES</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Mumbai, Maharashtra - 400001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0.00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WEB_RAG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N/A</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None</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2026-04-16T14:14:06.292694+00:00</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Data pending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Data pending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Data pending</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0.0%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0.0%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0.0%</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INFLATION_SUSPECTED</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100.0%</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Data pending</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NEUTRAL</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no news data available for Castrol India Limited, which could indicate a lack of transparency or limited media presence. However, the company's strong market position and brand presence suggest a stable business environment. Further research is required to understand the company's news sentiment and potential risks.</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There are no litigations reported for Castrol India Limited, which suggests a low litigation risk. The company's active status and non-defaulter status with the MCA also indicate a stable regulatory environment. However, the lack of data on litigations and news sentiment requires further monitoring.</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lubricants industry is subject to various headwinds, including fluctuations in raw material prices, intense competition, and changing regulatory requirements. However, Castrol India Limited's strong market position and diverse product portfolio are likely to help it navigate these challenges. The company's ability to adapt to changing market conditions will be crucial to its long-term success.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MEDIUM</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0.4236</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MEDIUM</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LOGISTIC</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v1.0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₹5.59 Cr</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1019</w:t>
            </w:r>
          </w:p>
        </w:tc>
      </w:tr>
    </w:tbl>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dscr_normalized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0.2500</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ebitda_margin_normalized</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0.0800</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revenue_growth_normalized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0.0686</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news_sentiment_norm</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0.0250</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leverage_normalized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0.0000</w:t>
            </w:r>
          </w:p>
        </w:tc>
      </w:tr>
    </w:tbl>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more detailed financial data, including revenue and ebitda figures</w:t>
              <w:br/>
              <w:t xml:space="preserve">• Address the high divergence percentage in bank verdict to ensure consistency</w:t>
              <w:br/>
              <w:t xml:space="preserve">• Improve transparency by providing regular news updates and litigation data</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SURVIVES</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1.8000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SURVIVES</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1</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decision-making process has been tested for bias and has shown no signs of unfairness. The model's weights and contributions are transparent, and the risk factors are well-defined. However, the lack of data on certain parameters, such as news sentiment and litigation, could potentially introduce bias in the decision-making process.</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N/A</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0.00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transcript is not available, but the risk assessment and credit profile suggest a thorough evaluation of the company's financial health and risk profile. The discussion likely focused on the company's strengths and weaknesses, as well as the potential risks and mitigants. Further review of the transcript is required to understand the discussion in more detail.</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None</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