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Bhaskar Solutions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₹2.50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14 June 2026, 16:46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Bhaskar Solutions Private Limited has demonstrated a satisfactory financial health with a low risk score of 0.1, falling under the 'LOW' risk band. The risk decision is 'APPROVE', and we recommend proceeding with the loan application. The company's debt service coverage ratio and interest coverage ratio are 2.7547 and 3.4523, respectively, indicating a comfortable position to meet its debt obligations.</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Bhaskar Solutions Private Limited operates in the Construction  Infrastructure industry, with an unknown market position due to limited data availability. The company has a satisfactory GST status with a low discrepancy percentage of 1.69. The industry is subject to various challenges, including regulatory changes and market fluctuations.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0.1, indicating a low credit risk</w:t>
              <w:br/>
              <w:t xml:space="preserve">• Comfortable debt service coverage ratio of 2.7547</w:t>
              <w:br/>
              <w:t xml:space="preserve">• Satisfactory GST status with a low discrepancy percentage of 1.69</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Unknown market position due to limited data availability</w:t>
              <w:br/>
              <w:t xml:space="preserve">• Leverage of 0.857, which may indicate a high level of debt</w:t>
              <w:br/>
              <w:t xml:space="preserve">• Limited financial data, including revenue and ebitda</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Bhaskar Solutions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LDKCB0831U</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09LDKCB0831U1ZW</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U41001UP2022PLC166162</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Bhaskar Solutions Private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01-01-2010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info@bhaskarsolutions.com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022-12345678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Andheri East, Mumbai - 400093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['0123456789', '0234567890']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₹3.20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₹1.80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₹10.50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₹1.20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₹2.00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₹6.50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725</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45</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2.7547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3.4523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0.8570</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14.7%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36.9%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1.7%</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₹18.00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₹2.20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4.9%</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₹8.63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Bhaskar Solutions Private Limited, with only one news article found. The sentiment of the news is not explicitly stated, and further analysis is required to determine the impact on the company's credit profile.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Bhaskar Solutions Private Limited has no reported litigations, indicating a low litigation exposure. This is a positive indicator of the company's creditworthiness and ability to manage its legal obligations.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Construction  Infrastructure industry is subject to various challenges, including regulatory changes, market fluctuations, and intense competition. These headwinds may impact the company's financial performance and credit profile, and should be closely monitored.</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0.1000</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₹21.62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890</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3"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0.1914</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0.1324</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0.0551</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0.0058</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0.0041</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4"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detailed financial statements, including revenue and ebitda</w:t>
              <w:br/>
              <w:t xml:space="preserve">• Improve GST compliance to reduce discrepancy percentage</w:t>
              <w:br/>
              <w:t xml:space="preserve">• Reduce leverage to a more comfortable level</w:t>
            </w:r>
          </w:p>
        </w:tc>
      </w:tr>
    </w:tbl>
    <w:p>
      <w:pPr>
        <w:spacing w:before="360" w:after="120"/>
      </w:pPr>
      <w:r>
        <w:rPr>
          <w:rFonts w:ascii="Arial" w:hAnsi="Arial"/>
          <w:b/>
          <w:color w:val="1E3A8A"/>
          <w:sz w:val="24"/>
        </w:rPr>
        <w:t>Section D — Comparable Case Analysis  (Sector Peers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Kalyani Healthcare Partnership Firm</w:t>
            </w:r>
          </w:p>
        </w:tc>
        <w:tc>
          <w:tcPr>
            <w:tcW w:type="dxa" w:w="1440"/>
          </w:tcPr>
          <w:p>
            <w:pPr>
              <w:jc w:val="center"/>
            </w:pPr>
            <w:r>
              <w:rPr>
                <w:rFonts w:ascii="Arial" w:hAnsi="Arial"/>
                <w:sz w:val="18"/>
              </w:rPr>
              <w:t xml:space="preserve">₹26.04 Lakh</w:t>
            </w:r>
          </w:p>
        </w:tc>
        <w:tc>
          <w:tcPr>
            <w:tcW w:type="dxa" w:w="1440"/>
          </w:tcPr>
          <w:p>
            <w:pPr>
              <w:jc w:val="center"/>
            </w:pPr>
            <w:r>
              <w:rPr>
                <w:rFonts w:ascii="Arial" w:hAnsi="Arial"/>
                <w:sz w:val="18"/>
              </w:rPr>
              <w:t xml:space="preserve">1.8582</w:t>
            </w:r>
          </w:p>
        </w:tc>
        <w:tc>
          <w:tcPr>
            <w:tcW w:type="dxa" w:w="1440"/>
          </w:tcPr>
          <w:p>
            <w:pPr>
              <w:jc w:val="center"/>
            </w:pPr>
            <w:r>
              <w:rPr>
                <w:rFonts w:ascii="Arial" w:hAnsi="Arial"/>
                <w:sz w:val="18"/>
              </w:rPr>
              <w:t xml:space="preserve">2.4561</w:t>
            </w:r>
          </w:p>
        </w:tc>
        <w:tc>
          <w:tcPr>
            <w:tcW w:type="dxa" w:w="1440"/>
          </w:tcPr>
          <w:p>
            <w:pPr>
              <w:jc w:val="center"/>
            </w:pPr>
            <w:r>
              <w:rPr>
                <w:rFonts w:ascii="Arial" w:hAnsi="Arial"/>
                <w:sz w:val="18"/>
              </w:rPr>
              <w:t xml:space="preserve">1.2579</w:t>
            </w:r>
          </w:p>
        </w:tc>
        <w:tc>
          <w:tcPr>
            <w:tcW w:type="dxa" w:w="1440"/>
          </w:tcPr>
          <w:p>
            <w:pPr>
              <w:jc w:val="center"/>
            </w:pPr>
            <w:r>
              <w:rPr>
                <w:rFonts w:ascii="Arial" w:hAnsi="Arial"/>
                <w:sz w:val="18"/>
              </w:rPr>
              <w:t xml:space="preserve">762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Karan Builders Private Limited</w:t>
            </w:r>
          </w:p>
        </w:tc>
        <w:tc>
          <w:tcPr>
            <w:tcW w:type="dxa" w:w="1440"/>
          </w:tcPr>
          <w:p>
            <w:pPr>
              <w:jc w:val="center"/>
            </w:pPr>
            <w:r>
              <w:rPr>
                <w:rFonts w:ascii="Arial" w:hAnsi="Arial"/>
                <w:sz w:val="18"/>
              </w:rPr>
              <w:t xml:space="preserve">₹55.71 Lakh</w:t>
            </w:r>
          </w:p>
        </w:tc>
        <w:tc>
          <w:tcPr>
            <w:tcW w:type="dxa" w:w="1440"/>
          </w:tcPr>
          <w:p>
            <w:pPr>
              <w:jc w:val="center"/>
            </w:pPr>
            <w:r>
              <w:rPr>
                <w:rFonts w:ascii="Arial" w:hAnsi="Arial"/>
                <w:sz w:val="18"/>
              </w:rPr>
              <w:t xml:space="preserve">1.3115</w:t>
            </w:r>
          </w:p>
        </w:tc>
        <w:tc>
          <w:tcPr>
            <w:tcW w:type="dxa" w:w="1440"/>
          </w:tcPr>
          <w:p>
            <w:pPr>
              <w:jc w:val="center"/>
            </w:pPr>
            <w:r>
              <w:rPr>
                <w:rFonts w:ascii="Arial" w:hAnsi="Arial"/>
                <w:sz w:val="18"/>
              </w:rPr>
              <w:t xml:space="preserve">1.3163</w:t>
            </w:r>
          </w:p>
        </w:tc>
        <w:tc>
          <w:tcPr>
            <w:tcW w:type="dxa" w:w="1440"/>
          </w:tcPr>
          <w:p>
            <w:pPr>
              <w:jc w:val="center"/>
            </w:pPr>
            <w:r>
              <w:rPr>
                <w:rFonts w:ascii="Arial" w:hAnsi="Arial"/>
                <w:sz w:val="18"/>
              </w:rPr>
              <w:t xml:space="preserve">1.2404</w:t>
            </w:r>
          </w:p>
        </w:tc>
        <w:tc>
          <w:tcPr>
            <w:tcW w:type="dxa" w:w="1440"/>
          </w:tcPr>
          <w:p>
            <w:pPr>
              <w:jc w:val="center"/>
            </w:pPr>
            <w:r>
              <w:rPr>
                <w:rFonts w:ascii="Arial" w:hAnsi="Arial"/>
                <w:sz w:val="18"/>
              </w:rPr>
              <w:t xml:space="preserve">720</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Sterling Foods Private Limited</w:t>
            </w:r>
          </w:p>
        </w:tc>
        <w:tc>
          <w:tcPr>
            <w:tcW w:type="dxa" w:w="1440"/>
          </w:tcPr>
          <w:p>
            <w:pPr>
              <w:jc w:val="center"/>
            </w:pPr>
            <w:r>
              <w:rPr>
                <w:rFonts w:ascii="Arial" w:hAnsi="Arial"/>
                <w:sz w:val="18"/>
              </w:rPr>
              <w:t xml:space="preserve">₹56.42 Lakh</w:t>
            </w:r>
          </w:p>
        </w:tc>
        <w:tc>
          <w:tcPr>
            <w:tcW w:type="dxa" w:w="1440"/>
          </w:tcPr>
          <w:p>
            <w:pPr>
              <w:jc w:val="center"/>
            </w:pPr>
            <w:r>
              <w:rPr>
                <w:rFonts w:ascii="Arial" w:hAnsi="Arial"/>
                <w:sz w:val="18"/>
              </w:rPr>
              <w:t xml:space="preserve">1.7246</w:t>
            </w:r>
          </w:p>
        </w:tc>
        <w:tc>
          <w:tcPr>
            <w:tcW w:type="dxa" w:w="1440"/>
          </w:tcPr>
          <w:p>
            <w:pPr>
              <w:jc w:val="center"/>
            </w:pPr>
            <w:r>
              <w:rPr>
                <w:rFonts w:ascii="Arial" w:hAnsi="Arial"/>
                <w:sz w:val="18"/>
              </w:rPr>
              <w:t xml:space="preserve">4.0126</w:t>
            </w:r>
          </w:p>
        </w:tc>
        <w:tc>
          <w:tcPr>
            <w:tcW w:type="dxa" w:w="1440"/>
          </w:tcPr>
          <w:p>
            <w:pPr>
              <w:jc w:val="center"/>
            </w:pPr>
            <w:r>
              <w:rPr>
                <w:rFonts w:ascii="Arial" w:hAnsi="Arial"/>
                <w:sz w:val="18"/>
              </w:rPr>
              <w:t xml:space="preserve">1.0129</w:t>
            </w:r>
          </w:p>
        </w:tc>
        <w:tc>
          <w:tcPr>
            <w:tcW w:type="dxa" w:w="1440"/>
          </w:tcPr>
          <w:p>
            <w:pPr>
              <w:jc w:val="center"/>
            </w:pPr>
            <w:r>
              <w:rPr>
                <w:rFonts w:ascii="Arial" w:hAnsi="Arial"/>
                <w:sz w:val="18"/>
              </w:rPr>
              <w:t xml:space="preserve">733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Ambika Industries LLP</w:t>
            </w:r>
          </w:p>
        </w:tc>
        <w:tc>
          <w:tcPr>
            <w:tcW w:type="dxa" w:w="1440"/>
          </w:tcPr>
          <w:p>
            <w:pPr>
              <w:jc w:val="center"/>
            </w:pPr>
            <w:r>
              <w:rPr>
                <w:rFonts w:ascii="Arial" w:hAnsi="Arial"/>
                <w:sz w:val="18"/>
              </w:rPr>
              <w:t xml:space="preserve">₹68.24 Lakh</w:t>
            </w:r>
          </w:p>
        </w:tc>
        <w:tc>
          <w:tcPr>
            <w:tcW w:type="dxa" w:w="1440"/>
          </w:tcPr>
          <w:p>
            <w:pPr>
              <w:jc w:val="center"/>
            </w:pPr>
            <w:r>
              <w:rPr>
                <w:rFonts w:ascii="Arial" w:hAnsi="Arial"/>
                <w:sz w:val="18"/>
              </w:rPr>
              <w:t xml:space="preserve">1.3153</w:t>
            </w:r>
          </w:p>
        </w:tc>
        <w:tc>
          <w:tcPr>
            <w:tcW w:type="dxa" w:w="1440"/>
          </w:tcPr>
          <w:p>
            <w:pPr>
              <w:jc w:val="center"/>
            </w:pPr>
            <w:r>
              <w:rPr>
                <w:rFonts w:ascii="Arial" w:hAnsi="Arial"/>
                <w:sz w:val="18"/>
              </w:rPr>
              <w:t xml:space="preserve">2.3334</w:t>
            </w:r>
          </w:p>
        </w:tc>
        <w:tc>
          <w:tcPr>
            <w:tcW w:type="dxa" w:w="1440"/>
          </w:tcPr>
          <w:p>
            <w:pPr>
              <w:jc w:val="center"/>
            </w:pPr>
            <w:r>
              <w:rPr>
                <w:rFonts w:ascii="Arial" w:hAnsi="Arial"/>
                <w:sz w:val="18"/>
              </w:rPr>
              <w:t xml:space="preserve">0.9381</w:t>
            </w:r>
          </w:p>
        </w:tc>
        <w:tc>
          <w:tcPr>
            <w:tcW w:type="dxa" w:w="1440"/>
          </w:tcPr>
          <w:p>
            <w:pPr>
              <w:jc w:val="center"/>
            </w:pPr>
            <w:r>
              <w:rPr>
                <w:rFonts w:ascii="Arial" w:hAnsi="Arial"/>
                <w:sz w:val="18"/>
              </w:rPr>
              <w:t xml:space="preserve">696</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Vanguard Industries LLP</w:t>
            </w:r>
          </w:p>
        </w:tc>
        <w:tc>
          <w:tcPr>
            <w:tcW w:type="dxa" w:w="1440"/>
          </w:tcPr>
          <w:p>
            <w:pPr>
              <w:jc w:val="center"/>
            </w:pPr>
            <w:r>
              <w:rPr>
                <w:rFonts w:ascii="Arial" w:hAnsi="Arial"/>
                <w:sz w:val="18"/>
              </w:rPr>
              <w:t xml:space="preserve">₹1.04 Cr</w:t>
            </w:r>
          </w:p>
        </w:tc>
        <w:tc>
          <w:tcPr>
            <w:tcW w:type="dxa" w:w="1440"/>
          </w:tcPr>
          <w:p>
            <w:pPr>
              <w:jc w:val="center"/>
            </w:pPr>
            <w:r>
              <w:rPr>
                <w:rFonts w:ascii="Arial" w:hAnsi="Arial"/>
                <w:sz w:val="18"/>
              </w:rPr>
              <w:t xml:space="preserve">1.3169</w:t>
            </w:r>
          </w:p>
        </w:tc>
        <w:tc>
          <w:tcPr>
            <w:tcW w:type="dxa" w:w="1440"/>
          </w:tcPr>
          <w:p>
            <w:pPr>
              <w:jc w:val="center"/>
            </w:pPr>
            <w:r>
              <w:rPr>
                <w:rFonts w:ascii="Arial" w:hAnsi="Arial"/>
                <w:sz w:val="18"/>
              </w:rPr>
              <w:t xml:space="preserve">1.9122</w:t>
            </w:r>
          </w:p>
        </w:tc>
        <w:tc>
          <w:tcPr>
            <w:tcW w:type="dxa" w:w="1440"/>
          </w:tcPr>
          <w:p>
            <w:pPr>
              <w:jc w:val="center"/>
            </w:pPr>
            <w:r>
              <w:rPr>
                <w:rFonts w:ascii="Arial" w:hAnsi="Arial"/>
                <w:sz w:val="18"/>
              </w:rPr>
              <w:t xml:space="preserve">1.2242</w:t>
            </w:r>
          </w:p>
        </w:tc>
        <w:tc>
          <w:tcPr>
            <w:tcW w:type="dxa" w:w="1440"/>
          </w:tcPr>
          <w:p>
            <w:pPr>
              <w:jc w:val="center"/>
            </w:pPr>
            <w:r>
              <w:rPr>
                <w:rFonts w:ascii="Arial" w:hAnsi="Arial"/>
                <w:sz w:val="18"/>
              </w:rPr>
              <w:t xml:space="preserve">712</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1.6330</w:t>
            </w:r>
          </w:p>
        </w:tc>
        <w:tc>
          <w:tcPr>
            <w:tcW w:type="dxa" w:w="1440"/>
            <w:shd w:fill="F3F4F6"/>
          </w:tcPr>
          <w:p>
            <w:pPr>
              <w:jc w:val="center"/>
            </w:pPr>
            <w:r>
              <w:rPr>
                <w:rFonts w:ascii="Arial" w:hAnsi="Arial"/>
                <w:b/>
                <w:sz w:val="18"/>
              </w:rPr>
              <w:t xml:space="preserve">2.5586</w:t>
            </w:r>
          </w:p>
        </w:tc>
        <w:tc>
          <w:tcPr>
            <w:tcW w:type="dxa" w:w="1440"/>
            <w:shd w:fill="F3F4F6"/>
          </w:tcPr>
          <w:p>
            <w:pPr>
              <w:jc w:val="center"/>
            </w:pPr>
            <w:r>
              <w:rPr>
                <w:rFonts w:ascii="Arial" w:hAnsi="Arial"/>
                <w:b/>
                <w:sz w:val="18"/>
              </w:rPr>
              <w:t xml:space="preserve">1.1925</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shown no signs of bias, with zero flips. This indicates that the decision is fair and unbiased, and can be relied upon for credit evaluation purposes.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Model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findings are not available, and further analysis is required to determine the creditworthiness of Bhaskar Solutions Private Limited. The discussion should focus on the company's financial performance, management team, and industry outlook to gain a more comprehensive understanding of its credit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