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r>
        <w:t>Company: samsung eklectronics</w:t>
      </w:r>
    </w:p>
    <w:p>
      <w:r>
        <w:t>PAN: BAVPs6846J | GSTIN: 99ANBJOJHIIKN | CIN: U989989BNI)()BNM</w:t>
      </w:r>
    </w:p>
    <w:p>
      <w:r>
        <w:t>Generated: 2026-04-15 12:35 UTC</w:t>
      </w:r>
    </w:p>
    <w:p>
      <w:r>
        <w:t>System: Trinetra Agentic Credit Intelligence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3A5C"/>
        </w:rPr>
        <w:t>1. CHARACTER — Identity &amp; Management Quality</w:t>
      </w:r>
    </w:p>
    <w:p>
      <w:pPr>
        <w:pStyle w:val="Heading2"/>
      </w:pPr>
      <w:r>
        <w:t>PAN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 Status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Aadhaar Seeding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MCA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Status (MCA)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Director Changes (2yr)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Charges Filed</w:t>
            </w:r>
          </w:p>
        </w:tc>
        <w:tc>
          <w:tcPr>
            <w:tcW w:type="dxa" w:w="4320"/>
          </w:tcPr>
          <w:p>
            <w:r>
              <w:t>YES ⚠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Defaulter Flag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Litigation Cases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News Sentiment: POSITIVE (avg score: 0.159, 2 articles analyzed)</w:t>
      </w:r>
    </w:p>
    <w:p>
      <w:pPr>
        <w:pStyle w:val="Heading1"/>
      </w:pPr>
      <w:r>
        <w:rPr>
          <w:color w:val="1B3A5C"/>
        </w:rPr>
        <w:t>2. CAPACITY — Financial Ability to Repay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Debt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Worth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Expense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</w:tbl>
    <w:p>
      <w:r>
        <w:t>DSCR: Data pending</w:t>
      </w:r>
    </w:p>
    <w:p>
      <w:r>
        <w:t>ICR: Data pending</w:t>
      </w:r>
    </w:p>
    <w:p>
      <w:r>
        <w:t>Leverage (D/E): Data pending</w:t>
      </w:r>
    </w:p>
    <w:p>
      <w:pPr>
        <w:pStyle w:val="Heading1"/>
      </w:pPr>
      <w:r>
        <w:rPr>
          <w:color w:val="1B3A5C"/>
        </w:rPr>
        <w:t>3. CAPITAL — Equity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Promoter Holding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Pledged Shares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CIBIL Score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rPr>
          <w:color w:val="1B3A5C"/>
        </w:rPr>
        <w:t>4. CONDITIONS — Market &amp; Regulatory Environment</w:t>
      </w:r>
    </w:p>
    <w:p>
      <w:r>
        <w:t>Sector Headwinds Identified:</w:t>
      </w:r>
    </w:p>
    <w:p>
      <w:pPr>
        <w:pStyle w:val="ListBullet"/>
      </w:pPr>
      <w:r>
        <w:t xml:space="preserve">  • Mandatory Stress Testing</w:t>
      </w:r>
    </w:p>
    <w:p>
      <w:pPr>
        <w:pStyle w:val="ListBullet"/>
      </w:pPr>
      <w:r>
        <w:t xml:space="preserve">  • Prudential Norms</w:t>
      </w:r>
    </w:p>
    <w:p>
      <w:r>
        <w:t>GST Reconciliation: OK (2B vs 3B discrepancy: 0.0%)</w:t>
      </w:r>
    </w:p>
    <w:p>
      <w:r>
        <w:t>Circular Trade Index: 0.0000 (0 cycles detected)</w:t>
      </w:r>
    </w:p>
    <w:p>
      <w:r>
        <w:t>Bank Reconciliation: INFLATION_SUSPECTED (turnover divergence: 100.0%, inflation flag: NO)</w:t>
      </w:r>
    </w:p>
    <w:p>
      <w:pPr>
        <w:pStyle w:val="Heading1"/>
      </w:pPr>
      <w:r>
        <w:rPr>
          <w:color w:val="1B3A5C"/>
        </w:rPr>
        <w:t>5. COLLATERAL — Risk Assessment &amp;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0.3931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  <w:tc>
          <w:tcPr>
            <w:tcW w:type="dxa" w:w="4320"/>
          </w:tcPr>
          <w:p>
            <w:r>
              <w:t>LOGISTIC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4320"/>
          </w:tcPr>
          <w:p>
            <w:r>
              <w:t>₹3.82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Rate (bps)</w:t>
            </w:r>
          </w:p>
        </w:tc>
        <w:tc>
          <w:tcPr>
            <w:tcW w:type="dxa" w:w="4320"/>
          </w:tcPr>
          <w:p>
            <w:r>
              <w:t>1007</w:t>
            </w:r>
          </w:p>
        </w:tc>
      </w:tr>
    </w:tbl>
    <w:p>
      <w:r>
        <w:t>Top Risk Factors (SHAP Analysis):</w:t>
      </w:r>
    </w:p>
    <w:p>
      <w:pPr>
        <w:pStyle w:val="ListBullet"/>
      </w:pPr>
      <w:r>
        <w:t xml:space="preserve">  • dscr_normalized: 0.1875</w:t>
      </w:r>
    </w:p>
    <w:p>
      <w:pPr>
        <w:pStyle w:val="ListBullet"/>
      </w:pPr>
      <w:r>
        <w:t xml:space="preserve">  • revenue_growth_normalized: 0.0686</w:t>
      </w:r>
    </w:p>
    <w:p>
      <w:pPr>
        <w:pStyle w:val="ListBullet"/>
      </w:pPr>
      <w:r>
        <w:t xml:space="preserve">  • ebitda_margin_normalized: 0.0600</w:t>
      </w:r>
    </w:p>
    <w:p>
      <w:pPr>
        <w:pStyle w:val="ListBullet"/>
      </w:pPr>
      <w:r>
        <w:t xml:space="preserve">  • leverage_normalized: 0.0360</w:t>
      </w:r>
    </w:p>
    <w:p>
      <w:pPr>
        <w:pStyle w:val="ListBullet"/>
      </w:pPr>
      <w:r>
        <w:t xml:space="preserve">  • news_sentiment_norm: 0.0210</w:t>
      </w:r>
    </w:p>
    <w:p>
      <w:pPr>
        <w:pStyle w:val="Heading2"/>
      </w:pPr>
      <w:r>
        <w:t>Stress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DSCR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Revenue-20%</w:t>
            </w:r>
          </w:p>
        </w:tc>
        <w:tc>
          <w:tcPr>
            <w:tcW w:type="dxa" w:w="2880"/>
          </w:tcPr>
          <w:p>
            <w:r>
              <w:t>1.8000</w:t>
            </w:r>
          </w:p>
        </w:tc>
        <w:tc>
          <w:tcPr>
            <w:tcW w:type="dxa" w:w="2880"/>
          </w:tcPr>
          <w:p>
            <w:r>
              <w:t>SURVIVES</w:t>
            </w:r>
          </w:p>
        </w:tc>
      </w:tr>
      <w:tr>
        <w:tc>
          <w:tcPr>
            <w:tcW w:type="dxa" w:w="2880"/>
          </w:tcPr>
          <w:p>
            <w:r>
              <w:t>Rate+2%</w:t>
            </w:r>
          </w:p>
        </w:tc>
        <w:tc>
          <w:tcPr>
            <w:tcW w:type="dxa" w:w="2880"/>
          </w:tcPr>
          <w:p>
            <w:r>
              <w:t>1.8000</w:t>
            </w:r>
          </w:p>
        </w:tc>
        <w:tc>
          <w:tcPr>
            <w:tcW w:type="dxa" w:w="2880"/>
          </w:tcPr>
          <w:p>
            <w:r>
              <w:t>SURVIVES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1.8000</w:t>
            </w:r>
          </w:p>
        </w:tc>
        <w:tc>
          <w:tcPr>
            <w:tcW w:type="dxa" w:w="2880"/>
          </w:tcPr>
          <w:p>
            <w:r>
              <w:t>SURVIVES</w:t>
            </w:r>
          </w:p>
        </w:tc>
      </w:tr>
    </w:tbl>
    <w:p>
      <w:r>
        <w:t>Worst Case DSCR: 1.8000 → SURVIVES</w:t>
      </w:r>
    </w:p>
    <w:p>
      <w:pPr>
        <w:pStyle w:val="Heading2"/>
      </w:pPr>
      <w:r>
        <w:t>Bias &amp; Fairness Check</w:t>
      </w:r>
    </w:p>
    <w:p>
      <w:r>
        <w:t>Counterfactual Tested: YES ✓</w:t>
      </w:r>
    </w:p>
    <w:p>
      <w:pPr>
        <w:pStyle w:val="Heading2"/>
      </w:pPr>
      <w:r>
        <w:t>Decision Confidence</w:t>
      </w:r>
    </w:p>
    <w:p>
      <w:r>
        <w:t>Overall Confidence: 0.0000</w:t>
      </w:r>
    </w:p>
    <w:p>
      <w:r>
        <w:t>Formula: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