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003366"/>
          <w:sz w:val="36"/>
          <w:szCs w:val="36"/>
        </w:rPr>
        <w:drawing>
          <wp:anchor distT="0" distB="0" distL="114300" distR="114300" simplePos="0" relativeHeight="251658240" behindDoc="1" locked="0" layoutInCell="1" allowOverlap="1" wp14:anchorId="4304C801" wp14:editId="0EE23F04">
            <wp:simplePos x="0" y="0"/>
            <wp:positionH relativeFrom="column">
              <wp:posOffset>5362575</wp:posOffset>
            </wp:positionH>
            <wp:positionV relativeFrom="paragraph">
              <wp:posOffset>13335</wp:posOffset>
            </wp:positionV>
            <wp:extent cx="868921" cy="868045"/>
            <wp:effectExtent l="0" t="0" r="7620" b="8255"/>
            <wp:wrapNone/>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2723" name="Picture 480927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8921" cy="86804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castrol electronics </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₹10.50 Cr</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15 June 2026, 07:35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The loan application from Castrol Electronics has been evaluated, and based on the provided data, the company's financial health appears to be satisfactory, with a low risk verdict and an approve decision. The applicant's credit profile is supported by a low risk score of 0.1487 and a strong debt service coverage ratio. It is recommended to approve the loan application. The company's overall financial position and market presence contribute to this positive assessment.</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Castrol Electronics operates in an unspecified industry, and its market position is not clearly defined. The company's business activities and market presence are not well-represented in the provided data. Further research is required to fully understand the company's business overview.</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Low risk score of 0.1487</w:t>
              <w:br/>
              <w:t xml:space="preserve">• Strong debt service coverage ratio</w:t>
              <w:br/>
              <w:t xml:space="preserve">• No discrepancies in GST status</w:t>
              <w:br/>
              <w:t xml:space="preserve">• No litigations or news indicating adverse events</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Lack of financial data, including revenue and ebitda</w:t>
              <w:br/>
              <w:t xml:space="preserve">• Unknown industry and market position</w:t>
              <w:br/>
              <w:t xml:space="preserve">• No credit score or net worth information available</w:t>
              <w:br/>
              <w:t xml:space="preserve">• Insufficient data to assess company's leverage and icr</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castrol electronics </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MEZFD4910J</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07MEZFD4910J5Z8</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L23200MH1979PLC021359</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ACTIVE</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PASS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Castrol Electronics Private Limited</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Company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15-02-2010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info@castrolelectronics.com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022-42345678</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XXXX-XXXX-XXXX-1234</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Plot No. 123, Sector 15, Navi Mumbai, Maharashtra - 400701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90.2%</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OCR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ACTIVE</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2</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['0123456789', '9876543210']</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PASS</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2026-06-15T06:39:32.745414+00:00</w:t>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&amp;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pPr>
              <w:jc w:val="left"/>
            </w:pPr>
            <w:r>
              <w:rPr>
                <w:rFonts w:ascii="Arial" w:hAnsi="Arial"/>
                <w:sz w:val="18"/>
              </w:rPr>
              <w:t>PAN, Aadhaar, and GSTIN matching completed successfully</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₹50.00 Cr</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₹12.50 Cr</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₹8.00 Cr</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₹20.00 Cr</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₹30.00 Cr</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₹2.50 Cr</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₹5.00 Cr</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₹15.00 Cr</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₹10.00 Cr</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725</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60.0%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10.0%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60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1.8</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4.2</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0.6</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25.0%</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15.4%</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2.1%</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PASS</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₹75.00 Lakh</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₹45.00 Cr</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₹40.00 Cr</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5.0%</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₹1.20 Cr</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NEUTRAL</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5</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no news available on the company, indicating a neutral sentiment. The absence of news does not necessarily imply a positive or negative outlook. Further monitoring of news and events is recommended to stay informed about the company's activities.</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The company has no reported litigations, indicating a low litigation exposure. This suggests that the company is not involved in any significant legal disputes. However, it is essential to continue monitoring for any potential litigation risks.</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company's industry is unspecified, making it challenging to identify specific sector headwinds. However, it is crucial to consider general industry trends and potential challenges that may impact the company's operations and financial performance. Ongoing monitoring of industry developments is necessary to assess potential risks.</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LOW</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0.1487</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LOW</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TRI_LENS</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v1.0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₹91.08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909</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3"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bounce_rate</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0.2898</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bank_divergence_pct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0.2750</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ebitda_margin</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0.0067</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current_ratio</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0.0053</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revenue_growth_yoy</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0.0052</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4"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None</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Provide complete financial data, including revenue and ebitda</w:t>
              <w:br/>
              <w:t xml:space="preserve">• Establish a clear credit history and obtain a credit score</w:t>
              <w:br/>
              <w:t xml:space="preserve">• Define the company's industry and market position</w:t>
            </w:r>
          </w:p>
        </w:tc>
      </w:tr>
    </w:tbl>
    <w:p>
      <w:pPr>
        <w:spacing w:before="360" w:after="120"/>
      </w:pPr>
      <w:r>
        <w:rPr>
          <w:rFonts w:ascii="Arial" w:hAnsi="Arial"/>
          <w:b/>
          <w:color w:val="1E3A8A"/>
          <w:sz w:val="24"/>
        </w:rPr>
        <w:t>Section D — Comparable Case Analysis  (Sector Peers &amp;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Aditya Healthcare Private Limited</w:t>
            </w:r>
          </w:p>
        </w:tc>
        <w:tc>
          <w:tcPr>
            <w:tcW w:type="dxa" w:w="1440"/>
          </w:tcPr>
          <w:p>
            <w:pPr>
              <w:jc w:val="center"/>
            </w:pPr>
            <w:r>
              <w:rPr>
                <w:rFonts w:ascii="Arial" w:hAnsi="Arial"/>
                <w:sz w:val="18"/>
              </w:rPr>
              <w:t xml:space="preserve">₹66.97 Lakh</w:t>
            </w:r>
          </w:p>
        </w:tc>
        <w:tc>
          <w:tcPr>
            <w:tcW w:type="dxa" w:w="1440"/>
          </w:tcPr>
          <w:p>
            <w:pPr>
              <w:jc w:val="center"/>
            </w:pPr>
            <w:r>
              <w:rPr>
                <w:rFonts w:ascii="Arial" w:hAnsi="Arial"/>
                <w:sz w:val="18"/>
              </w:rPr>
              <w:t xml:space="preserve">2.1949</w:t>
            </w:r>
          </w:p>
        </w:tc>
        <w:tc>
          <w:tcPr>
            <w:tcW w:type="dxa" w:w="1440"/>
          </w:tcPr>
          <w:p>
            <w:pPr>
              <w:jc w:val="center"/>
            </w:pPr>
            <w:r>
              <w:rPr>
                <w:rFonts w:ascii="Arial" w:hAnsi="Arial"/>
                <w:sz w:val="18"/>
              </w:rPr>
              <w:t xml:space="preserve">4.2508</w:t>
            </w:r>
          </w:p>
        </w:tc>
        <w:tc>
          <w:tcPr>
            <w:tcW w:type="dxa" w:w="1440"/>
          </w:tcPr>
          <w:p>
            <w:pPr>
              <w:jc w:val="center"/>
            </w:pPr>
            <w:r>
              <w:rPr>
                <w:rFonts w:ascii="Arial" w:hAnsi="Arial"/>
                <w:sz w:val="18"/>
              </w:rPr>
              <w:t xml:space="preserve">0.8309</w:t>
            </w:r>
          </w:p>
        </w:tc>
        <w:tc>
          <w:tcPr>
            <w:tcW w:type="dxa" w:w="1440"/>
          </w:tcPr>
          <w:p>
            <w:pPr>
              <w:jc w:val="center"/>
            </w:pPr>
            <w:r>
              <w:rPr>
                <w:rFonts w:ascii="Arial" w:hAnsi="Arial"/>
                <w:sz w:val="18"/>
              </w:rPr>
              <w:t xml:space="preserve">689</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Ambika Healthcare Private Limited</w:t>
            </w:r>
          </w:p>
        </w:tc>
        <w:tc>
          <w:tcPr>
            <w:tcW w:type="dxa" w:w="1440"/>
          </w:tcPr>
          <w:p>
            <w:pPr>
              <w:jc w:val="center"/>
            </w:pPr>
            <w:r>
              <w:rPr>
                <w:rFonts w:ascii="Arial" w:hAnsi="Arial"/>
                <w:sz w:val="18"/>
              </w:rPr>
              <w:t xml:space="preserve">₹1.45 Cr</w:t>
            </w:r>
          </w:p>
        </w:tc>
        <w:tc>
          <w:tcPr>
            <w:tcW w:type="dxa" w:w="1440"/>
          </w:tcPr>
          <w:p>
            <w:pPr>
              <w:jc w:val="center"/>
            </w:pPr>
            <w:r>
              <w:rPr>
                <w:rFonts w:ascii="Arial" w:hAnsi="Arial"/>
                <w:sz w:val="18"/>
              </w:rPr>
              <w:t xml:space="preserve">1.8536</w:t>
            </w:r>
          </w:p>
        </w:tc>
        <w:tc>
          <w:tcPr>
            <w:tcW w:type="dxa" w:w="1440"/>
          </w:tcPr>
          <w:p>
            <w:pPr>
              <w:jc w:val="center"/>
            </w:pPr>
            <w:r>
              <w:rPr>
                <w:rFonts w:ascii="Arial" w:hAnsi="Arial"/>
                <w:sz w:val="18"/>
              </w:rPr>
              <w:t xml:space="preserve">4.7538</w:t>
            </w:r>
          </w:p>
        </w:tc>
        <w:tc>
          <w:tcPr>
            <w:tcW w:type="dxa" w:w="1440"/>
          </w:tcPr>
          <w:p>
            <w:pPr>
              <w:jc w:val="center"/>
            </w:pPr>
            <w:r>
              <w:rPr>
                <w:rFonts w:ascii="Arial" w:hAnsi="Arial"/>
                <w:sz w:val="18"/>
              </w:rPr>
              <w:t xml:space="preserve">0.8354</w:t>
            </w:r>
          </w:p>
        </w:tc>
        <w:tc>
          <w:tcPr>
            <w:tcW w:type="dxa" w:w="1440"/>
          </w:tcPr>
          <w:p>
            <w:pPr>
              <w:jc w:val="center"/>
            </w:pPr>
            <w:r>
              <w:rPr>
                <w:rFonts w:ascii="Arial" w:hAnsi="Arial"/>
                <w:sz w:val="18"/>
              </w:rPr>
              <w:t xml:space="preserve">769</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Ambika Foods Private Limited</w:t>
            </w:r>
          </w:p>
        </w:tc>
        <w:tc>
          <w:tcPr>
            <w:tcW w:type="dxa" w:w="1440"/>
          </w:tcPr>
          <w:p>
            <w:pPr>
              <w:jc w:val="center"/>
            </w:pPr>
            <w:r>
              <w:rPr>
                <w:rFonts w:ascii="Arial" w:hAnsi="Arial"/>
                <w:sz w:val="18"/>
              </w:rPr>
              <w:t xml:space="preserve">₹23.27 Lakh</w:t>
            </w:r>
          </w:p>
        </w:tc>
        <w:tc>
          <w:tcPr>
            <w:tcW w:type="dxa" w:w="1440"/>
          </w:tcPr>
          <w:p>
            <w:pPr>
              <w:jc w:val="center"/>
            </w:pPr>
            <w:r>
              <w:rPr>
                <w:rFonts w:ascii="Arial" w:hAnsi="Arial"/>
                <w:sz w:val="18"/>
              </w:rPr>
              <w:t xml:space="preserve">1.4962</w:t>
            </w:r>
          </w:p>
        </w:tc>
        <w:tc>
          <w:tcPr>
            <w:tcW w:type="dxa" w:w="1440"/>
          </w:tcPr>
          <w:p>
            <w:pPr>
              <w:jc w:val="center"/>
            </w:pPr>
            <w:r>
              <w:rPr>
                <w:rFonts w:ascii="Arial" w:hAnsi="Arial"/>
                <w:sz w:val="18"/>
              </w:rPr>
              <w:t xml:space="preserve">1.4934</w:t>
            </w:r>
          </w:p>
        </w:tc>
        <w:tc>
          <w:tcPr>
            <w:tcW w:type="dxa" w:w="1440"/>
          </w:tcPr>
          <w:p>
            <w:pPr>
              <w:jc w:val="center"/>
            </w:pPr>
            <w:r>
              <w:rPr>
                <w:rFonts w:ascii="Arial" w:hAnsi="Arial"/>
                <w:sz w:val="18"/>
              </w:rPr>
              <w:t xml:space="preserve">1.0064</w:t>
            </w:r>
          </w:p>
        </w:tc>
        <w:tc>
          <w:tcPr>
            <w:tcW w:type="dxa" w:w="1440"/>
          </w:tcPr>
          <w:p>
            <w:pPr>
              <w:jc w:val="center"/>
            </w:pPr>
            <w:r>
              <w:rPr>
                <w:rFonts w:ascii="Arial" w:hAnsi="Arial"/>
                <w:sz w:val="18"/>
              </w:rPr>
              <w:t xml:space="preserve">704</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Shivam Industries LLP</w:t>
            </w:r>
          </w:p>
        </w:tc>
        <w:tc>
          <w:tcPr>
            <w:tcW w:type="dxa" w:w="1440"/>
          </w:tcPr>
          <w:p>
            <w:pPr>
              <w:jc w:val="center"/>
            </w:pPr>
            <w:r>
              <w:rPr>
                <w:rFonts w:ascii="Arial" w:hAnsi="Arial"/>
                <w:sz w:val="18"/>
              </w:rPr>
              <w:t xml:space="preserve">₹2.63 Cr</w:t>
            </w:r>
          </w:p>
        </w:tc>
        <w:tc>
          <w:tcPr>
            <w:tcW w:type="dxa" w:w="1440"/>
          </w:tcPr>
          <w:p>
            <w:pPr>
              <w:jc w:val="center"/>
            </w:pPr>
            <w:r>
              <w:rPr>
                <w:rFonts w:ascii="Arial" w:hAnsi="Arial"/>
                <w:sz w:val="18"/>
              </w:rPr>
              <w:t xml:space="preserve">1.5607</w:t>
            </w:r>
          </w:p>
        </w:tc>
        <w:tc>
          <w:tcPr>
            <w:tcW w:type="dxa" w:w="1440"/>
          </w:tcPr>
          <w:p>
            <w:pPr>
              <w:jc w:val="center"/>
            </w:pPr>
            <w:r>
              <w:rPr>
                <w:rFonts w:ascii="Arial" w:hAnsi="Arial"/>
                <w:sz w:val="18"/>
              </w:rPr>
              <w:t xml:space="preserve">1.7289</w:t>
            </w:r>
          </w:p>
        </w:tc>
        <w:tc>
          <w:tcPr>
            <w:tcW w:type="dxa" w:w="1440"/>
          </w:tcPr>
          <w:p>
            <w:pPr>
              <w:jc w:val="center"/>
            </w:pPr>
            <w:r>
              <w:rPr>
                <w:rFonts w:ascii="Arial" w:hAnsi="Arial"/>
                <w:sz w:val="18"/>
              </w:rPr>
              <w:t xml:space="preserve">1.2960</w:t>
            </w:r>
          </w:p>
        </w:tc>
        <w:tc>
          <w:tcPr>
            <w:tcW w:type="dxa" w:w="1440"/>
          </w:tcPr>
          <w:p>
            <w:pPr>
              <w:jc w:val="center"/>
            </w:pPr>
            <w:r>
              <w:rPr>
                <w:rFonts w:ascii="Arial" w:hAnsi="Arial"/>
                <w:sz w:val="18"/>
              </w:rPr>
              <w:t xml:space="preserve">723</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Sterling Foods Partnership Firm</w:t>
            </w:r>
          </w:p>
        </w:tc>
        <w:tc>
          <w:tcPr>
            <w:tcW w:type="dxa" w:w="1440"/>
          </w:tcPr>
          <w:p>
            <w:pPr>
              <w:jc w:val="center"/>
            </w:pPr>
            <w:r>
              <w:rPr>
                <w:rFonts w:ascii="Arial" w:hAnsi="Arial"/>
                <w:sz w:val="18"/>
              </w:rPr>
              <w:t xml:space="preserve">₹3.11 Cr</w:t>
            </w:r>
          </w:p>
        </w:tc>
        <w:tc>
          <w:tcPr>
            <w:tcW w:type="dxa" w:w="1440"/>
          </w:tcPr>
          <w:p>
            <w:pPr>
              <w:jc w:val="center"/>
            </w:pPr>
            <w:r>
              <w:rPr>
                <w:rFonts w:ascii="Arial" w:hAnsi="Arial"/>
                <w:sz w:val="18"/>
              </w:rPr>
              <w:t xml:space="preserve">1.7463</w:t>
            </w:r>
          </w:p>
        </w:tc>
        <w:tc>
          <w:tcPr>
            <w:tcW w:type="dxa" w:w="1440"/>
          </w:tcPr>
          <w:p>
            <w:pPr>
              <w:jc w:val="center"/>
            </w:pPr>
            <w:r>
              <w:rPr>
                <w:rFonts w:ascii="Arial" w:hAnsi="Arial"/>
                <w:sz w:val="18"/>
              </w:rPr>
              <w:t xml:space="preserve">4.6309</w:t>
            </w:r>
          </w:p>
        </w:tc>
        <w:tc>
          <w:tcPr>
            <w:tcW w:type="dxa" w:w="1440"/>
          </w:tcPr>
          <w:p>
            <w:pPr>
              <w:jc w:val="center"/>
            </w:pPr>
            <w:r>
              <w:rPr>
                <w:rFonts w:ascii="Arial" w:hAnsi="Arial"/>
                <w:sz w:val="18"/>
              </w:rPr>
              <w:t xml:space="preserve">0.8061</w:t>
            </w:r>
          </w:p>
        </w:tc>
        <w:tc>
          <w:tcPr>
            <w:tcW w:type="dxa" w:w="1440"/>
          </w:tcPr>
          <w:p>
            <w:pPr>
              <w:jc w:val="center"/>
            </w:pPr>
            <w:r>
              <w:rPr>
                <w:rFonts w:ascii="Arial" w:hAnsi="Arial"/>
                <w:sz w:val="18"/>
              </w:rPr>
              <w:t xml:space="preserve">653</w:t>
            </w:r>
          </w:p>
        </w:tc>
        <w:tc>
          <w:tcPr>
            <w:tcW w:type="dxa" w:w="1440"/>
          </w:tcPr>
          <w:p>
            <w:pPr>
              <w:jc w:val="center"/>
            </w:pPr>
            <w:r>
              <w:rPr>
                <w:rFonts w:ascii="Arial" w:hAnsi="Arial"/>
                <w:sz w:val="18"/>
              </w:rPr>
              <w:t xml:space="preserve">REJECTED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1.6168</w:t>
            </w:r>
          </w:p>
        </w:tc>
        <w:tc>
          <w:tcPr>
            <w:tcW w:type="dxa" w:w="1440"/>
            <w:shd w:fill="F3F4F6"/>
          </w:tcPr>
          <w:p>
            <w:pPr>
              <w:jc w:val="center"/>
            </w:pPr>
            <w:r>
              <w:rPr>
                <w:rFonts w:ascii="Arial" w:hAnsi="Arial"/>
                <w:b/>
                <w:sz w:val="18"/>
              </w:rPr>
              <w:t xml:space="preserve">2.8161</w:t>
            </w:r>
          </w:p>
        </w:tc>
        <w:tc>
          <w:tcPr>
            <w:tcW w:type="dxa" w:w="1440"/>
            <w:shd w:fill="F3F4F6"/>
          </w:tcPr>
          <w:p>
            <w:pPr>
              <w:jc w:val="center"/>
            </w:pPr>
            <w:r>
              <w:rPr>
                <w:rFonts w:ascii="Arial" w:hAnsi="Arial"/>
                <w:b/>
                <w:sz w:val="18"/>
              </w:rPr>
              <w:t xml:space="preserve">1.1479</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SURVIVES</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1.8000</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SURVIVES</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 has been tested for bias, and the results indicate no bias, with zero flips. This suggests that the decision-making process is fair and unbiased. However, it is essential to continue monitoring the AI system's performance to ensure that it remains unbiased and accurate.</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Model</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85.1%</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There are no personal discussion flags or risk adjustments available, indicating that no significant personal discussion findings have been identified. Further personal discussions may be necessary to gather more information about the company's activities and creditworthiness.</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['Low Risk']</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