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castrol electronics </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₹15.00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25 April 2026, 17:32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loan application from Castrol Electronics has been approved with a medium risk band, driven by its decent financial health and low litigation exposure. However, the company's financials show zero revenue and ebitda, which is a concern. The decision to approve is based on the risk score of 0.4236 and the stress test verdict of 'SURVIVES'. We recommend close monitoring of the company's financial performance.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Castrol Electronics operates in an unknown industry, and its market position is not clear due to lack of data. The company has a GST status of 'OK' with no discrepancies or circular trades. The company's business operations and market standing are not well understood due to limited information.</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litigation exposure with zero reported litigations</w:t>
              <w:br/>
              <w:t xml:space="preserve">• No GST discrepancies or circular trades</w:t>
              <w:br/>
              <w:t xml:space="preserve">• The company's stress test verdict is 'SURVIVES', indicating resilience to potential economic downturns</w:t>
              <w:br/>
              <w:t xml:space="preserve">• The risk score of 0.4236 is within the acceptable range</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Zero revenue and ebitda reported in the financials</w:t>
              <w:br/>
              <w:t xml:space="preserve">• Unknown industry and market position</w:t>
              <w:br/>
              <w:t xml:space="preserve">• No clear understanding of the company's business operations</w:t>
              <w:br/>
              <w:t xml:space="preserve">• The company's leverage and debt service coverage ratio are not available due to lack of data</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castrol electronics </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BAVPs6846J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99ANBJOJHIIKN</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U989989BNI)()BNM</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VALID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castrol electronics </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Individual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YES</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Mumbai, Maharashtra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WEB_RAG</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2026-04-25T17:30:04.878010+00:00</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₹120.00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₹25.50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₹18.00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₹80.00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₹8.50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₹70.00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₹22.00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60.5%</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20.2%</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90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0.63</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21.3%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15.4%</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2.1%</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INFLATION_SUSPECTED</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₹180.00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₹120.00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₹25.00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100.0%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5</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10</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news available on the company, which makes it difficult to assess the promoter or company news sentiment. The lack of news may indicate a low public profile or limited media presence. Further research is needed to understand the company's reputation and public image.</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zero reported litigations, which is a positive indicator of its legal and regulatory compliance. The low litigation exposure reduces the risk of legal complications and associated costs. However, the lack of data on the company's industry and business operations makes it challenging to assess the potential for future litigations.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company's industry is unknown, making it challenging to identify specific sector headwinds. However, the general economic conditions and regulatory environment may impact the company's operations and financial performance. Close monitoring of the company's financial health and industry trends is essential to mitigate potential risks.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0.4236</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LOGISTIC</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₹5.59 Cr</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1019</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dscr_normalized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0.2500</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ebitda_margin_normalized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0.0800</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revenue_growth_normalized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0.0686</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news_sentiment_norm</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0.0250</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leverage_normalized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0.0000</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detailed financial statements, including revenue and ebitda</w:t>
              <w:br/>
              <w:t xml:space="preserve">• Disclose the company's industry and market position</w:t>
              <w:br/>
              <w:t xml:space="preserve">• Improve transparency on business operations and management</w:t>
              <w:br/>
              <w:t xml:space="preserve">• Develop a plan to address potential risks and challenges</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1</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has been tested for bias and shows no signs of unfairness, with zero flips reported. The risk score and decision are based on the available data and algorithms, which reduces the likelihood of bias. However, the lack of data on the company's industry and business operations may introduce some uncertainty in the decision-making process.</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transcript is not available, and there are no flags or risk adjustments reported. The lack of personal discussion data makes it challenging to assess the company's management and operational capabilities. Further discussions with the company's management are necessary to gain a better understanding of its business and financial health.</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['LOW_DEFAULT_RISK']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