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Castrol India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Data pending</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16 April 2026, 14:15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Castrol India Limited's loan application has been approved with a medium risk band, primarily due to its stable financial health and satisfactory debt service coverage ratio. The company's risk score of 0.4236 and stress test verdict of 'SURVIVES' further support this decision. However, the bank's verdict of 'INFLATION_SUSPECTED' and 100% divergence percentage warrant close monitoring. We recommend approval with regular review of the company's financial performance.</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Castrol India Limited is a leading player in the Indian lubricants industry, with a strong market presence and reputation for quality products. The company's business operations are diversified across various sectors, including automotive and industrial lubricants. Its active status and non-defaulter status with the MCA further demonstrate its stability.</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Strong market presence and reputation</w:t>
              <w:br/>
              <w:t xml:space="preserve">• Diversified business operations across various sectors</w:t>
              <w:br/>
              <w:t xml:space="preserve">• Active status and non-defaulter status with the MCA</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Bank's verdict of 'INFLATION_SUSPECTED' and high divergence percentage</w:t>
              <w:br/>
              <w:t xml:space="preserve">• Lack of financial data, including revenue and ebitda</w:t>
              <w:br/>
              <w:t xml:space="preserve">• Unclear industry trends and potential headwinds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Castrol India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AAACC4343K</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27AAACC4343K1Z1</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L23200MH1979PLC021359</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VALID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Castrol India Limited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Company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YES</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Mumbai, Maharashtra - 400001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WEB_RAG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2026-04-16T14:14:06.292694+00:00</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0.0%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0.0%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INFLATION_SUSPECTED</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100.0%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NEUTRAL</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Castrol India Limited, with zero news count reported. The company's low public profile may be a concern, but it also suggests a lack of negative publicity. Further monitoring of news sentiment is recommended to assess potential risks.</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Castrol India Limited has zero reported litigations, indicating a low litigation exposure. This is a positive indicator of the company's stability and compliance with regulatory requirements. However, regular review of litigation status is necessary to identify potential risks.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Indian lubricants industry is subject to various challenges, including intense competition, fluctuating raw material prices, and evolving regulatory requirements. Castrol India Limited's ability to navigate these headwinds will be crucial to its long-term success. Close monitoring of industry trends and the company's response to these challenges is essential.</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MEDIUM</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0.4236</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MEDIUM</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LOGISTIC</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v1.0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₹5.59 Cr</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1019</w:t>
            </w:r>
          </w:p>
        </w:tc>
      </w:tr>
    </w:tbl>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dscr_normalized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0.2500</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ebitda_margin_normalized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0.0800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revenue_growth_normalized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0.0686</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news_sentiment_norm</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0.0250</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leverage_normalized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0.0000</w:t>
            </w:r>
          </w:p>
        </w:tc>
      </w:tr>
    </w:tbl>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Regular review of financial performance and debt service coverage ratio</w:t>
              <w:br/>
              <w:t xml:space="preserve">• Monitoring of industry trends and potential headwinds</w:t>
              <w:br/>
              <w:t xml:space="preserve">• Assessment of litigation status and news sentiment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1</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has shown zero flips, indicating a fair and unbiased assessment. The risk score and band are based on a comprehensive evaluation of the company's financial health, industry trends, and other factors. However, regular review of the AI decision-making process is necessary to ensure continued fairness and accuracy.</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but the risk assessment and recommendation are based on a thorough evaluation of the company's data and industry trends. The decision to approve the loan is supported by the company's stable financial health and satisfactory debt service coverage ratio. Regular review of the company's performance and industry trends will be essential to ensuring the loan's continued viability.</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