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 xml:space="preserve">Company: samsung electronics </w:t>
      </w:r>
    </w:p>
    <w:p>
      <w:r>
        <w:t>PAN: BAVPS6846J | GSTIN: 99ADSBDJWVWW | CIN: U00890900900LNB0990NBN</w:t>
      </w:r>
    </w:p>
    <w:p>
      <w:r>
        <w:t>Generated: 2026-04-14 11:25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₹26.00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₹26.00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₹0.00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₹0.00</w:t>
            </w:r>
          </w:p>
        </w:tc>
      </w:tr>
    </w:tbl>
    <w:p>
      <w:r>
        <w:t>DSCR: N/A</w:t>
      </w:r>
    </w:p>
    <w:p>
      <w:r>
        <w:t>ICR: N/A</w:t>
      </w:r>
    </w:p>
    <w:p>
      <w:r>
        <w:t>Leverage (D/E): N/A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No significant sector headwinds detected.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0.3771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₹3.87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1001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dscr_normalized: 0.1875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ebitda_margin_normalized: 0.0600</w:t>
      </w:r>
    </w:p>
    <w:p>
      <w:pPr>
        <w:pStyle w:val="ListBullet"/>
      </w:pPr>
      <w:r>
        <w:t xml:space="preserve">  • leverage_normalized: 0.0360</w:t>
      </w:r>
    </w:p>
    <w:p>
      <w:pPr>
        <w:pStyle w:val="ListBullet"/>
      </w:pPr>
      <w:r>
        <w:t xml:space="preserve">  • news_sentiment_norm: 0.0250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99.0000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99.0000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99.0000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</w:tbl>
    <w:p>
      <w:r>
        <w:t>Worst Case DSCR: 99.0000 → SURVIVES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