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r>
        <w:t>Company: Castrol India Limited</w:t>
      </w:r>
    </w:p>
    <w:p>
      <w:r>
        <w:t>PAN: AAACC4343K | GSTIN: 27AAACC4343K1Z1 | CIN: L23200MH1979PLC021359</w:t>
      </w:r>
    </w:p>
    <w:p>
      <w:r>
        <w:t>Generated: 2026-04-15 21:04 UTC</w:t>
      </w:r>
    </w:p>
    <w:p>
      <w:r>
        <w:t>System: Trinetra Agentic Credit Intelligence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3A5C"/>
        </w:rPr>
        <w:t>1. CHARACTER — Identity &amp; Management Quality</w:t>
      </w:r>
    </w:p>
    <w:p>
      <w:pPr>
        <w:pStyle w:val="Heading2"/>
      </w:pPr>
      <w:r>
        <w:t>PAN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 Status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Aadhaar Seeding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2"/>
      </w:pPr>
      <w:r>
        <w:t>MCA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Status (MCA)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Director Changes (2yr)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 Charges Filed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Defaulter Flag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Litigation Cases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News Sentiment: NEUTRAL (avg score: 0.000, 1 articles analyzed)</w:t>
      </w:r>
    </w:p>
    <w:p>
      <w:pPr>
        <w:pStyle w:val="Heading1"/>
      </w:pPr>
      <w:r>
        <w:rPr>
          <w:color w:val="1B3A5C"/>
        </w:rPr>
        <w:t>2. CAPACITY — Financial Ability to Repay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4320"/>
          </w:tcPr>
          <w:p>
            <w:r>
              <w:t>₹5,721.50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Debt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Worth</w:t>
            </w:r>
          </w:p>
        </w:tc>
        <w:tc>
          <w:tcPr>
            <w:tcW w:type="dxa" w:w="4320"/>
          </w:tcPr>
          <w:p>
            <w:r>
              <w:t>₹1,900.30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Expense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</w:tbl>
    <w:p>
      <w:pPr>
        <w:pStyle w:val="IntenseQuote"/>
      </w:pPr>
      <w:r>
        <w:t>[Source: BANK_STMT, Chunk #1383, Confidence: 52%]</w:t>
      </w:r>
    </w:p>
    <w:p>
      <w:r>
        <w:t>DSCR: 1426.8080</w:t>
      </w:r>
    </w:p>
    <w:p>
      <w:r>
        <w:t>ICR: Data pending</w:t>
      </w:r>
    </w:p>
    <w:p>
      <w:r>
        <w:t>Leverage (D/E): Data pending</w:t>
      </w:r>
    </w:p>
    <w:p>
      <w:pPr>
        <w:pStyle w:val="Heading1"/>
      </w:pPr>
      <w:r>
        <w:rPr>
          <w:color w:val="1B3A5C"/>
        </w:rPr>
        <w:t>3. CAPITAL — Equity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Promoter Holding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Pledged Shares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CIBIL Score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rPr>
          <w:color w:val="1B3A5C"/>
        </w:rPr>
        <w:t>4. CONDITIONS — Market &amp; Regulatory Environment</w:t>
      </w:r>
    </w:p>
    <w:p>
      <w:r>
        <w:t>No significant sector headwinds detected.</w:t>
      </w:r>
    </w:p>
    <w:p>
      <w:r>
        <w:t>GST Reconciliation: OK (2B vs 3B discrepancy: 0.0%)</w:t>
      </w:r>
    </w:p>
    <w:p>
      <w:r>
        <w:t>Circular Trade Index: 0.0000 (0 cycles detected)</w:t>
      </w:r>
    </w:p>
    <w:p>
      <w:r>
        <w:t>Bank Reconciliation: INFLATION_SUSPECTED (turnover divergence: 100.0%, inflation flag: NO)</w:t>
      </w:r>
    </w:p>
    <w:p>
      <w:pPr>
        <w:pStyle w:val="Heading1"/>
      </w:pPr>
      <w:r>
        <w:rPr>
          <w:color w:val="1B3A5C"/>
        </w:rPr>
        <w:t>5. COLLATERAL — Risk Assessment &amp;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0.1736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APPROVE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Used</w:t>
            </w:r>
          </w:p>
        </w:tc>
        <w:tc>
          <w:tcPr>
            <w:tcW w:type="dxa" w:w="4320"/>
          </w:tcPr>
          <w:p>
            <w:r>
              <w:t>LOGISTIC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4320"/>
          </w:tcPr>
          <w:p>
            <w:r>
              <w:t>₹6.72 Cr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Rate (bps)</w:t>
            </w:r>
          </w:p>
        </w:tc>
        <w:tc>
          <w:tcPr>
            <w:tcW w:type="dxa" w:w="4320"/>
          </w:tcPr>
          <w:p>
            <w:r>
              <w:t>919</w:t>
            </w:r>
          </w:p>
        </w:tc>
      </w:tr>
    </w:tbl>
    <w:p>
      <w:r>
        <w:t>Top Risk Factors (SHAP Analysis):</w:t>
      </w:r>
    </w:p>
    <w:p>
      <w:pPr>
        <w:pStyle w:val="ListBullet"/>
      </w:pPr>
      <w:r>
        <w:t xml:space="preserve">  • ebitda_margin_normalized: 0.0800</w:t>
      </w:r>
    </w:p>
    <w:p>
      <w:pPr>
        <w:pStyle w:val="ListBullet"/>
      </w:pPr>
      <w:r>
        <w:t xml:space="preserve">  • revenue_growth_normalized: 0.0686</w:t>
      </w:r>
    </w:p>
    <w:p>
      <w:pPr>
        <w:pStyle w:val="ListBullet"/>
      </w:pPr>
      <w:r>
        <w:t xml:space="preserve">  • news_sentiment_norm: 0.0250</w:t>
      </w:r>
    </w:p>
    <w:p>
      <w:pPr>
        <w:pStyle w:val="ListBullet"/>
      </w:pPr>
      <w:r>
        <w:t xml:space="preserve">  • dscr_normalized: 0.0000</w:t>
      </w:r>
    </w:p>
    <w:p>
      <w:pPr>
        <w:pStyle w:val="ListBullet"/>
      </w:pPr>
      <w:r>
        <w:t xml:space="preserve">  • leverage_normalized: 0.0000</w:t>
      </w:r>
    </w:p>
    <w:p>
      <w:pPr>
        <w:pStyle w:val="Heading2"/>
      </w:pPr>
      <w:r>
        <w:t>Stress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DSCR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</w:tr>
      <w:tr>
        <w:tc>
          <w:tcPr>
            <w:tcW w:type="dxa" w:w="2880"/>
          </w:tcPr>
          <w:p>
            <w:r>
              <w:t>Revenue-20%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Rate+2%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r>
        <w:t>Worst Case DSCR: 0.0000 → CRITICAL</w:t>
      </w:r>
    </w:p>
    <w:p>
      <w:pPr>
        <w:pStyle w:val="Heading2"/>
      </w:pPr>
      <w:r>
        <w:t>Bias &amp; Fairness Check</w:t>
      </w:r>
    </w:p>
    <w:p>
      <w:r>
        <w:t>Counterfactual Tested: YES ✓</w:t>
      </w:r>
    </w:p>
    <w:p>
      <w:pPr>
        <w:pStyle w:val="Heading2"/>
      </w:pPr>
      <w:r>
        <w:t>Decision Confidence</w:t>
      </w:r>
    </w:p>
    <w:p>
      <w:r>
        <w:t>Overall Confidence: 0.0000</w:t>
      </w:r>
    </w:p>
    <w:p>
      <w:r>
        <w:t>Formula: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