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Castrol Ltd</w:t>
      </w:r>
    </w:p>
    <w:p>
      <w:r>
        <w:t>PAN: BAVPS6846J | GSTIN: 99ADSBDJWVWW | CIN: U00890900900LNB0990NBN</w:t>
      </w:r>
    </w:p>
    <w:p>
      <w:r>
        <w:t>Generated: 2026-04-15 20:04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YES 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News Sentiment: POSITIVE (avg score: 0.159, 2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₹5,721.50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₹1,900.30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r>
        <w:t>DSCR: Data pending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Sector Headwinds Identified:</w:t>
      </w:r>
    </w:p>
    <w:p>
      <w:pPr>
        <w:pStyle w:val="ListBullet"/>
      </w:pPr>
      <w:r>
        <w:t xml:space="preserve">  • Mandatory Stress Testing</w:t>
      </w:r>
    </w:p>
    <w:p>
      <w:pPr>
        <w:pStyle w:val="ListBullet"/>
      </w:pPr>
      <w:r>
        <w:t xml:space="preserve">  • Prudential Norms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₹3.82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1007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0.1875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ebitda_margin_normalized: 0.0600</w:t>
      </w:r>
    </w:p>
    <w:p>
      <w:pPr>
        <w:pStyle w:val="ListBullet"/>
      </w:pPr>
      <w:r>
        <w:t xml:space="preserve">  • leverage_normalized: 0.0360</w:t>
      </w:r>
    </w:p>
    <w:p>
      <w:pPr>
        <w:pStyle w:val="ListBullet"/>
      </w:pPr>
      <w:r>
        <w:t xml:space="preserve">  • news_sentiment_norm: 0.0210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