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700088" cy="1000125"/>
            <wp:effectExtent b="0" l="0" r="0" t="0"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4" w:sz="4" w:val="single"/>
          <w:bottom w:color="000000" w:space="4" w:sz="4" w:val="single"/>
        </w:pBdr>
        <w:spacing w:after="200" w:before="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 O N F I D E N T I A L</w:t>
      </w: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TRINETRA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CREDIT APPRAISAL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  <w:rtl w:val="0"/>
        </w:rPr>
        <w:t xml:space="preserve">(Prepared in alignment with RBI/NHB Credit Appraisal Guidelines)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Prepared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5c99"/>
          <w:sz w:val="24"/>
          <w:szCs w:val="24"/>
          <w:rtl w:val="0"/>
        </w:rPr>
        <w:t xml:space="preserve">Matrix Renewables 282 LLP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Loan 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₹20.00 Lakh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 July 2026, 15:20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Document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STRICTLY CONFIDENTIAL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240" w:lineRule="auto"/>
        <w:rPr/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This document is auto-generated by 14 AI Agents and is intended solely for authorized credit officers.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1.1 Credit Overview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Risk Band: HIGH. Decision: MANDATORY REVIEW. Analysis pending — LLM evaluation unavailable.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1.2 Business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color w:val="1f5c99"/>
          <w:sz w:val="21"/>
          <w:szCs w:val="21"/>
          <w:rtl w:val="0"/>
        </w:rPr>
        <w:t xml:space="preserve">Business overview pending.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Key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Data under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Data under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2. Applicant Identity &amp;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Company Profile (User Input)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Matrix Renewables 282 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DLBFM0412S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06DLBFM0412S9ZA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PAN Verification (Agent 7: pan-agent)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Value /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Verification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PAN Verification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PASS /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Matrix Renewables 282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Name on PAN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Company /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 of Birth /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2024-09-13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As per PAN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finance@matrixrenewables282llp.in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+91-7710150601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Masked Aadhaar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XXXX-XXXX-2635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Linked Aadhaar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Aadhaar Linked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Haryana,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0.00 – 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Extraction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NSDL_API_VERIFIED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WEB_RAG / DETERMINISTIC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MCA Corporate Intelligence (Agent 6: mca-agent)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Company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Changes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 Charge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Defaulter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 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Last AGM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2025-09-30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Director DIN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78319102, 24182573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Document Compliance (Agent 1: compliance-agent)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Missing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2026-07-20T15:19:32.032401+00:00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RBI/NHB Regulatory Compliance Checklist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1560"/>
        <w:gridCol w:w="4600"/>
        <w:tblGridChange w:id="0">
          <w:tblGrid>
            <w:gridCol w:w="3200"/>
            <w:gridCol w:w="156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Regulatory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Verification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RBI Caution Advice / Defaulter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 matching records found in central caution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Wilful Defaulter Check (CIBIL/CRIF)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Borrower entity &amp; promoter directors not listed as wilful defaulters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MCA Director Disqualification (Sec 164(2))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DIN verification completed. All directors active and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PEP (Politically Exposed Person)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7d32"/>
                <w:sz w:val="21"/>
                <w:szCs w:val="2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Screened against global databases. No political exposure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AML/KYC Status Alignment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VERIFIED — All KYC matching completed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Overall alignment verdict across KYC data sources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Note: the four static regulatory checks above are standard boilerplate items — the data dictionary currently exposes only an overall VERIFIED — All KYC matching completed successfully tag. Replace the static "CLEAN" text with individual tags once/if the agents expose per-check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3.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Core Financials (Agent 2: doc-agent / financials namespace)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₹2.23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₹2.23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Profit After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Outstanding Debt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₹1.55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Net Worth / Shareholder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₹89.08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Interest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₹18.59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Annual Principal Repayments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₹18.63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Total 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₹2.20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Taxable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CIBIL / 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652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Promoter Shareholding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54.4%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Pledged Shares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Working Capital Cycle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Derived Financial Ratios &amp; KPIs (Agent 2: derived_features 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Key Performance Indicators at a glance: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0.9749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0.1198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1.7426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1.0%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Revenue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10.2%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18"/>
                <w:szCs w:val="18"/>
                <w:rtl w:val="0"/>
              </w:rPr>
              <w:t xml:space="preserve">Cash Conv.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6"/>
                <w:szCs w:val="26"/>
                <w:rtl w:val="0"/>
              </w:rPr>
              <w:t xml:space="preserve">59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4. Forensic Checks &amp;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GST Intelligence (Agent 3: gst-agent)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Reconciliation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2B vs 3B Discrepancy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42.9%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ITC Mismatch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 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Circular Trade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Cycles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Bank Statement Reconciliation (Agent 4: bank-reconagent)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Reconciliation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Credit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₹2.23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GST Reported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₹2.23 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ITR Reported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Turnover Divergence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Revenue Inflation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 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Suspicious Round-Trip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Avg. Monthly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₹11.29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Cheque Bounce Count (12m)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5. Market &amp; Regulatory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News Sentiment &amp; Litigation (Agent 5: web-agent)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News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Articles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Litigation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Regulatory Flags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News Summary (LLM-Generated)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[Computed Sentiment: NEUTRAL] No news analysis available at this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Litigation Summary (LLM-Generated)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 litigation analysis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Sector Headwinds (LLM-Generated)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Sector analysis pending.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6. AI Risk Assessment &amp; Credit Decision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2e5c68" w:space="0" w:sz="8" w:val="single"/>
          <w:left w:color="2e5c68" w:space="0" w:sz="8" w:val="single"/>
          <w:bottom w:color="2e5c68" w:space="0" w:sz="8" w:val="single"/>
          <w:right w:color="2e5c68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2"/>
                <w:szCs w:val="22"/>
                <w:rtl w:val="0"/>
              </w:rPr>
              <w:t xml:space="preserve">FINAL CREDIT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30"/>
                <w:szCs w:val="30"/>
                <w:rtl w:val="0"/>
              </w:rPr>
              <w:t xml:space="preserve">MANDATORY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sz w:val="21"/>
                <w:szCs w:val="21"/>
                <w:rtl w:val="0"/>
              </w:rPr>
              <w:t xml:space="preserve">Risk Band: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5c99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Final Credit Decision (Agent 8: risk-agent)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Score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0.6602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TRI_LENS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Model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v2.1_production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₹12.08 Lakh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Recommended Rate (bps)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1114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AI Explainability: Tri-Lens Risk Radar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/>
      </w:r>
      <w:r>
        <w:drawing>
          <wp:inline>
            <wp:extent cx="4114800" cy="370332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03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Multi-agent consensus radar chart (auto-embedded 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SHAP Top-5 Risk Factors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700"/>
        <w:gridCol w:w="5560"/>
        <w:gridCol w:w="3100"/>
        <w:tblGridChange w:id="0">
          <w:tblGrid>
            <w:gridCol w:w="700"/>
            <w:gridCol w:w="556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SHAP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0.4500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ebitda_margin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0.4500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gst_discrepancy_pct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0.3487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0.3431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current_ratio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0.3415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AI Explainability: SHAP Waterfall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12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f5c99"/>
          <w:sz w:val="21"/>
          <w:szCs w:val="21"/>
          <w:rtl w:val="0"/>
        </w:rPr>
        <w:t xml:space="preserve"/>
      </w:r>
      <w:r>
        <w:drawing>
          <wp:inline>
            <wp:extent cx="5029200" cy="3094892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Explainability waterfall chart showing how the risk score was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D — Rejection Reasons &amp; Corrective Actions (LLM-Generated)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Rejection 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Corrective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Stress Test Failed: Debt service capacity collapses under simulated stress.</w:t>
              <w:br/>
              <w:t xml:space="preserve">• Forensic Alert: High Cheque Bounce Count (39 in 12 months).</w:t>
              <w:br/>
              <w:t xml:space="preserve">• MCA Alert: Company flagged as defaulter on MCA21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ind w:left="200" w:firstLine="0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• Improve DSCR by reducing debt or increasing cash flows</w:t>
              <w:br/>
              <w:t xml:space="preserve">• Resolve ITC discrepancies between GSTR-2B and GSTR-3B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E — Comparable Case Analysis (Sector Peers &amp; Database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8"/>
          <w:szCs w:val="18"/>
          <w:rtl w:val="0"/>
        </w:rPr>
        <w:t xml:space="preserve">Assumption flagged: the data dictionary lists only sector-average tags (sector_avg_dscr / sector_avg_icr / sector_avg_leverage). The per-peer rows below assume a list variable named "peer_companies" (fields: name, turnover, dscr, icr, leverage, cibil, credit_status) using a docxtpl row-loop. Confirm/rename this against what the peer-comparison agent actually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0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160"/>
        <w:gridCol w:w="1200"/>
        <w:gridCol w:w="1005"/>
        <w:gridCol w:w="1005"/>
        <w:gridCol w:w="1230"/>
        <w:gridCol w:w="765"/>
        <w:gridCol w:w="2040"/>
        <w:tblGridChange w:id="0">
          <w:tblGrid>
            <w:gridCol w:w="2160"/>
            <w:gridCol w:w="1200"/>
            <w:gridCol w:w="1005"/>
            <w:gridCol w:w="1005"/>
            <w:gridCol w:w="1230"/>
            <w:gridCol w:w="765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ICR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CIBIL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2e5c68"/>
                <w:sz w:val="21"/>
                <w:szCs w:val="21"/>
                <w:rtl w:val="0"/>
              </w:rPr>
              <w:t xml:space="preserve">Credit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Sector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18"/>
                <w:szCs w:val="18"/>
                <w:rtl w:val="0"/>
              </w:rPr>
              <w:t xml:space="preserve">Data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7. Stress Testing &amp; Resilience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The following scenarios were stress-tested against the applicant's financial position to evaluate resilience under adverse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Stress Scenarios (Agent 9: stress-agent)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600"/>
        <w:gridCol w:w="4460"/>
        <w:gridCol w:w="2200"/>
        <w:gridCol w:w="2100"/>
        <w:tblGridChange w:id="0">
          <w:tblGrid>
            <w:gridCol w:w="600"/>
            <w:gridCol w:w="4460"/>
            <w:gridCol w:w="22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Shocked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Revenue-20%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-1.8551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Rate+2% (Assumes 100% Floating Debt)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-1.6867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Worst-Case DSCR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-1.8551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Overall Survival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pBdr>
          <w:bottom w:color="8db84a" w:space="4" w:sz="8" w:val="single"/>
        </w:pBdr>
        <w:spacing w:after="160" w:before="24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5c68"/>
          <w:sz w:val="27"/>
          <w:szCs w:val="27"/>
          <w:rtl w:val="0"/>
        </w:rPr>
        <w:t xml:space="preserve">8. Ethical AI, Personal Discussion &amp; Committee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A — Bias &amp; Fairness Audit (Agent 10: bias-agent)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Counterfactual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YES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Decision Flips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Overweighted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Bias Audit Summary (LLM-Generated)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Bias analysis pending.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B — Personal Discussion Summary (Agent 11: pd-agent)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Risk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+0.0000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e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PD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Transcript Summary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 personal discussion was conducted; recommend scheduling one before final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16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Qualitative Flags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2e5c68" w:space="0" w:sz="6" w:val="single"/>
          <w:left w:color="ffffff" w:space="0" w:sz="4" w:val="single"/>
          <w:bottom w:color="2e5c68" w:space="0" w:sz="6" w:val="single"/>
          <w:right w:color="ffffff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f5c99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spacing w:after="120" w:before="220"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2e5c68"/>
          <w:sz w:val="22"/>
          <w:szCs w:val="22"/>
          <w:rtl w:val="0"/>
        </w:rPr>
        <w:t xml:space="preserve">Section C — Committee Sign-Off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d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2e5c68"/>
                <w:sz w:val="21"/>
                <w:szCs w:val="21"/>
                <w:rtl w:val="0"/>
              </w:rPr>
              <w:t xml:space="preserve">Name / 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Trinetra Agentic Credit Intelligence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top w:color="b7b7b7" w:space="6" w:sz="4" w:val="single"/>
        </w:pBdr>
        <w:spacing w:before="260" w:line="276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7"/>
          <w:szCs w:val="17"/>
          <w:rtl w:val="0"/>
        </w:rPr>
        <w:t xml:space="preserve">DISCLAIMER: 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jc w:val="center"/>
      <w:rPr/>
    </w:pPr>
    <w:r w:rsidDel="00000000" w:rsidR="00000000" w:rsidRPr="00000000"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Bdr>
        <w:bottom w:color="b7b7b7" w:space="4" w:sz="4" w:val="single"/>
      </w:pBdr>
      <w:jc w:val="right"/>
      <w:rPr/>
    </w:pPr>
    <w:r w:rsidDel="00000000" w:rsidR="00000000" w:rsidRPr="00000000">
      <w:rPr>
        <w:rFonts w:ascii="Cambria" w:cs="Cambria" w:eastAsia="Cambria" w:hAnsi="Cambria"/>
        <w:color w:val="595959"/>
        <w:sz w:val="15"/>
        <w:szCs w:val="15"/>
        <w:rtl w:val="0"/>
      </w:rPr>
      <w:t xml:space="preserve">TRINETRA  |  CONFIDENTIAL — CREDIT APPRAISAL MEMORANDUM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2026-07-20T15:20:38Z</dcterms:modified>
  <dc:creator/>
  <dc:description/>
  <dc:identifier/>
  <dc:language/>
  <dc:subject/>
</cp:coreProperties>
</file>