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Segoe UI" w:hAnsi="Segoe UI"/>
          <w:b/>
          <w:i w:val="0"/>
          <w:color w:val="0F172A"/>
          <w:sz w:val="40"/>
        </w:rPr>
        <w:t>SCDI – Supply Chain Disruption Intelligence: Pitch Deck &amp; Future Product Roadmap</w:t>
      </w:r>
    </w:p>
    <w:p>
      <w:pPr>
        <w:spacing w:after="160" w:line="276" w:lineRule="auto"/>
      </w:pPr>
      <w:r>
        <w:rPr>
          <w:rFonts w:ascii="Segoe UI" w:hAnsi="Segoe UI"/>
          <w:b w:val="0"/>
          <w:i w:val="0"/>
          <w:color w:val="333333"/>
          <w:sz w:val="22"/>
        </w:rPr>
        <w:t xml:space="preserve">This document outlines the high-impact opening and closing pitch strategies for presentations to clients, executives, and investors for the </w:t>
      </w:r>
      <w:r>
        <w:rPr>
          <w:rFonts w:ascii="Segoe UI" w:hAnsi="Segoe UI"/>
          <w:b/>
          <w:i w:val="0"/>
          <w:color w:val="333333"/>
          <w:sz w:val="22"/>
        </w:rPr>
        <w:t>SCDI (Supply Chain Disruption Intelligence)</w:t>
      </w:r>
      <w:r>
        <w:rPr>
          <w:rFonts w:ascii="Segoe UI" w:hAnsi="Segoe UI"/>
          <w:b w:val="0"/>
          <w:i w:val="0"/>
          <w:color w:val="333333"/>
          <w:sz w:val="22"/>
        </w:rPr>
        <w:t xml:space="preserve"> platform. It also outlines the future product roadmap detailing the next-generation features to be integrated.</w:t>
      </w:r>
    </w:p>
    <w:p>
      <w:pPr>
        <w:spacing w:before="240" w:after="240"/>
        <w:jc w:val="center"/>
      </w:pPr>
      <w:r>
        <w:rPr>
          <w:color w:val="64748B"/>
          <w:sz w:val="20"/>
        </w:rPr>
        <w:t>__________________________________________________</w:t>
      </w:r>
    </w:p>
    <w:p>
      <w:pPr>
        <w:spacing w:before="320" w:after="200"/>
      </w:pPr>
      <w:r>
        <w:rPr>
          <w:rFonts w:ascii="Segoe UI" w:hAnsi="Segoe UI"/>
          <w:b/>
          <w:i w:val="0"/>
          <w:color w:val="0F172A"/>
          <w:sz w:val="30"/>
        </w:rPr>
        <w:t>1. Opening Pitch: The Hook</w:t>
      </w:r>
    </w:p>
    <w:p>
      <w:pPr>
        <w:spacing w:after="160" w:line="276" w:lineRule="auto"/>
      </w:pPr>
      <w:r>
        <w:rPr>
          <w:rFonts w:ascii="Segoe UI" w:hAnsi="Segoe UI"/>
          <w:b w:val="0"/>
          <w:i w:val="0"/>
          <w:color w:val="333333"/>
          <w:sz w:val="22"/>
        </w:rPr>
      </w:r>
      <w:r>
        <w:rPr>
          <w:rFonts w:ascii="Segoe UI" w:hAnsi="Segoe UI"/>
          <w:b/>
          <w:i w:val="0"/>
          <w:color w:val="333333"/>
          <w:sz w:val="22"/>
        </w:rPr>
        <w:t>Speaker Notes &amp; Delivery Strategy:</w:t>
      </w:r>
      <w:r>
        <w:rPr>
          <w:rFonts w:ascii="Segoe UI" w:hAnsi="Segoe UI"/>
          <w:b w:val="0"/>
          <w:i w:val="0"/>
          <w:color w:val="333333"/>
          <w:sz w:val="22"/>
        </w:rPr>
        <w:t xml:space="preserve"> *Deliver this with energy. Pause after the first question. Focus on the cost of blindness in logistics.*</w:t>
      </w:r>
    </w:p>
    <w:tbl>
      <w:tblPr>
        <w:tblW w:type="auto" w:w="0"/>
        <w:tblLayout w:type="fixed"/>
        <w:tblLook w:firstColumn="1" w:firstRow="1" w:lastColumn="0" w:lastRow="0" w:noHBand="0" w:noVBand="1" w:val="04A0"/>
      </w:tblPr>
      <w:tblGrid>
        <w:gridCol w:w="9360"/>
      </w:tblGrid>
      <w:tr>
        <w:tc>
          <w:tcPr>
            <w:tcW w:type="dxa" w:w="9360"/>
            <w:shd w:val="clear" w:color="auto" w:fill="F8FAFC"/>
          </w:tcPr>
          <w:p>
            <w:pPr>
              <w:spacing w:before="160" w:after="160" w:line="288" w:lineRule="auto"/>
              <w:ind w:left="288" w:right="288"/>
            </w:pPr>
            <w:r>
              <w:rPr>
                <w:rFonts w:ascii="Segoe UI" w:hAnsi="Segoe UI"/>
                <w:b w:val="0"/>
                <w:i/>
                <w:color w:val="0F172A"/>
                <w:sz w:val="22"/>
              </w:rPr>
              <w:t xml:space="preserve">"Every day, global supply chains move trillions of dollars in cargo. Yet, when a storm hits or a regional warehouse closes, logistics managers are left blind. They find out their shipment is delayed only </w:t>
            </w:r>
            <w:r>
              <w:rPr>
                <w:rFonts w:ascii="Segoe UI" w:hAnsi="Segoe UI"/>
                <w:b/>
                <w:i/>
                <w:color w:val="0F172A"/>
                <w:sz w:val="22"/>
              </w:rPr>
              <w:t>after</w:t>
            </w:r>
            <w:r>
              <w:rPr>
                <w:rFonts w:ascii="Segoe UI" w:hAnsi="Segoe UI"/>
                <w:b w:val="0"/>
                <w:i/>
                <w:color w:val="0F172A"/>
                <w:sz w:val="22"/>
              </w:rPr>
              <w:t xml:space="preserve"> the truck is stuck in a bottleneck. Standard control towers show you alerts—essentially telling you how your money is already lost.  Today, we introduce </w:t>
            </w:r>
            <w:r>
              <w:rPr>
                <w:rFonts w:ascii="Segoe UI" w:hAnsi="Segoe UI"/>
                <w:b/>
                <w:i/>
                <w:color w:val="0F172A"/>
                <w:sz w:val="22"/>
              </w:rPr>
              <w:t>SCDI</w:t>
            </w:r>
            <w:r>
              <w:rPr>
                <w:rFonts w:ascii="Segoe UI" w:hAnsi="Segoe UI"/>
                <w:b w:val="0"/>
                <w:i/>
                <w:color w:val="0F172A"/>
                <w:sz w:val="22"/>
              </w:rPr>
              <w:t xml:space="preserve"> (Supply Chain Disruption Intelligence). We don't just show you alerts. We shift logistics from reactive report-card tracking to proactive decision intelligence. SCDI predicts disruptions by analyzing shipment, traffic, weather, warehouse, and operational data. It identifies the root cause, estimates business impact, and recommends the best recovery actions—such as rerouting shipments, reallocating inventory, or rescheduling deliveries—before trucks even depart. In short: </w:t>
            </w:r>
            <w:r>
              <w:rPr>
                <w:rFonts w:ascii="Segoe UI" w:hAnsi="Segoe UI"/>
                <w:b/>
                <w:i/>
                <w:color w:val="0F172A"/>
                <w:sz w:val="22"/>
              </w:rPr>
              <w:t>we don't just tell you that there is a problem; we tell you how to solve it.</w:t>
            </w:r>
            <w:r>
              <w:rPr>
                <w:rFonts w:ascii="Segoe UI" w:hAnsi="Segoe UI"/>
                <w:b w:val="0"/>
                <w:i/>
                <w:color w:val="0F172A"/>
                <w:sz w:val="22"/>
              </w:rPr>
              <w:t>"</w:t>
            </w:r>
          </w:p>
        </w:tc>
      </w:tr>
    </w:tbl>
    <w:p>
      <w:pPr>
        <w:spacing w:before="240" w:after="240"/>
        <w:jc w:val="center"/>
      </w:pPr>
      <w:r>
        <w:rPr>
          <w:color w:val="64748B"/>
          <w:sz w:val="20"/>
        </w:rPr>
        <w:t>__________________________________________________</w:t>
      </w:r>
    </w:p>
    <w:p>
      <w:pPr>
        <w:spacing w:before="320" w:after="200"/>
      </w:pPr>
      <w:r>
        <w:rPr>
          <w:rFonts w:ascii="Segoe UI" w:hAnsi="Segoe UI"/>
          <w:b/>
          <w:i w:val="0"/>
          <w:color w:val="0F172A"/>
          <w:sz w:val="30"/>
        </w:rPr>
        <w:t>2. Closing Pitch: The Value Realization</w:t>
      </w:r>
    </w:p>
    <w:p>
      <w:pPr>
        <w:spacing w:after="160" w:line="276" w:lineRule="auto"/>
      </w:pPr>
      <w:r>
        <w:rPr>
          <w:rFonts w:ascii="Segoe UI" w:hAnsi="Segoe UI"/>
          <w:b w:val="0"/>
          <w:i w:val="0"/>
          <w:color w:val="333333"/>
          <w:sz w:val="22"/>
        </w:rPr>
      </w:r>
      <w:r>
        <w:rPr>
          <w:rFonts w:ascii="Segoe UI" w:hAnsi="Segoe UI"/>
          <w:b/>
          <w:i w:val="0"/>
          <w:color w:val="333333"/>
          <w:sz w:val="22"/>
        </w:rPr>
        <w:t>Speaker Notes &amp; Delivery Strategy:</w:t>
      </w:r>
      <w:r>
        <w:rPr>
          <w:rFonts w:ascii="Segoe UI" w:hAnsi="Segoe UI"/>
          <w:b w:val="0"/>
          <w:i w:val="0"/>
          <w:color w:val="333333"/>
          <w:sz w:val="22"/>
        </w:rPr>
        <w:t xml:space="preserve"> *Conclude with conviction. Focus on financial ROI, efficiency gains, and forward momentum.*</w:t>
      </w:r>
    </w:p>
    <w:tbl>
      <w:tblPr>
        <w:tblW w:type="auto" w:w="0"/>
        <w:tblLayout w:type="fixed"/>
        <w:tblLook w:firstColumn="1" w:firstRow="1" w:lastColumn="0" w:lastRow="0" w:noHBand="0" w:noVBand="1" w:val="04A0"/>
      </w:tblPr>
      <w:tblGrid>
        <w:gridCol w:w="9360"/>
      </w:tblGrid>
      <w:tr>
        <w:tc>
          <w:tcPr>
            <w:tcW w:type="dxa" w:w="9360"/>
            <w:shd w:val="clear" w:color="auto" w:fill="F8FAFC"/>
          </w:tcPr>
          <w:p>
            <w:pPr>
              <w:spacing w:before="160" w:after="160" w:line="288" w:lineRule="auto"/>
              <w:ind w:left="288" w:right="288"/>
            </w:pPr>
            <w:r>
              <w:rPr>
                <w:rFonts w:ascii="Segoe UI" w:hAnsi="Segoe UI"/>
                <w:b w:val="0"/>
                <w:i/>
                <w:color w:val="0F172A"/>
                <w:sz w:val="22"/>
              </w:rPr>
              <w:t xml:space="preserve">"Logistics is a game of margins, where a 12-hour delay can wipe out a shipment's profitability. SCDI changes the economics of supply chain management. By giving your operators a digital twin simulator and a natural-language AI copilot, you turn chaos into coordination.  With a projected </w:t>
            </w:r>
            <w:r>
              <w:rPr>
                <w:rFonts w:ascii="Segoe UI" w:hAnsi="Segoe UI"/>
                <w:b/>
                <w:i/>
                <w:color w:val="0F172A"/>
                <w:sz w:val="22"/>
              </w:rPr>
              <w:t>3.5% reduction in avoidable logistics penalties</w:t>
            </w:r>
            <w:r>
              <w:rPr>
                <w:rFonts w:ascii="Segoe UI" w:hAnsi="Segoe UI"/>
                <w:b w:val="0"/>
                <w:i/>
                <w:color w:val="0F172A"/>
                <w:sz w:val="22"/>
              </w:rPr>
              <w:t xml:space="preserve"> and a transparent framework to report and reduce carbon footprints, SCDI is not just a tool—it is a competitive advantage. Let's move beyond historical reporting. Let's build the autonomous, self-healing supply chain of tomorrow, today. Thank you."</w:t>
            </w:r>
          </w:p>
        </w:tc>
      </w:tr>
    </w:tbl>
    <w:p>
      <w:pPr>
        <w:spacing w:before="240" w:after="240"/>
        <w:jc w:val="center"/>
      </w:pPr>
      <w:r>
        <w:rPr>
          <w:color w:val="64748B"/>
          <w:sz w:val="20"/>
        </w:rPr>
        <w:t>__________________________________________________</w:t>
      </w:r>
    </w:p>
    <w:p>
      <w:pPr>
        <w:spacing w:before="320" w:after="200"/>
      </w:pPr>
      <w:r>
        <w:rPr>
          <w:rFonts w:ascii="Segoe UI" w:hAnsi="Segoe UI"/>
          <w:b/>
          <w:i w:val="0"/>
          <w:color w:val="0F172A"/>
          <w:sz w:val="30"/>
        </w:rPr>
        <w:t>3. Future Features &amp; Product Roadmap</w:t>
      </w:r>
    </w:p>
    <w:p>
      <w:pPr>
        <w:spacing w:after="160" w:line="276" w:lineRule="auto"/>
      </w:pPr>
      <w:r>
        <w:rPr>
          <w:rFonts w:ascii="Segoe UI" w:hAnsi="Segoe UI"/>
          <w:b w:val="0"/>
          <w:i w:val="0"/>
          <w:color w:val="333333"/>
          <w:sz w:val="22"/>
        </w:rPr>
        <w:t>To transition the current SCDI prototype into an industry-grade enterprise platform, the following features are planned for future releases.</w:t>
      </w:r>
    </w:p>
    <w:p>
      <w:pPr>
        <w:spacing w:before="280" w:after="160"/>
      </w:pPr>
      <w:r>
        <w:rPr>
          <w:rFonts w:ascii="Segoe UI" w:hAnsi="Segoe UI"/>
          <w:b/>
          <w:i w:val="0"/>
          <w:color w:val="4F46E5"/>
          <w:sz w:val="25"/>
        </w:rPr>
        <w:t>Phase 1: Machine Learning &amp; Predictive Analytics (0-6 Months)</w:t>
      </w:r>
    </w:p>
    <w:p>
      <w:pPr>
        <w:pStyle w:val="ListBullet"/>
        <w:spacing w:after="80" w:line="276" w:lineRule="auto"/>
      </w:pPr>
      <w:r>
        <w:rPr>
          <w:rFonts w:ascii="Segoe UI" w:hAnsi="Segoe UI"/>
          <w:b w:val="0"/>
          <w:i w:val="0"/>
          <w:color w:val="333333"/>
          <w:sz w:val="22"/>
        </w:rPr>
        <w:t>Dynamic ML Risk Engine**: Replace static risk weights with a regression model (e.g., XGBoost) trained on historical fleet logs to dynamically predict route risks based on real-time seasonality.</w:t>
        <w:br/>
      </w:r>
    </w:p>
    <w:p>
      <w:pPr>
        <w:pStyle w:val="ListBullet"/>
        <w:spacing w:after="80" w:line="276" w:lineRule="auto"/>
      </w:pPr>
      <w:r>
        <w:rPr>
          <w:rFonts w:ascii="Segoe UI" w:hAnsi="Segoe UI"/>
          <w:b w:val="0"/>
          <w:i w:val="0"/>
          <w:color w:val="333333"/>
          <w:sz w:val="22"/>
        </w:rPr>
        <w:t>Interactive GIS Map Layers**: Integrate Mapbox GL or Google Maps to overlay live radar weather data, regional traffic density maps, and historical accident zones.</w:t>
        <w:br/>
      </w:r>
    </w:p>
    <w:p>
      <w:pPr>
        <w:pStyle w:val="ListBullet"/>
        <w:spacing w:after="80" w:line="276" w:lineRule="auto"/>
      </w:pPr>
      <w:r>
        <w:rPr>
          <w:rFonts w:ascii="Segoe UI" w:hAnsi="Segoe UI"/>
          <w:b w:val="0"/>
          <w:i w:val="0"/>
          <w:color w:val="333333"/>
          <w:sz w:val="22"/>
        </w:rPr>
        <w:t>Automated Route Optimization**: Incorporate routing algorithms (e.g., Dijkstra's or genetic algorithms) to generate alternative route paths automatically, rather than relying on manual adjustments.</w:t>
        <w:br/>
      </w:r>
    </w:p>
    <w:p>
      <w:pPr>
        <w:spacing w:before="280" w:after="160"/>
      </w:pPr>
      <w:r>
        <w:rPr>
          <w:rFonts w:ascii="Segoe UI" w:hAnsi="Segoe UI"/>
          <w:b/>
          <w:i w:val="0"/>
          <w:color w:val="4F46E5"/>
          <w:sz w:val="25"/>
        </w:rPr>
        <w:t>Phase 2: Conversational Agents &amp; Integration (6-12 Months)</w:t>
      </w:r>
    </w:p>
    <w:p>
      <w:pPr>
        <w:pStyle w:val="ListBullet"/>
        <w:spacing w:after="80" w:line="276" w:lineRule="auto"/>
      </w:pPr>
      <w:r>
        <w:rPr>
          <w:rFonts w:ascii="Segoe UI" w:hAnsi="Segoe UI"/>
          <w:b w:val="0"/>
          <w:i w:val="0"/>
          <w:color w:val="333333"/>
          <w:sz w:val="22"/>
        </w:rPr>
        <w:t>Generative AI Copilot (RAG)**: Upgrade the rule-based Copilot to an LLM agent (e.g. Gemini 1.5 Pro) with access to a Vector Database containing carrier contracts, custom regulations, and live transit data.</w:t>
        <w:br/>
      </w:r>
    </w:p>
    <w:p>
      <w:pPr>
        <w:pStyle w:val="ListBullet"/>
        <w:spacing w:after="80" w:line="276" w:lineRule="auto"/>
      </w:pPr>
      <w:r>
        <w:rPr>
          <w:rFonts w:ascii="Segoe UI" w:hAnsi="Segoe UI"/>
          <w:b w:val="0"/>
          <w:i w:val="0"/>
          <w:color w:val="333333"/>
          <w:sz w:val="22"/>
        </w:rPr>
        <w:t>Enterprise ERP Connectors**: Build out-of-the-box API integrations for SAP, Oracle SCM, and Salesforce, allowing automated order synchronization.</w:t>
        <w:br/>
      </w:r>
    </w:p>
    <w:p>
      <w:pPr>
        <w:pStyle w:val="ListBullet"/>
        <w:spacing w:after="80" w:line="276" w:lineRule="auto"/>
      </w:pPr>
      <w:r>
        <w:rPr>
          <w:rFonts w:ascii="Segoe UI" w:hAnsi="Segoe UI"/>
          <w:b w:val="0"/>
          <w:i w:val="0"/>
          <w:color w:val="333333"/>
          <w:sz w:val="22"/>
        </w:rPr>
        <w:t>ELD &amp; Telematics Integration**: Connect with Electronic Logging Devices (ELD) on trucks to track driver fatigue levels and automatically schedule mandated rest stops.</w:t>
        <w:br/>
      </w:r>
    </w:p>
    <w:p>
      <w:pPr>
        <w:spacing w:before="280" w:after="160"/>
      </w:pPr>
      <w:r>
        <w:rPr>
          <w:rFonts w:ascii="Segoe UI" w:hAnsi="Segoe UI"/>
          <w:b/>
          <w:i w:val="0"/>
          <w:color w:val="4F46E5"/>
          <w:sz w:val="25"/>
        </w:rPr>
        <w:t>Phase 3: Autonomous Logistics &amp; Optimization (12+ Months)</w:t>
      </w:r>
    </w:p>
    <w:p>
      <w:pPr>
        <w:pStyle w:val="ListBullet"/>
        <w:spacing w:after="80" w:line="276" w:lineRule="auto"/>
      </w:pPr>
      <w:r>
        <w:rPr>
          <w:rFonts w:ascii="Segoe UI" w:hAnsi="Segoe UI"/>
          <w:b w:val="0"/>
          <w:i w:val="0"/>
          <w:color w:val="333333"/>
          <w:sz w:val="22"/>
        </w:rPr>
        <w:t>Automated Freight Bidding**: Implement a smart contract bidding engine that automatically requests quotes from third-party carrier networks when a shipment reroute is confirmed.</w:t>
        <w:br/>
      </w:r>
    </w:p>
    <w:p>
      <w:pPr>
        <w:pStyle w:val="ListBullet"/>
        <w:spacing w:after="80" w:line="276" w:lineRule="auto"/>
      </w:pPr>
      <w:r>
        <w:rPr>
          <w:rFonts w:ascii="Segoe UI" w:hAnsi="Segoe UI"/>
          <w:b w:val="0"/>
          <w:i w:val="0"/>
          <w:color w:val="333333"/>
          <w:sz w:val="22"/>
        </w:rPr>
        <w:t>Carbon-Offset Marketplace**: Link route carbon estimations directly with global carbon offset providers, allowing companies to purchase carbon offset credits with a single click.</w:t>
        <w:br/>
      </w:r>
    </w:p>
    <w:p>
      <w:pPr>
        <w:pStyle w:val="ListBullet"/>
        <w:spacing w:after="80" w:line="276" w:lineRule="auto"/>
      </w:pPr>
      <w:r>
        <w:rPr>
          <w:rFonts w:ascii="Segoe UI" w:hAnsi="Segoe UI"/>
          <w:b w:val="0"/>
          <w:i w:val="0"/>
          <w:color w:val="333333"/>
          <w:sz w:val="22"/>
        </w:rPr>
        <w:t>Multi-Echelon Inventory Balancing**: Connect warehouse stress indexes to automated inventory replenishment systems, dynamically rerouting inbound cargo to prevent regional stockouts.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