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160"/>
      </w:pPr>
      <w:r>
        <w:rPr>
          <w:rFonts w:ascii="Aptos Display" w:hAnsi="Aptos Display"/>
          <w:b/>
          <w:color w:val="17365D"/>
          <w:sz w:val="56"/>
        </w:rPr>
        <w:t>Healthcare CDSS / DDSS</w:t>
      </w:r>
    </w:p>
    <w:p>
      <w:pPr>
        <w:spacing w:after="400"/>
      </w:pPr>
      <w:r>
        <w:rPr>
          <w:rFonts w:ascii="Aptos" w:hAnsi="Aptos"/>
          <w:color w:val="2F75B5"/>
          <w:sz w:val="28"/>
        </w:rPr>
        <w:t>Recommended Technology Stack — 2026</w:t>
      </w:r>
    </w:p>
    <w:tbl>
      <w:tblPr>
        <w:tblW w:type="auto" w:w="0"/>
        <w:jc w:val="left"/>
        <w:tblLook w:firstColumn="1" w:firstRow="1" w:lastColumn="0" w:lastRow="0" w:noHBand="0" w:noVBand="1" w:val="04A0"/>
      </w:tblPr>
      <w:tblGrid>
        <w:gridCol w:w="4997"/>
        <w:gridCol w:w="4997"/>
      </w:tblGrid>
      <w:tr>
        <w:tc>
          <w:tcPr>
            <w:tcW w:type="dxa" w:w="4997"/>
            <w:shd w:fill="D9EAF7"/>
            <w:vAlign w:val="center"/>
            <w:tcBorders>
              <w:top w:val="single" w:sz="4" w:color="D5DDE5"/>
              <w:left w:val="single" w:sz="4" w:color="D5DDE5"/>
              <w:bottom w:val="single" w:sz="4" w:color="D5DDE5"/>
              <w:right w:val="single" w:sz="4" w:color="D5DDE5"/>
            </w:tcBorders>
          </w:tcPr>
          <w:p>
            <w:pPr>
              <w:spacing w:after="40"/>
            </w:pPr>
            <w:r>
              <w:rPr>
                <w:rFonts w:ascii="Aptos" w:hAnsi="Aptos"/>
                <w:b/>
                <w:color w:val="17365D"/>
                <w:sz w:val="19"/>
              </w:rPr>
              <w:t>Purpose</w:t>
            </w:r>
          </w:p>
        </w:tc>
        <w:tc>
          <w:tcPr>
            <w:tcW w:type="dxa" w:w="4997"/>
            <w:vAlign w:val="center"/>
            <w:tcBorders>
              <w:top w:val="single" w:sz="4" w:color="D5DDE5"/>
              <w:left w:val="single" w:sz="4" w:color="D5DDE5"/>
              <w:bottom w:val="single" w:sz="4" w:color="D5DDE5"/>
              <w:right w:val="single" w:sz="4" w:color="D5DDE5"/>
            </w:tcBorders>
          </w:tcPr>
          <w:p>
            <w:pPr>
              <w:spacing w:after="40"/>
            </w:pPr>
            <w:r>
              <w:rPr>
                <w:rFonts w:ascii="Aptos" w:hAnsi="Aptos"/>
                <w:sz w:val="19"/>
              </w:rPr>
              <w:t>Implementation architecture for the CSIR-facing research prototype</w:t>
            </w:r>
          </w:p>
        </w:tc>
      </w:tr>
      <w:tr>
        <w:tc>
          <w:tcPr>
            <w:tcW w:type="dxa" w:w="4997"/>
            <w:shd w:fill="D9EAF7"/>
            <w:vAlign w:val="center"/>
            <w:tcBorders>
              <w:top w:val="single" w:sz="4" w:color="D5DDE5"/>
              <w:left w:val="single" w:sz="4" w:color="D5DDE5"/>
              <w:bottom w:val="single" w:sz="4" w:color="D5DDE5"/>
              <w:right w:val="single" w:sz="4" w:color="D5DDE5"/>
            </w:tcBorders>
          </w:tcPr>
          <w:p>
            <w:pPr>
              <w:spacing w:after="40"/>
            </w:pPr>
            <w:r>
              <w:rPr>
                <w:rFonts w:ascii="Aptos" w:hAnsi="Aptos"/>
                <w:b/>
                <w:color w:val="17365D"/>
                <w:sz w:val="19"/>
              </w:rPr>
              <w:t>Architecture Goal</w:t>
            </w:r>
          </w:p>
        </w:tc>
        <w:tc>
          <w:tcPr>
            <w:tcW w:type="dxa" w:w="4997"/>
            <w:vAlign w:val="center"/>
            <w:tcBorders>
              <w:top w:val="single" w:sz="4" w:color="D5DDE5"/>
              <w:left w:val="single" w:sz="4" w:color="D5DDE5"/>
              <w:bottom w:val="single" w:sz="4" w:color="D5DDE5"/>
              <w:right w:val="single" w:sz="4" w:color="D5DDE5"/>
            </w:tcBorders>
          </w:tcPr>
          <w:p>
            <w:pPr>
              <w:spacing w:after="40"/>
            </w:pPr>
            <w:r>
              <w:rPr>
                <w:rFonts w:ascii="Aptos" w:hAnsi="Aptos"/>
                <w:sz w:val="19"/>
              </w:rPr>
              <w:t>Fast to build, credible to demonstrate, extensible toward APIs and IoT</w:t>
            </w:r>
          </w:p>
        </w:tc>
      </w:tr>
      <w:tr>
        <w:tc>
          <w:tcPr>
            <w:tcW w:type="dxa" w:w="4997"/>
            <w:shd w:fill="D9EAF7"/>
            <w:vAlign w:val="center"/>
            <w:tcBorders>
              <w:top w:val="single" w:sz="4" w:color="D5DDE5"/>
              <w:left w:val="single" w:sz="4" w:color="D5DDE5"/>
              <w:bottom w:val="single" w:sz="4" w:color="D5DDE5"/>
              <w:right w:val="single" w:sz="4" w:color="D5DDE5"/>
            </w:tcBorders>
          </w:tcPr>
          <w:p>
            <w:pPr>
              <w:spacing w:after="40"/>
            </w:pPr>
            <w:r>
              <w:rPr>
                <w:rFonts w:ascii="Aptos" w:hAnsi="Aptos"/>
                <w:b/>
                <w:color w:val="17365D"/>
                <w:sz w:val="19"/>
              </w:rPr>
              <w:t>Primary Pattern</w:t>
            </w:r>
          </w:p>
        </w:tc>
        <w:tc>
          <w:tcPr>
            <w:tcW w:type="dxa" w:w="4997"/>
            <w:vAlign w:val="center"/>
            <w:tcBorders>
              <w:top w:val="single" w:sz="4" w:color="D5DDE5"/>
              <w:left w:val="single" w:sz="4" w:color="D5DDE5"/>
              <w:bottom w:val="single" w:sz="4" w:color="D5DDE5"/>
              <w:right w:val="single" w:sz="4" w:color="D5DDE5"/>
            </w:tcBorders>
          </w:tcPr>
          <w:p>
            <w:pPr>
              <w:spacing w:after="40"/>
            </w:pPr>
            <w:r>
              <w:rPr>
                <w:rFonts w:ascii="Aptos" w:hAnsi="Aptos"/>
                <w:sz w:val="19"/>
              </w:rPr>
              <w:t>Next.js frontend + FastAPI ML backend + Supabase Auth/PostgreSQL</w:t>
            </w:r>
          </w:p>
        </w:tc>
      </w:tr>
      <w:tr>
        <w:tc>
          <w:tcPr>
            <w:tcW w:type="dxa" w:w="4997"/>
            <w:shd w:fill="D9EAF7"/>
            <w:vAlign w:val="center"/>
            <w:tcBorders>
              <w:top w:val="single" w:sz="4" w:color="D5DDE5"/>
              <w:left w:val="single" w:sz="4" w:color="D5DDE5"/>
              <w:bottom w:val="single" w:sz="4" w:color="D5DDE5"/>
              <w:right w:val="single" w:sz="4" w:color="D5DDE5"/>
            </w:tcBorders>
          </w:tcPr>
          <w:p>
            <w:pPr>
              <w:spacing w:after="40"/>
            </w:pPr>
            <w:r>
              <w:rPr>
                <w:rFonts w:ascii="Aptos" w:hAnsi="Aptos"/>
                <w:b/>
                <w:color w:val="17365D"/>
                <w:sz w:val="19"/>
              </w:rPr>
              <w:t>Deployment</w:t>
            </w:r>
          </w:p>
        </w:tc>
        <w:tc>
          <w:tcPr>
            <w:tcW w:type="dxa" w:w="4997"/>
            <w:vAlign w:val="center"/>
            <w:tcBorders>
              <w:top w:val="single" w:sz="4" w:color="D5DDE5"/>
              <w:left w:val="single" w:sz="4" w:color="D5DDE5"/>
              <w:bottom w:val="single" w:sz="4" w:color="D5DDE5"/>
              <w:right w:val="single" w:sz="4" w:color="D5DDE5"/>
            </w:tcBorders>
          </w:tcPr>
          <w:p>
            <w:pPr>
              <w:spacing w:after="40"/>
            </w:pPr>
            <w:r>
              <w:rPr>
                <w:rFonts w:ascii="Aptos" w:hAnsi="Aptos"/>
                <w:sz w:val="19"/>
              </w:rPr>
              <w:t>Vercel for frontend + Render for FastAPI; Docker for portability</w:t>
            </w:r>
          </w:p>
        </w:tc>
      </w:tr>
      <w:tr>
        <w:tc>
          <w:tcPr>
            <w:tcW w:type="dxa" w:w="4997"/>
            <w:shd w:fill="D9EAF7"/>
            <w:vAlign w:val="center"/>
            <w:tcBorders>
              <w:top w:val="single" w:sz="4" w:color="D5DDE5"/>
              <w:left w:val="single" w:sz="4" w:color="D5DDE5"/>
              <w:bottom w:val="single" w:sz="4" w:color="D5DDE5"/>
              <w:right w:val="single" w:sz="4" w:color="D5DDE5"/>
            </w:tcBorders>
          </w:tcPr>
          <w:p>
            <w:pPr>
              <w:spacing w:after="40"/>
            </w:pPr>
            <w:r>
              <w:rPr>
                <w:rFonts w:ascii="Aptos" w:hAnsi="Aptos"/>
                <w:b/>
                <w:color w:val="17365D"/>
                <w:sz w:val="19"/>
              </w:rPr>
              <w:t>Date</w:t>
            </w:r>
          </w:p>
        </w:tc>
        <w:tc>
          <w:tcPr>
            <w:tcW w:type="dxa" w:w="4997"/>
            <w:vAlign w:val="center"/>
            <w:tcBorders>
              <w:top w:val="single" w:sz="4" w:color="D5DDE5"/>
              <w:left w:val="single" w:sz="4" w:color="D5DDE5"/>
              <w:bottom w:val="single" w:sz="4" w:color="D5DDE5"/>
              <w:right w:val="single" w:sz="4" w:color="D5DDE5"/>
            </w:tcBorders>
          </w:tcPr>
          <w:p>
            <w:pPr>
              <w:spacing w:after="40"/>
            </w:pPr>
            <w:r>
              <w:rPr>
                <w:rFonts w:ascii="Aptos" w:hAnsi="Aptos"/>
                <w:sz w:val="19"/>
              </w:rPr>
              <w:t>8 October 2026</w:t>
            </w:r>
          </w:p>
        </w:tc>
      </w:tr>
    </w:tbl>
    <w:p/>
    <w:tbl>
      <w:tblPr>
        <w:tblW w:type="auto" w:w="0"/>
        <w:tblLook w:firstColumn="1" w:firstRow="1" w:lastColumn="0" w:lastRow="0" w:noHBand="0" w:noVBand="1" w:val="04A0"/>
      </w:tblPr>
      <w:tblGrid>
        <w:gridCol w:w="9994"/>
      </w:tblGrid>
      <w:tr>
        <w:tc>
          <w:tcPr>
            <w:tcW w:type="dxa" w:w="9994"/>
            <w:shd w:fill="EEF5FB"/>
            <w:tcBorders>
              <w:top w:val="single" w:sz="8" w:color="2F75B5"/>
              <w:left w:val="single" w:sz="8" w:color="2F75B5"/>
              <w:bottom w:val="single" w:sz="8" w:color="2F75B5"/>
              <w:right w:val="single" w:sz="8" w:color="2F75B5"/>
            </w:tcBorders>
          </w:tcPr>
          <w:p>
            <w:pPr>
              <w:jc w:val="left"/>
            </w:pPr>
            <w:r>
              <w:rPr>
                <w:b/>
                <w:color w:val="17365D"/>
              </w:rPr>
              <w:t xml:space="preserve">Scope note: </w:t>
            </w:r>
            <w:r>
              <w:rPr>
                <w:sz w:val="19"/>
              </w:rPr>
              <w:t>This document defines a research proof of concept. It is not a clinical diagnostic or treatment system and uses synthetic data only.</w:t>
            </w:r>
          </w:p>
        </w:tc>
      </w:tr>
    </w:tbl>
    <w:p>
      <w:r>
        <w:br w:type="page"/>
      </w:r>
    </w:p>
    <w:p>
      <w:pPr>
        <w:pStyle w:val="Heading1"/>
      </w:pPr>
      <w:r>
        <w:t>1. Executive Recommendation</w:t>
      </w:r>
    </w:p>
    <w:p>
      <w:r>
        <w:t>For this project, the recommended 2026 stack is a modern web application architecture rather than a Streamlit-only application. Streamlit remains useful for exploratory ML notebooks and rapid internal demonstrations, but the primary product should establish a clean frontend/API boundary because the roadmap already calls for FastAPI, external integrations, and real-time IoT data.</w:t>
      </w:r>
    </w:p>
    <w:tbl>
      <w:tblPr>
        <w:tblW w:type="auto" w:w="0"/>
        <w:tblLook w:firstColumn="1" w:firstRow="1" w:lastColumn="0" w:lastRow="0" w:noHBand="0" w:noVBand="1" w:val="04A0"/>
      </w:tblPr>
      <w:tblGrid>
        <w:gridCol w:w="9994"/>
      </w:tblGrid>
      <w:tr>
        <w:trPr>
          <w:cantSplit w:val="true"/>
        </w:trPr>
        <w:tc>
          <w:tcPr>
            <w:tcW w:type="dxa" w:w="9994"/>
            <w:shd w:fill="F7F7F7"/>
            <w:tcBorders>
              <w:top w:val="single" w:sz="4" w:color="D9D9D9"/>
              <w:left w:val="single" w:sz="4" w:color="D9D9D9"/>
              <w:bottom w:val="single" w:sz="4" w:color="D9D9D9"/>
              <w:right w:val="single" w:sz="4" w:color="D9D9D9"/>
            </w:tcBorders>
          </w:tcPr>
          <w:p>
            <w:pPr>
              <w:spacing w:after="0"/>
            </w:pPr>
            <w:r>
              <w:rPr>
                <w:rFonts w:ascii="Consolas" w:hAnsi="Consolas"/>
                <w:color w:val="1F2937"/>
                <w:sz w:val="17"/>
              </w:rPr>
              <w:t>Frontend     -&gt; Next.js 16.4 + TypeScript + Tailwind CSS + shadcn/ui</w:t>
              <w:br/>
            </w:r>
            <w:r>
              <w:rPr>
                <w:rFonts w:ascii="Consolas" w:hAnsi="Consolas"/>
                <w:color w:val="1F2937"/>
                <w:sz w:val="17"/>
              </w:rPr>
              <w:t>Backend      -&gt; FastAPI + Python</w:t>
              <w:br/>
            </w:r>
            <w:r>
              <w:rPr>
                <w:rFonts w:ascii="Consolas" w:hAnsi="Consolas"/>
                <w:color w:val="1F2937"/>
                <w:sz w:val="17"/>
              </w:rPr>
              <w:t>ML           -&gt; XGBoost + Scikit-learn</w:t>
              <w:br/>
            </w:r>
            <w:r>
              <w:rPr>
                <w:rFonts w:ascii="Consolas" w:hAnsi="Consolas"/>
                <w:color w:val="1F2937"/>
                <w:sz w:val="17"/>
              </w:rPr>
              <w:t>XAI          -&gt; SHAP (LIME for comparison)</w:t>
              <w:br/>
            </w:r>
            <w:r>
              <w:rPr>
                <w:rFonts w:ascii="Consolas" w:hAnsi="Consolas"/>
                <w:color w:val="1F2937"/>
                <w:sz w:val="17"/>
              </w:rPr>
              <w:t>Auth         -&gt; Supabase Auth</w:t>
              <w:br/>
            </w:r>
            <w:r>
              <w:rPr>
                <w:rFonts w:ascii="Consolas" w:hAnsi="Consolas"/>
                <w:color w:val="1F2937"/>
                <w:sz w:val="17"/>
              </w:rPr>
              <w:t>Database     -&gt; PostgreSQL via Supabase</w:t>
              <w:br/>
            </w:r>
            <w:r>
              <w:rPr>
                <w:rFonts w:ascii="Consolas" w:hAnsi="Consolas"/>
                <w:color w:val="1F2937"/>
                <w:sz w:val="17"/>
              </w:rPr>
              <w:t>Deployment   -&gt; Vercel (frontend) + Render (backend)</w:t>
              <w:br/>
            </w:r>
            <w:r>
              <w:rPr>
                <w:rFonts w:ascii="Consolas" w:hAnsi="Consolas"/>
                <w:color w:val="1F2937"/>
                <w:sz w:val="17"/>
              </w:rPr>
              <w:t>Packaging    -&gt; Docker</w:t>
              <w:br/>
            </w:r>
            <w:r>
              <w:rPr>
                <w:rFonts w:ascii="Consolas" w:hAnsi="Consolas"/>
                <w:color w:val="1F2937"/>
                <w:sz w:val="17"/>
              </w:rPr>
              <w:t>CI/CD        -&gt; GitHub Actions</w:t>
              <w:br/>
            </w:r>
            <w:r>
              <w:rPr>
                <w:rFonts w:ascii="Consolas" w:hAnsi="Consolas"/>
                <w:color w:val="1F2937"/>
                <w:sz w:val="17"/>
              </w:rPr>
              <w:t>Future cloud -&gt; AWS for mature clinical/enterprise deployment</w:t>
              <w:br/>
            </w:r>
          </w:p>
        </w:tc>
      </w:tr>
    </w:tbl>
    <w:p>
      <w:pPr>
        <w:spacing w:after="0"/>
      </w:pPr>
    </w:p>
    <w:p>
      <w:r>
        <w:t>The architecture optimizes for the current PoC while preserving a practical migration path when the system becomes API-driven, sensor-connected, or subject to stricter clinical infrastructure requirements.</w:t>
      </w:r>
    </w:p>
    <w:p>
      <w:pPr>
        <w:pStyle w:val="Heading1"/>
      </w:pPr>
      <w:r>
        <w:t>2. Architecture Principles</w:t>
      </w:r>
    </w:p>
    <w:p>
      <w:pPr>
        <w:pStyle w:val="ListBullet"/>
        <w:spacing w:after="60"/>
        <w:ind w:left="259"/>
      </w:pPr>
      <w:r>
        <w:t>Separate the user interface from the ML inference layer.</w:t>
      </w:r>
    </w:p>
    <w:p>
      <w:pPr>
        <w:pStyle w:val="ListBullet"/>
        <w:spacing w:after="60"/>
        <w:ind w:left="259"/>
      </w:pPr>
      <w:r>
        <w:t>Keep the ML stack in Python so training and inference use the same ecosystem.</w:t>
      </w:r>
    </w:p>
    <w:p>
      <w:pPr>
        <w:pStyle w:val="ListBullet"/>
        <w:spacing w:after="60"/>
        <w:ind w:left="259"/>
      </w:pPr>
      <w:r>
        <w:t>Persist structured research/assessment data in a relational database.</w:t>
      </w:r>
    </w:p>
    <w:p>
      <w:pPr>
        <w:pStyle w:val="ListBullet"/>
        <w:spacing w:after="60"/>
        <w:ind w:left="259"/>
      </w:pPr>
      <w:r>
        <w:t>Treat authentication and authorization as application concerns, not cosmetic UI controls.</w:t>
      </w:r>
    </w:p>
    <w:p>
      <w:pPr>
        <w:pStyle w:val="ListBullet"/>
        <w:spacing w:after="60"/>
        <w:ind w:left="259"/>
      </w:pPr>
      <w:r>
        <w:t>Use managed deployment services for the PoC and reserve enterprise cloud complexity for later stages.</w:t>
      </w:r>
    </w:p>
    <w:p>
      <w:pPr>
        <w:pStyle w:val="ListBullet"/>
        <w:spacing w:after="60"/>
        <w:ind w:left="259"/>
      </w:pPr>
      <w:r>
        <w:t>Containerize the backend so the ML service remains portable.</w:t>
      </w:r>
    </w:p>
    <w:p>
      <w:pPr>
        <w:pStyle w:val="Heading1"/>
      </w:pPr>
      <w:r>
        <w:t>3. High-Level System Architecture</w:t>
      </w:r>
    </w:p>
    <w:tbl>
      <w:tblPr>
        <w:tblW w:type="auto" w:w="0"/>
        <w:tblLook w:firstColumn="1" w:firstRow="1" w:lastColumn="0" w:lastRow="0" w:noHBand="0" w:noVBand="1" w:val="04A0"/>
      </w:tblPr>
      <w:tblGrid>
        <w:gridCol w:w="9994"/>
      </w:tblGrid>
      <w:tr>
        <w:trPr>
          <w:cantSplit w:val="true"/>
        </w:trPr>
        <w:tc>
          <w:tcPr>
            <w:tcW w:type="dxa" w:w="9994"/>
            <w:shd w:fill="F7F7F7"/>
            <w:tcBorders>
              <w:top w:val="single" w:sz="4" w:color="D9D9D9"/>
              <w:left w:val="single" w:sz="4" w:color="D9D9D9"/>
              <w:bottom w:val="single" w:sz="4" w:color="D9D9D9"/>
              <w:right w:val="single" w:sz="4" w:color="D9D9D9"/>
            </w:tcBorders>
          </w:tcPr>
          <w:p>
            <w:pPr>
              <w:spacing w:after="0"/>
            </w:pPr>
            <w:r>
              <w:rPr>
                <w:rFonts w:ascii="Consolas" w:hAnsi="Consolas"/>
                <w:color w:val="1F2937"/>
                <w:sz w:val="17"/>
              </w:rPr>
              <w:t xml:space="preserve">                        Clinician / Researcher / Admin</w:t>
              <w:br/>
            </w:r>
            <w:r>
              <w:rPr>
                <w:rFonts w:ascii="Consolas" w:hAnsi="Consolas"/>
                <w:color w:val="1F2937"/>
                <w:sz w:val="17"/>
              </w:rPr>
              <w:t xml:space="preserve">                                      |</w:t>
              <w:br/>
            </w:r>
            <w:r>
              <w:rPr>
                <w:rFonts w:ascii="Consolas" w:hAnsi="Consolas"/>
                <w:color w:val="1F2937"/>
                <w:sz w:val="17"/>
              </w:rPr>
              <w:t xml:space="preserve">                                      v</w:t>
              <w:br/>
            </w:r>
            <w:r>
              <w:rPr>
                <w:rFonts w:ascii="Consolas" w:hAnsi="Consolas"/>
                <w:color w:val="1F2937"/>
                <w:sz w:val="17"/>
              </w:rPr>
              <w:t xml:space="preserve">                         +--------------------------+</w:t>
              <w:br/>
            </w:r>
            <w:r>
              <w:rPr>
                <w:rFonts w:ascii="Consolas" w:hAnsi="Consolas"/>
                <w:color w:val="1F2937"/>
                <w:sz w:val="17"/>
              </w:rPr>
              <w:t xml:space="preserve">                         | Next.js 16.4 Frontend   |</w:t>
              <w:br/>
            </w:r>
            <w:r>
              <w:rPr>
                <w:rFonts w:ascii="Consolas" w:hAnsi="Consolas"/>
                <w:color w:val="1F2937"/>
                <w:sz w:val="17"/>
              </w:rPr>
              <w:t xml:space="preserve">                         | TypeScript + Tailwind   |</w:t>
              <w:br/>
            </w:r>
            <w:r>
              <w:rPr>
                <w:rFonts w:ascii="Consolas" w:hAnsi="Consolas"/>
                <w:color w:val="1F2937"/>
                <w:sz w:val="17"/>
              </w:rPr>
              <w:t xml:space="preserve">                         +------------+-------------+</w:t>
              <w:br/>
            </w:r>
            <w:r>
              <w:rPr>
                <w:rFonts w:ascii="Consolas" w:hAnsi="Consolas"/>
                <w:color w:val="1F2937"/>
                <w:sz w:val="17"/>
              </w:rPr>
              <w:t xml:space="preserve">                                      | HTTPS / JWT</w:t>
              <w:br/>
            </w:r>
            <w:r>
              <w:rPr>
                <w:rFonts w:ascii="Consolas" w:hAnsi="Consolas"/>
                <w:color w:val="1F2937"/>
                <w:sz w:val="17"/>
              </w:rPr>
              <w:t xml:space="preserve">                                      v</w:t>
              <w:br/>
            </w:r>
            <w:r>
              <w:rPr>
                <w:rFonts w:ascii="Consolas" w:hAnsi="Consolas"/>
                <w:color w:val="1F2937"/>
                <w:sz w:val="17"/>
              </w:rPr>
              <w:t xml:space="preserve">                         +--------------------------+</w:t>
              <w:br/>
            </w:r>
            <w:r>
              <w:rPr>
                <w:rFonts w:ascii="Consolas" w:hAnsi="Consolas"/>
                <w:color w:val="1F2937"/>
                <w:sz w:val="17"/>
              </w:rPr>
              <w:t xml:space="preserve">                         | FastAPI Backend         |</w:t>
              <w:br/>
            </w:r>
            <w:r>
              <w:rPr>
                <w:rFonts w:ascii="Consolas" w:hAnsi="Consolas"/>
                <w:color w:val="1F2937"/>
                <w:sz w:val="17"/>
              </w:rPr>
              <w:t xml:space="preserve">                         | Pydantic + SQLAlchemy  |</w:t>
              <w:br/>
            </w:r>
            <w:r>
              <w:rPr>
                <w:rFonts w:ascii="Consolas" w:hAnsi="Consolas"/>
                <w:color w:val="1F2937"/>
                <w:sz w:val="17"/>
              </w:rPr>
              <w:t xml:space="preserve">                         +------+-------------+-----+</w:t>
              <w:br/>
            </w:r>
            <w:r>
              <w:rPr>
                <w:rFonts w:ascii="Consolas" w:hAnsi="Consolas"/>
                <w:color w:val="1F2937"/>
                <w:sz w:val="17"/>
              </w:rPr>
              <w:t xml:space="preserve">                                |             |</w:t>
              <w:br/>
            </w:r>
            <w:r>
              <w:rPr>
                <w:rFonts w:ascii="Consolas" w:hAnsi="Consolas"/>
                <w:color w:val="1F2937"/>
                <w:sz w:val="17"/>
              </w:rPr>
              <w:t xml:space="preserve">                    +-----------+             +----------------+</w:t>
              <w:br/>
            </w:r>
            <w:r>
              <w:rPr>
                <w:rFonts w:ascii="Consolas" w:hAnsi="Consolas"/>
                <w:color w:val="1F2937"/>
                <w:sz w:val="17"/>
              </w:rPr>
              <w:t xml:space="preserve">                    v                                            v</w:t>
              <w:br/>
            </w:r>
            <w:r>
              <w:rPr>
                <w:rFonts w:ascii="Consolas" w:hAnsi="Consolas"/>
                <w:color w:val="1F2937"/>
                <w:sz w:val="17"/>
              </w:rPr>
              <w:t xml:space="preserve">          +--------------------+                    +--------------------+</w:t>
              <w:br/>
            </w:r>
            <w:r>
              <w:rPr>
                <w:rFonts w:ascii="Consolas" w:hAnsi="Consolas"/>
                <w:color w:val="1F2937"/>
                <w:sz w:val="17"/>
              </w:rPr>
              <w:t xml:space="preserve">          | ML Inference       |                    | PostgreSQL         |</w:t>
              <w:br/>
            </w:r>
            <w:r>
              <w:rPr>
                <w:rFonts w:ascii="Consolas" w:hAnsi="Consolas"/>
                <w:color w:val="1F2937"/>
                <w:sz w:val="17"/>
              </w:rPr>
              <w:t xml:space="preserve">          | XGBoost / RF       |                    | Supabase            |</w:t>
              <w:br/>
            </w:r>
            <w:r>
              <w:rPr>
                <w:rFonts w:ascii="Consolas" w:hAnsi="Consolas"/>
                <w:color w:val="1F2937"/>
                <w:sz w:val="17"/>
              </w:rPr>
              <w:t xml:space="preserve">          | preprocessing      |                    | assessments etc.   |</w:t>
              <w:br/>
            </w:r>
            <w:r>
              <w:rPr>
                <w:rFonts w:ascii="Consolas" w:hAnsi="Consolas"/>
                <w:color w:val="1F2937"/>
                <w:sz w:val="17"/>
              </w:rPr>
              <w:t xml:space="preserve">          +---------+----------+                    +--------------------+</w:t>
              <w:br/>
            </w:r>
            <w:r>
              <w:rPr>
                <w:rFonts w:ascii="Consolas" w:hAnsi="Consolas"/>
                <w:color w:val="1F2937"/>
                <w:sz w:val="17"/>
              </w:rPr>
              <w:t xml:space="preserve">                    |</w:t>
              <w:br/>
            </w:r>
            <w:r>
              <w:rPr>
                <w:rFonts w:ascii="Consolas" w:hAnsi="Consolas"/>
                <w:color w:val="1F2937"/>
                <w:sz w:val="17"/>
              </w:rPr>
              <w:t xml:space="preserve">                    v</w:t>
              <w:br/>
            </w:r>
            <w:r>
              <w:rPr>
                <w:rFonts w:ascii="Consolas" w:hAnsi="Consolas"/>
                <w:color w:val="1F2937"/>
                <w:sz w:val="17"/>
              </w:rPr>
              <w:t xml:space="preserve">          +--------------------+</w:t>
              <w:br/>
            </w:r>
            <w:r>
              <w:rPr>
                <w:rFonts w:ascii="Consolas" w:hAnsi="Consolas"/>
                <w:color w:val="1F2937"/>
                <w:sz w:val="17"/>
              </w:rPr>
              <w:t xml:space="preserve">          | SHAP / LIME        |</w:t>
              <w:br/>
            </w:r>
            <w:r>
              <w:rPr>
                <w:rFonts w:ascii="Consolas" w:hAnsi="Consolas"/>
                <w:color w:val="1F2937"/>
                <w:sz w:val="17"/>
              </w:rPr>
              <w:t xml:space="preserve">          | XAI explanations   |</w:t>
              <w:br/>
            </w:r>
            <w:r>
              <w:rPr>
                <w:rFonts w:ascii="Consolas" w:hAnsi="Consolas"/>
                <w:color w:val="1F2937"/>
                <w:sz w:val="17"/>
              </w:rPr>
              <w:t xml:space="preserve">          +---------+----------+</w:t>
              <w:br/>
            </w:r>
            <w:r>
              <w:rPr>
                <w:rFonts w:ascii="Consolas" w:hAnsi="Consolas"/>
                <w:color w:val="1F2937"/>
                <w:sz w:val="17"/>
              </w:rPr>
              <w:t xml:space="preserve">                    |</w:t>
              <w:br/>
            </w:r>
            <w:r>
              <w:rPr>
                <w:rFonts w:ascii="Consolas" w:hAnsi="Consolas"/>
                <w:color w:val="1F2937"/>
                <w:sz w:val="17"/>
              </w:rPr>
              <w:t xml:space="preserve">                    v</w:t>
              <w:br/>
            </w:r>
            <w:r>
              <w:rPr>
                <w:rFonts w:ascii="Consolas" w:hAnsi="Consolas"/>
                <w:color w:val="1F2937"/>
                <w:sz w:val="17"/>
              </w:rPr>
              <w:t xml:space="preserve">          Prediction + Explanation</w:t>
              <w:br/>
            </w:r>
            <w:r>
              <w:rPr>
                <w:rFonts w:ascii="Consolas" w:hAnsi="Consolas"/>
                <w:color w:val="1F2937"/>
                <w:sz w:val="17"/>
              </w:rPr>
              <w:t xml:space="preserve">                    |</w:t>
              <w:br/>
            </w:r>
            <w:r>
              <w:rPr>
                <w:rFonts w:ascii="Consolas" w:hAnsi="Consolas"/>
                <w:color w:val="1F2937"/>
                <w:sz w:val="17"/>
              </w:rPr>
              <w:t xml:space="preserve">                    v</w:t>
              <w:br/>
            </w:r>
            <w:r>
              <w:rPr>
                <w:rFonts w:ascii="Consolas" w:hAnsi="Consolas"/>
                <w:color w:val="1F2937"/>
                <w:sz w:val="17"/>
              </w:rPr>
              <w:t xml:space="preserve">              Clinical Dashboard</w:t>
              <w:br/>
            </w:r>
          </w:p>
        </w:tc>
      </w:tr>
    </w:tbl>
    <w:p>
      <w:pPr>
        <w:spacing w:after="0"/>
      </w:pPr>
    </w:p>
    <w:p>
      <w:pPr>
        <w:pStyle w:val="Heading1"/>
      </w:pPr>
      <w:r>
        <w:t>4. Frontend: Next.js 16.4 + TypeScript</w:t>
      </w:r>
    </w:p>
    <w:p>
      <w:r>
        <w:t>Recommendation: Next.js 16.4 with the App Router, TypeScript, Tailwind CSS, shadcn/ui, React Hook Form, Zod, and a suitable charting library such as Recharts or Plotly.</w:t>
      </w:r>
    </w:p>
    <w:p>
      <w:r>
        <w:t>Next.js 16.4 was released on 6 October 2026. The release includes React 19.3 improvements and ongoing Turbopack/production-build enhancements. For this product, the strategic advantage is not simply the version number; it is the ability to build a real multi-page application with strong routing, structured components, responsive clinical forms, role-based screens, and an independent backend contract.</w:t>
      </w:r>
    </w:p>
    <w:p>
      <w:r>
        <w:t>Why not make Streamlit the main UI? Streamlit is ideal for proving an ML model quickly, but this product needs durable application behavior: authentication flows, role-aware screens, research dashboards, reusable components, detailed error states, and a future ability to support clients other than the Streamlit runtime. A proper frontend is the better long-term boundary.</w:t>
      </w:r>
    </w:p>
    <w:tbl>
      <w:tblPr>
        <w:tblW w:type="auto" w:w="0"/>
        <w:jc w:val="center"/>
        <w:tblLayout w:type="autofit"/>
        <w:tblLook w:firstColumn="1" w:firstRow="1" w:lastColumn="0" w:lastRow="0" w:noHBand="0" w:noVBand="1" w:val="04A0"/>
      </w:tblPr>
      <w:tblGrid>
        <w:gridCol w:w="4997"/>
        <w:gridCol w:w="4997"/>
      </w:tblGrid>
      <w:tr>
        <w:trPr>
          <w:tblHeader w:val="true"/>
          <w:cantSplit w:val="true"/>
        </w:trPr>
        <w:tc>
          <w:tcPr>
            <w:tcW w:type="dxa" w:w="2880"/>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Frontend Technology</w:t>
            </w:r>
          </w:p>
        </w:tc>
        <w:tc>
          <w:tcPr>
            <w:tcW w:type="dxa" w:w="7272"/>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Why It Belongs</w:t>
            </w:r>
          </w:p>
        </w:tc>
      </w:tr>
      <w:tr>
        <w:trPr>
          <w:cantSplit w:val="true"/>
        </w:trPr>
        <w:tc>
          <w:tcPr>
            <w:tcW w:type="dxa" w:w="288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Next.js 16.4</w:t>
            </w:r>
          </w:p>
        </w:tc>
        <w:tc>
          <w:tcPr>
            <w:tcW w:type="dxa" w:w="727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Production-oriented React application framework; routing, rendering, and deployment ecosystem.</w:t>
            </w:r>
          </w:p>
        </w:tc>
      </w:tr>
      <w:tr>
        <w:trPr>
          <w:cantSplit w:val="true"/>
        </w:trPr>
        <w:tc>
          <w:tcPr>
            <w:tcW w:type="dxa" w:w="2880"/>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TypeScript</w:t>
            </w:r>
          </w:p>
        </w:tc>
        <w:tc>
          <w:tcPr>
            <w:tcW w:type="dxa" w:w="727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Strong typing for structured clinical objects such as assessments, vitals, predictions, and model metadata.</w:t>
            </w:r>
          </w:p>
        </w:tc>
      </w:tr>
      <w:tr>
        <w:trPr>
          <w:cantSplit w:val="true"/>
        </w:trPr>
        <w:tc>
          <w:tcPr>
            <w:tcW w:type="dxa" w:w="288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Tailwind CSS</w:t>
            </w:r>
          </w:p>
        </w:tc>
        <w:tc>
          <w:tcPr>
            <w:tcW w:type="dxa" w:w="727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Fast, consistent responsive styling without building a large bespoke CSS system.</w:t>
            </w:r>
          </w:p>
        </w:tc>
      </w:tr>
      <w:tr>
        <w:trPr>
          <w:cantSplit w:val="true"/>
        </w:trPr>
        <w:tc>
          <w:tcPr>
            <w:tcW w:type="dxa" w:w="2880"/>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shadcn/ui</w:t>
            </w:r>
          </w:p>
        </w:tc>
        <w:tc>
          <w:tcPr>
            <w:tcW w:type="dxa" w:w="727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Accessible, composable UI primitives suitable for forms, dialogs, tables, cards, and navigation.</w:t>
            </w:r>
          </w:p>
        </w:tc>
      </w:tr>
      <w:tr>
        <w:trPr>
          <w:cantSplit w:val="true"/>
        </w:trPr>
        <w:tc>
          <w:tcPr>
            <w:tcW w:type="dxa" w:w="288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React Hook Form + Zod</w:t>
            </w:r>
          </w:p>
        </w:tc>
        <w:tc>
          <w:tcPr>
            <w:tcW w:type="dxa" w:w="727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Client-side form state and validation that align with typed API payloads.</w:t>
            </w:r>
          </w:p>
        </w:tc>
      </w:tr>
      <w:tr>
        <w:trPr>
          <w:cantSplit w:val="true"/>
        </w:trPr>
        <w:tc>
          <w:tcPr>
            <w:tcW w:type="dxa" w:w="2880"/>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Recharts / Plotly</w:t>
            </w:r>
          </w:p>
        </w:tc>
        <w:tc>
          <w:tcPr>
            <w:tcW w:type="dxa" w:w="727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Clinical-risk cards, feature contributions, and research visualizations.</w:t>
            </w:r>
          </w:p>
        </w:tc>
      </w:tr>
    </w:tbl>
    <w:p>
      <w:pPr>
        <w:spacing w:after="0"/>
      </w:pPr>
    </w:p>
    <w:p>
      <w:pPr>
        <w:pStyle w:val="Heading1"/>
      </w:pPr>
      <w:r>
        <w:t>5. Backend: FastAPI + Python</w:t>
      </w:r>
    </w:p>
    <w:p>
      <w:r>
        <w:t>FastAPI should serve as the application backend and ML orchestration layer. This keeps the inference service in Python, directly adjacent to XGBoost, Scikit-learn, SHAP, pandas, and NumPy.</w:t>
      </w:r>
    </w:p>
    <w:p>
      <w:pPr>
        <w:pStyle w:val="ListBullet"/>
        <w:spacing w:after="60"/>
        <w:ind w:left="259"/>
      </w:pPr>
      <w:r>
        <w:t>Strong type-driven request validation through Pydantic.</w:t>
      </w:r>
    </w:p>
    <w:p>
      <w:pPr>
        <w:pStyle w:val="ListBullet"/>
        <w:spacing w:after="60"/>
        <w:ind w:left="259"/>
      </w:pPr>
      <w:r>
        <w:t>Automatic OpenAPI documentation and interactive Swagger UI.</w:t>
      </w:r>
    </w:p>
    <w:p>
      <w:pPr>
        <w:pStyle w:val="ListBullet"/>
        <w:spacing w:after="60"/>
        <w:ind w:left="259"/>
      </w:pPr>
      <w:r>
        <w:t>Natural fit for Python-based ML inference.</w:t>
      </w:r>
    </w:p>
    <w:p>
      <w:pPr>
        <w:pStyle w:val="ListBullet"/>
        <w:spacing w:after="60"/>
        <w:ind w:left="259"/>
      </w:pPr>
      <w:r>
        <w:t>Clear separation between API endpoints, data models, services, ML inference, and XAI.</w:t>
      </w:r>
    </w:p>
    <w:p>
      <w:pPr>
        <w:pStyle w:val="ListBullet"/>
        <w:spacing w:after="60"/>
        <w:ind w:left="259"/>
      </w:pPr>
      <w:r>
        <w:t>Easy path to a formal prediction API in the roadmap.</w:t>
      </w:r>
    </w:p>
    <w:tbl>
      <w:tblPr>
        <w:tblW w:type="auto" w:w="0"/>
        <w:tblLook w:firstColumn="1" w:firstRow="1" w:lastColumn="0" w:lastRow="0" w:noHBand="0" w:noVBand="1" w:val="04A0"/>
      </w:tblPr>
      <w:tblGrid>
        <w:gridCol w:w="9994"/>
      </w:tblGrid>
      <w:tr>
        <w:trPr>
          <w:cantSplit w:val="true"/>
        </w:trPr>
        <w:tc>
          <w:tcPr>
            <w:tcW w:type="dxa" w:w="9994"/>
            <w:shd w:fill="F7F7F7"/>
            <w:tcBorders>
              <w:top w:val="single" w:sz="4" w:color="D9D9D9"/>
              <w:left w:val="single" w:sz="4" w:color="D9D9D9"/>
              <w:bottom w:val="single" w:sz="4" w:color="D9D9D9"/>
              <w:right w:val="single" w:sz="4" w:color="D9D9D9"/>
            </w:tcBorders>
          </w:tcPr>
          <w:p>
            <w:pPr>
              <w:spacing w:after="0"/>
            </w:pPr>
            <w:r>
              <w:rPr>
                <w:rFonts w:ascii="Consolas" w:hAnsi="Consolas"/>
                <w:color w:val="1F2937"/>
                <w:sz w:val="17"/>
              </w:rPr>
              <w:t>POST /api/v1/assessments</w:t>
              <w:br/>
            </w:r>
            <w:r>
              <w:rPr>
                <w:rFonts w:ascii="Consolas" w:hAnsi="Consolas"/>
                <w:color w:val="1F2937"/>
                <w:sz w:val="17"/>
              </w:rPr>
              <w:t>POST /api/v1/predictions</w:t>
              <w:br/>
            </w:r>
            <w:r>
              <w:rPr>
                <w:rFonts w:ascii="Consolas" w:hAnsi="Consolas"/>
                <w:color w:val="1F2937"/>
                <w:sz w:val="17"/>
              </w:rPr>
              <w:t>GET  /api/v1/predictions/{id}</w:t>
              <w:br/>
            </w:r>
            <w:r>
              <w:rPr>
                <w:rFonts w:ascii="Consolas" w:hAnsi="Consolas"/>
                <w:color w:val="1F2937"/>
                <w:sz w:val="17"/>
              </w:rPr>
              <w:t>GET  /api/v1/models</w:t>
              <w:br/>
            </w:r>
            <w:r>
              <w:rPr>
                <w:rFonts w:ascii="Consolas" w:hAnsi="Consolas"/>
                <w:color w:val="1F2937"/>
                <w:sz w:val="17"/>
              </w:rPr>
              <w:t>GET  /api/v1/research/metrics</w:t>
              <w:br/>
            </w:r>
          </w:p>
        </w:tc>
      </w:tr>
    </w:tbl>
    <w:p>
      <w:pPr>
        <w:spacing w:after="0"/>
      </w:pPr>
    </w:p>
    <w:p>
      <w:pPr>
        <w:pStyle w:val="Heading1"/>
      </w:pPr>
      <w:r>
        <w:t>6. ML Layer: XGBoost + Scikit-learn</w:t>
      </w:r>
    </w:p>
    <w:p>
      <w:r>
        <w:t>Use Random Forest as the baseline and XGBoost as the primary candidate model. The project should select the final model from measured results rather than from a predetermined preference.</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val="true"/>
        </w:trPr>
        <w:tc>
          <w:tcPr>
            <w:tcW w:type="dxa" w:w="2736"/>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Criterion</w:t>
            </w:r>
          </w:p>
        </w:tc>
        <w:tc>
          <w:tcPr>
            <w:tcW w:type="dxa" w:w="3240"/>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Random Forest</w:t>
            </w:r>
          </w:p>
        </w:tc>
        <w:tc>
          <w:tcPr>
            <w:tcW w:type="dxa" w:w="4176"/>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XGBoost</w:t>
            </w:r>
          </w:p>
        </w:tc>
      </w:tr>
      <w:tr>
        <w:trPr>
          <w:cantSplit w:val="true"/>
        </w:trPr>
        <w:tc>
          <w:tcPr>
            <w:tcW w:type="dxa" w:w="273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Role</w:t>
            </w:r>
          </w:p>
        </w:tc>
        <w:tc>
          <w:tcPr>
            <w:tcW w:type="dxa" w:w="324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Baseline benchmark</w:t>
            </w:r>
          </w:p>
        </w:tc>
        <w:tc>
          <w:tcPr>
            <w:tcW w:type="dxa" w:w="417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Primary candidate</w:t>
            </w:r>
          </w:p>
        </w:tc>
      </w:tr>
      <w:tr>
        <w:trPr>
          <w:cantSplit w:val="true"/>
        </w:trPr>
        <w:tc>
          <w:tcPr>
            <w:tcW w:type="dxa" w:w="273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Tabular data fit</w:t>
            </w:r>
          </w:p>
        </w:tc>
        <w:tc>
          <w:tcPr>
            <w:tcW w:type="dxa" w:w="3240"/>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Strong</w:t>
            </w:r>
          </w:p>
        </w:tc>
        <w:tc>
          <w:tcPr>
            <w:tcW w:type="dxa" w:w="417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Very strong</w:t>
            </w:r>
          </w:p>
        </w:tc>
      </w:tr>
      <w:tr>
        <w:trPr>
          <w:cantSplit w:val="true"/>
        </w:trPr>
        <w:tc>
          <w:tcPr>
            <w:tcW w:type="dxa" w:w="273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Nonlinear relationships</w:t>
            </w:r>
          </w:p>
        </w:tc>
        <w:tc>
          <w:tcPr>
            <w:tcW w:type="dxa" w:w="324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Good</w:t>
            </w:r>
          </w:p>
        </w:tc>
        <w:tc>
          <w:tcPr>
            <w:tcW w:type="dxa" w:w="417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Excellent</w:t>
            </w:r>
          </w:p>
        </w:tc>
      </w:tr>
      <w:tr>
        <w:trPr>
          <w:cantSplit w:val="true"/>
        </w:trPr>
        <w:tc>
          <w:tcPr>
            <w:tcW w:type="dxa" w:w="273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Interpretability tooling</w:t>
            </w:r>
          </w:p>
        </w:tc>
        <w:tc>
          <w:tcPr>
            <w:tcW w:type="dxa" w:w="3240"/>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Good</w:t>
            </w:r>
          </w:p>
        </w:tc>
        <w:tc>
          <w:tcPr>
            <w:tcW w:type="dxa" w:w="417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Excellent with SHAP</w:t>
            </w:r>
          </w:p>
        </w:tc>
      </w:tr>
      <w:tr>
        <w:trPr>
          <w:cantSplit w:val="true"/>
        </w:trPr>
        <w:tc>
          <w:tcPr>
            <w:tcW w:type="dxa" w:w="273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Research use</w:t>
            </w:r>
          </w:p>
        </w:tc>
        <w:tc>
          <w:tcPr>
            <w:tcW w:type="dxa" w:w="324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Baseline comparison</w:t>
            </w:r>
          </w:p>
        </w:tc>
        <w:tc>
          <w:tcPr>
            <w:tcW w:type="dxa" w:w="417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Primary performance candidate</w:t>
            </w:r>
          </w:p>
        </w:tc>
      </w:tr>
    </w:tbl>
    <w:p>
      <w:pPr>
        <w:spacing w:after="0"/>
      </w:pPr>
    </w:p>
    <w:p>
      <w:r>
        <w:t>Recommended evaluation: precision, recall/sensitivity, F1, ROC-AUC, specificity where clinically relevant, confusion matrix, and calibration. Avoid selecting the model from accuracy alone because healthcare error costs are asymmetric in many use cases.</w:t>
      </w:r>
    </w:p>
    <w:p>
      <w:pPr>
        <w:pStyle w:val="Heading1"/>
      </w:pPr>
      <w:r>
        <w:t>7. Explainability: SHAP</w:t>
      </w:r>
    </w:p>
    <w:p>
      <w:r>
        <w:t>SHAP should be the primary explanation framework because the selected model family is tree-based and the research objective explicitly emphasizes why a prediction was made.</w:t>
      </w:r>
    </w:p>
    <w:tbl>
      <w:tblPr>
        <w:tblW w:type="auto" w:w="0"/>
        <w:jc w:val="center"/>
        <w:tblLayout w:type="autofit"/>
        <w:tblLook w:firstColumn="1" w:firstRow="1" w:lastColumn="0" w:lastRow="0" w:noHBand="0" w:noVBand="1" w:val="04A0"/>
      </w:tblPr>
      <w:tblGrid>
        <w:gridCol w:w="4997"/>
        <w:gridCol w:w="4997"/>
      </w:tblGrid>
      <w:tr>
        <w:trPr>
          <w:tblHeader w:val="true"/>
          <w:cantSplit w:val="true"/>
        </w:trPr>
        <w:tc>
          <w:tcPr>
            <w:tcW w:type="dxa" w:w="2520"/>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XAI Capability</w:t>
            </w:r>
          </w:p>
        </w:tc>
        <w:tc>
          <w:tcPr>
            <w:tcW w:type="dxa" w:w="7632"/>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Implementation</w:t>
            </w:r>
          </w:p>
        </w:tc>
      </w:tr>
      <w:tr>
        <w:trPr>
          <w:cantSplit w:val="true"/>
        </w:trPr>
        <w:tc>
          <w:tcPr>
            <w:tcW w:type="dxa" w:w="252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Local explanation</w:t>
            </w:r>
          </w:p>
        </w:tc>
        <w:tc>
          <w:tcPr>
            <w:tcW w:type="dxa" w:w="763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Explain the feature contributions for one patient assessment.</w:t>
            </w:r>
          </w:p>
        </w:tc>
      </w:tr>
      <w:tr>
        <w:trPr>
          <w:cantSplit w:val="true"/>
        </w:trPr>
        <w:tc>
          <w:tcPr>
            <w:tcW w:type="dxa" w:w="2520"/>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Global importance</w:t>
            </w:r>
          </w:p>
        </w:tc>
        <w:tc>
          <w:tcPr>
            <w:tcW w:type="dxa" w:w="763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Show which features are influential across the evaluation set.</w:t>
            </w:r>
          </w:p>
        </w:tc>
      </w:tr>
      <w:tr>
        <w:trPr>
          <w:cantSplit w:val="true"/>
        </w:trPr>
        <w:tc>
          <w:tcPr>
            <w:tcW w:type="dxa" w:w="252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Research comparison</w:t>
            </w:r>
          </w:p>
        </w:tc>
        <w:tc>
          <w:tcPr>
            <w:tcW w:type="dxa" w:w="763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Optionally compare SHAP and LIME for stability and comprehensibility.</w:t>
            </w:r>
          </w:p>
        </w:tc>
      </w:tr>
      <w:tr>
        <w:trPr>
          <w:cantSplit w:val="true"/>
        </w:trPr>
        <w:tc>
          <w:tcPr>
            <w:tcW w:type="dxa" w:w="2520"/>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Clinical language</w:t>
            </w:r>
          </w:p>
        </w:tc>
        <w:tc>
          <w:tcPr>
            <w:tcW w:type="dxa" w:w="763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Label outputs as model contributions, not causes.</w:t>
            </w:r>
          </w:p>
        </w:tc>
      </w:tr>
    </w:tbl>
    <w:p>
      <w:pPr>
        <w:spacing w:after="0"/>
      </w:pPr>
    </w:p>
    <w:p>
      <w:pPr>
        <w:pStyle w:val="Heading1"/>
      </w:pPr>
      <w:r>
        <w:t>8. Authentication &amp; Authorization: Supabase Auth</w:t>
      </w:r>
    </w:p>
    <w:p>
      <w:r>
        <w:t>Supabase Auth is the recommended authentication layer for the PoC. Current Supabase documentation describes password, magic link, OTP, social login, SSO, JWT-based authentication, and integration with PostgreSQL Row Level Security (RLS).</w:t>
      </w:r>
    </w:p>
    <w:tbl>
      <w:tblPr>
        <w:tblW w:type="auto" w:w="0"/>
        <w:jc w:val="center"/>
        <w:tblLayout w:type="autofit"/>
        <w:tblLook w:firstColumn="1" w:firstRow="1" w:lastColumn="0" w:lastRow="0" w:noHBand="0" w:noVBand="1" w:val="04A0"/>
      </w:tblPr>
      <w:tblGrid>
        <w:gridCol w:w="4997"/>
        <w:gridCol w:w="4997"/>
      </w:tblGrid>
      <w:tr>
        <w:trPr>
          <w:tblHeader w:val="true"/>
          <w:cantSplit w:val="true"/>
        </w:trPr>
        <w:tc>
          <w:tcPr>
            <w:tcW w:type="dxa" w:w="2088"/>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Role</w:t>
            </w:r>
          </w:p>
        </w:tc>
        <w:tc>
          <w:tcPr>
            <w:tcW w:type="dxa" w:w="8064"/>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Prototype Permissions</w:t>
            </w:r>
          </w:p>
        </w:tc>
      </w:tr>
      <w:tr>
        <w:trPr>
          <w:cantSplit w:val="true"/>
        </w:trPr>
        <w:tc>
          <w:tcPr>
            <w:tcW w:type="dxa" w:w="208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Clinician</w:t>
            </w:r>
          </w:p>
        </w:tc>
        <w:tc>
          <w:tcPr>
            <w:tcW w:type="dxa" w:w="8064"/>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Create/view assessments permitted to the role; view predictions and explanations.</w:t>
            </w:r>
          </w:p>
        </w:tc>
      </w:tr>
      <w:tr>
        <w:trPr>
          <w:cantSplit w:val="true"/>
        </w:trPr>
        <w:tc>
          <w:tcPr>
            <w:tcW w:type="dxa" w:w="208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Researcher</w:t>
            </w:r>
          </w:p>
        </w:tc>
        <w:tc>
          <w:tcPr>
            <w:tcW w:type="dxa" w:w="8064"/>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Clinician capabilities plus model metrics, model comparisons, and research views.</w:t>
            </w:r>
          </w:p>
        </w:tc>
      </w:tr>
      <w:tr>
        <w:trPr>
          <w:cantSplit w:val="true"/>
        </w:trPr>
        <w:tc>
          <w:tcPr>
            <w:tcW w:type="dxa" w:w="208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Admin</w:t>
            </w:r>
          </w:p>
        </w:tc>
        <w:tc>
          <w:tcPr>
            <w:tcW w:type="dxa" w:w="8064"/>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User/role management and system-level configuration within the PoC.</w:t>
            </w:r>
          </w:p>
        </w:tc>
      </w:tr>
    </w:tbl>
    <w:p>
      <w:pPr>
        <w:spacing w:after="0"/>
      </w:pPr>
    </w:p>
    <w:p>
      <w:r>
        <w:t>Authorization should be enforced at the backend/data layer as well as in the frontend. Supabase RLS provides a database-level policy mechanism; service/secret keys must never be exposed in the browser.</w:t>
      </w:r>
    </w:p>
    <w:p>
      <w:pPr>
        <w:pStyle w:val="Heading1"/>
      </w:pPr>
      <w:r>
        <w:t>9. Database: PostgreSQL via Supabase</w:t>
      </w:r>
    </w:p>
    <w:p>
      <w:r>
        <w:t>PostgreSQL is the recommended database because the domain is relational and requires structured links between users, assessments, patients, predictions, explanations, model versions, and audit records.</w:t>
      </w:r>
    </w:p>
    <w:tbl>
      <w:tblPr>
        <w:tblW w:type="auto" w:w="0"/>
        <w:tblLook w:firstColumn="1" w:firstRow="1" w:lastColumn="0" w:lastRow="0" w:noHBand="0" w:noVBand="1" w:val="04A0"/>
      </w:tblPr>
      <w:tblGrid>
        <w:gridCol w:w="9994"/>
      </w:tblGrid>
      <w:tr>
        <w:trPr>
          <w:cantSplit w:val="true"/>
        </w:trPr>
        <w:tc>
          <w:tcPr>
            <w:tcW w:type="dxa" w:w="9994"/>
            <w:shd w:fill="F7F7F7"/>
            <w:tcBorders>
              <w:top w:val="single" w:sz="4" w:color="D9D9D9"/>
              <w:left w:val="single" w:sz="4" w:color="D9D9D9"/>
              <w:bottom w:val="single" w:sz="4" w:color="D9D9D9"/>
              <w:right w:val="single" w:sz="4" w:color="D9D9D9"/>
            </w:tcBorders>
          </w:tcPr>
          <w:p>
            <w:pPr>
              <w:spacing w:after="0"/>
            </w:pPr>
            <w:r>
              <w:rPr>
                <w:rFonts w:ascii="Consolas" w:hAnsi="Consolas"/>
                <w:color w:val="1F2937"/>
                <w:sz w:val="17"/>
              </w:rPr>
              <w:t>users</w:t>
              <w:br/>
            </w:r>
            <w:r>
              <w:rPr>
                <w:rFonts w:ascii="Consolas" w:hAnsi="Consolas"/>
                <w:color w:val="1F2937"/>
                <w:sz w:val="17"/>
              </w:rPr>
              <w:t xml:space="preserve">  |</w:t>
              <w:br/>
            </w:r>
            <w:r>
              <w:rPr>
                <w:rFonts w:ascii="Consolas" w:hAnsi="Consolas"/>
                <w:color w:val="1F2937"/>
                <w:sz w:val="17"/>
              </w:rPr>
              <w:t xml:space="preserve">  +-- roles</w:t>
              <w:br/>
            </w:r>
            <w:r>
              <w:rPr>
                <w:rFonts w:ascii="Consolas" w:hAnsi="Consolas"/>
                <w:color w:val="1F2937"/>
                <w:sz w:val="17"/>
              </w:rPr>
              <w:t xml:space="preserve">  |</w:t>
              <w:br/>
            </w:r>
            <w:r>
              <w:rPr>
                <w:rFonts w:ascii="Consolas" w:hAnsi="Consolas"/>
                <w:color w:val="1F2937"/>
                <w:sz w:val="17"/>
              </w:rPr>
              <w:t xml:space="preserve">  +-- assessments</w:t>
              <w:br/>
            </w:r>
            <w:r>
              <w:rPr>
                <w:rFonts w:ascii="Consolas" w:hAnsi="Consolas"/>
                <w:color w:val="1F2937"/>
                <w:sz w:val="17"/>
              </w:rPr>
              <w:t xml:space="preserve">        |</w:t>
              <w:br/>
            </w:r>
            <w:r>
              <w:rPr>
                <w:rFonts w:ascii="Consolas" w:hAnsi="Consolas"/>
                <w:color w:val="1F2937"/>
                <w:sz w:val="17"/>
              </w:rPr>
              <w:t xml:space="preserve">        +-- patient/vitals data</w:t>
              <w:br/>
            </w:r>
            <w:r>
              <w:rPr>
                <w:rFonts w:ascii="Consolas" w:hAnsi="Consolas"/>
                <w:color w:val="1F2937"/>
                <w:sz w:val="17"/>
              </w:rPr>
              <w:t xml:space="preserve">        +-- prediction</w:t>
              <w:br/>
            </w:r>
            <w:r>
              <w:rPr>
                <w:rFonts w:ascii="Consolas" w:hAnsi="Consolas"/>
                <w:color w:val="1F2937"/>
                <w:sz w:val="17"/>
              </w:rPr>
              <w:t xml:space="preserve">        +-- feature contributions</w:t>
              <w:br/>
            </w:r>
            <w:r>
              <w:rPr>
                <w:rFonts w:ascii="Consolas" w:hAnsi="Consolas"/>
                <w:color w:val="1F2937"/>
                <w:sz w:val="17"/>
              </w:rPr>
              <w:t xml:space="preserve">        +-- model version</w:t>
              <w:br/>
            </w:r>
            <w:r>
              <w:rPr>
                <w:rFonts w:ascii="Consolas" w:hAnsi="Consolas"/>
                <w:color w:val="1F2937"/>
                <w:sz w:val="17"/>
              </w:rPr>
              <w:t xml:space="preserve">        +-- audit metadata</w:t>
              <w:br/>
            </w:r>
          </w:p>
        </w:tc>
      </w:tr>
    </w:tbl>
    <w:p>
      <w:pPr>
        <w:spacing w:after="0"/>
      </w:pPr>
    </w:p>
    <w:p>
      <w:pPr>
        <w:pStyle w:val="ListBullet"/>
        <w:spacing w:after="60"/>
        <w:ind w:left="259"/>
      </w:pPr>
      <w:r>
        <w:t>PostgreSQL provides relational integrity and mature SQL capabilities.</w:t>
      </w:r>
    </w:p>
    <w:p>
      <w:pPr>
        <w:pStyle w:val="ListBullet"/>
        <w:spacing w:after="60"/>
        <w:ind w:left="259"/>
      </w:pPr>
      <w:r>
        <w:t>Supabase combines managed Postgres with Auth and RLS, reducing PoC integration overhead.</w:t>
      </w:r>
    </w:p>
    <w:p>
      <w:pPr>
        <w:pStyle w:val="ListBullet"/>
        <w:spacing w:after="60"/>
        <w:ind w:left="259"/>
      </w:pPr>
      <w:r>
        <w:t>The schema maps cleanly to future audit and model-versioning requirements.</w:t>
      </w:r>
    </w:p>
    <w:p>
      <w:pPr>
        <w:pStyle w:val="ListBullet"/>
        <w:spacing w:after="60"/>
        <w:ind w:left="259"/>
      </w:pPr>
      <w:r>
        <w:t>For real clinical deployment, revisit hosting, networking, encryption, backup, retention, governance, and regulatory requirements before introducing real patient data.</w:t>
      </w:r>
    </w:p>
    <w:p>
      <w:pPr>
        <w:pStyle w:val="Heading1"/>
      </w:pPr>
      <w:r>
        <w:t>10. Deployment: Vercel + Render</w:t>
      </w:r>
    </w:p>
    <w:p>
      <w:pPr>
        <w:pStyle w:val="Heading2"/>
      </w:pPr>
      <w:r>
        <w:t>10.1 Frontend - Vercel</w:t>
      </w:r>
    </w:p>
    <w:p>
      <w:r>
        <w:t>Vercel is the recommended frontend deployment platform because it is the native deployment ecosystem for Next.js. The goal is to keep frontend CI/CD almost frictionless while preserving the ability to use preview deployments for review.</w:t>
      </w:r>
    </w:p>
    <w:p>
      <w:pPr>
        <w:pStyle w:val="Heading2"/>
      </w:pPr>
      <w:r>
        <w:t>10.2 Backend - Render</w:t>
      </w:r>
    </w:p>
    <w:p>
      <w:r>
        <w:t>Render is recommended for the FastAPI PoC because it provides a straightforward Python web-service deployment model, Git-based deployment, and a ready FastAPI template. This avoids introducing enterprise cloud infrastructure before the product has earned that complexity.</w:t>
      </w:r>
    </w:p>
    <w:p>
      <w:pPr>
        <w:pStyle w:val="Heading2"/>
      </w:pPr>
      <w:r>
        <w:t>10.3 Docker</w:t>
      </w:r>
    </w:p>
    <w:p>
      <w:r>
        <w:t>Containerize the FastAPI/ML service. This protects the project from environment drift across local development, CI, Render, and a future AWS deployment.</w:t>
      </w:r>
    </w:p>
    <w:p>
      <w:pPr>
        <w:pStyle w:val="Heading1"/>
      </w:pPr>
      <w:r>
        <w:t>11. Why Not AWS for the Initial PoC?</w:t>
      </w:r>
    </w:p>
    <w:p>
      <w:r>
        <w:t>AWS is the long-term enterprise candidate, not necessarily the best first deployment. For a research prototype, the incremental operational burden of VPCs, IAM policies, container orchestration, load balancing, networking, observability, secrets, and infrastructure-as-code can overwhelm the actual research goal.</w:t>
      </w:r>
    </w:p>
    <w:p>
      <w:r>
        <w:t>Once real patient data, institutional networking, enterprise identity, advanced logging, private subnets, large-scale workloads, or stronger governance requirements appear, AWS becomes considerably more compelling.</w:t>
      </w:r>
    </w:p>
    <w:tbl>
      <w:tblPr>
        <w:tblW w:type="auto" w:w="0"/>
        <w:tblLook w:firstColumn="1" w:firstRow="1" w:lastColumn="0" w:lastRow="0" w:noHBand="0" w:noVBand="1" w:val="04A0"/>
      </w:tblPr>
      <w:tblGrid>
        <w:gridCol w:w="9994"/>
      </w:tblGrid>
      <w:tr>
        <w:trPr>
          <w:cantSplit w:val="true"/>
        </w:trPr>
        <w:tc>
          <w:tcPr>
            <w:tcW w:type="dxa" w:w="9994"/>
            <w:shd w:fill="F7F7F7"/>
            <w:tcBorders>
              <w:top w:val="single" w:sz="4" w:color="D9D9D9"/>
              <w:left w:val="single" w:sz="4" w:color="D9D9D9"/>
              <w:bottom w:val="single" w:sz="4" w:color="D9D9D9"/>
              <w:right w:val="single" w:sz="4" w:color="D9D9D9"/>
            </w:tcBorders>
          </w:tcPr>
          <w:p>
            <w:pPr>
              <w:spacing w:after="0"/>
            </w:pPr>
            <w:r>
              <w:rPr>
                <w:rFonts w:ascii="Consolas" w:hAnsi="Consolas"/>
                <w:color w:val="1F2937"/>
                <w:sz w:val="17"/>
              </w:rPr>
              <w:t>PoC</w:t>
              <w:br/>
            </w:r>
            <w:r>
              <w:rPr>
                <w:rFonts w:ascii="Consolas" w:hAnsi="Consolas"/>
                <w:color w:val="1F2937"/>
                <w:sz w:val="17"/>
              </w:rPr>
              <w:t>Vercel -&gt; Next.js</w:t>
              <w:br/>
            </w:r>
            <w:r>
              <w:rPr>
                <w:rFonts w:ascii="Consolas" w:hAnsi="Consolas"/>
                <w:color w:val="1F2937"/>
                <w:sz w:val="17"/>
              </w:rPr>
              <w:t>Render -&gt; FastAPI / ML</w:t>
              <w:br/>
            </w:r>
            <w:r>
              <w:rPr>
                <w:rFonts w:ascii="Consolas" w:hAnsi="Consolas"/>
                <w:color w:val="1F2937"/>
                <w:sz w:val="17"/>
              </w:rPr>
              <w:t>Supabase -&gt; Auth + PostgreSQL</w:t>
              <w:br/>
            </w:r>
            <w:r>
              <w:rPr>
                <w:rFonts w:ascii="Consolas" w:hAnsi="Consolas"/>
                <w:color w:val="1F2937"/>
                <w:sz w:val="17"/>
              </w:rPr>
              <w:br/>
            </w:r>
            <w:r>
              <w:rPr>
                <w:rFonts w:ascii="Consolas" w:hAnsi="Consolas"/>
                <w:color w:val="1F2937"/>
                <w:sz w:val="17"/>
              </w:rPr>
              <w:t>Mature deployment</w:t>
              <w:br/>
            </w:r>
            <w:r>
              <w:rPr>
                <w:rFonts w:ascii="Consolas" w:hAnsi="Consolas"/>
                <w:color w:val="1F2937"/>
                <w:sz w:val="17"/>
              </w:rPr>
              <w:t>AWS -&gt; API / containers / networking / PostgreSQL / storage / observability / keys</w:t>
              <w:br/>
            </w:r>
          </w:p>
        </w:tc>
      </w:tr>
    </w:tbl>
    <w:p>
      <w:pPr>
        <w:spacing w:after="0"/>
      </w:pPr>
    </w:p>
    <w:p>
      <w:pPr>
        <w:pStyle w:val="Heading1"/>
      </w:pPr>
      <w:r>
        <w:t>12. Proposed Repository Structure</w:t>
      </w:r>
    </w:p>
    <w:tbl>
      <w:tblPr>
        <w:tblW w:type="auto" w:w="0"/>
        <w:tblLook w:firstColumn="1" w:firstRow="1" w:lastColumn="0" w:lastRow="0" w:noHBand="0" w:noVBand="1" w:val="04A0"/>
      </w:tblPr>
      <w:tblGrid>
        <w:gridCol w:w="9994"/>
      </w:tblGrid>
      <w:tr>
        <w:trPr>
          <w:cantSplit w:val="true"/>
        </w:trPr>
        <w:tc>
          <w:tcPr>
            <w:tcW w:type="dxa" w:w="9994"/>
            <w:shd w:fill="F7F7F7"/>
            <w:tcBorders>
              <w:top w:val="single" w:sz="4" w:color="D9D9D9"/>
              <w:left w:val="single" w:sz="4" w:color="D9D9D9"/>
              <w:bottom w:val="single" w:sz="4" w:color="D9D9D9"/>
              <w:right w:val="single" w:sz="4" w:color="D9D9D9"/>
            </w:tcBorders>
          </w:tcPr>
          <w:p>
            <w:pPr>
              <w:spacing w:after="0"/>
            </w:pPr>
            <w:r>
              <w:rPr>
                <w:rFonts w:ascii="Consolas" w:hAnsi="Consolas"/>
                <w:color w:val="1F2937"/>
                <w:sz w:val="17"/>
              </w:rPr>
              <w:t>clinical-cdss/</w:t>
              <w:br/>
            </w:r>
            <w:r>
              <w:rPr>
                <w:rFonts w:ascii="Consolas" w:hAnsi="Consolas"/>
                <w:color w:val="1F2937"/>
                <w:sz w:val="17"/>
              </w:rPr>
              <w:t>|-- frontend/</w:t>
              <w:br/>
            </w:r>
            <w:r>
              <w:rPr>
                <w:rFonts w:ascii="Consolas" w:hAnsi="Consolas"/>
                <w:color w:val="1F2937"/>
                <w:sz w:val="17"/>
              </w:rPr>
              <w:t>|   |-- app/</w:t>
              <w:br/>
            </w:r>
            <w:r>
              <w:rPr>
                <w:rFonts w:ascii="Consolas" w:hAnsi="Consolas"/>
                <w:color w:val="1F2937"/>
                <w:sz w:val="17"/>
              </w:rPr>
              <w:t>|   |-- components/</w:t>
              <w:br/>
            </w:r>
            <w:r>
              <w:rPr>
                <w:rFonts w:ascii="Consolas" w:hAnsi="Consolas"/>
                <w:color w:val="1F2937"/>
                <w:sz w:val="17"/>
              </w:rPr>
              <w:t>|   |-- lib/</w:t>
              <w:br/>
            </w:r>
            <w:r>
              <w:rPr>
                <w:rFonts w:ascii="Consolas" w:hAnsi="Consolas"/>
                <w:color w:val="1F2937"/>
                <w:sz w:val="17"/>
              </w:rPr>
              <w:t>|   |-- types/</w:t>
              <w:br/>
            </w:r>
            <w:r>
              <w:rPr>
                <w:rFonts w:ascii="Consolas" w:hAnsi="Consolas"/>
                <w:color w:val="1F2937"/>
                <w:sz w:val="17"/>
              </w:rPr>
              <w:t>|   `-- package.json</w:t>
              <w:br/>
            </w:r>
            <w:r>
              <w:rPr>
                <w:rFonts w:ascii="Consolas" w:hAnsi="Consolas"/>
                <w:color w:val="1F2937"/>
                <w:sz w:val="17"/>
              </w:rPr>
              <w:t>|</w:t>
              <w:br/>
            </w:r>
            <w:r>
              <w:rPr>
                <w:rFonts w:ascii="Consolas" w:hAnsi="Consolas"/>
                <w:color w:val="1F2937"/>
                <w:sz w:val="17"/>
              </w:rPr>
              <w:t>|-- backend/</w:t>
              <w:br/>
            </w:r>
            <w:r>
              <w:rPr>
                <w:rFonts w:ascii="Consolas" w:hAnsi="Consolas"/>
                <w:color w:val="1F2937"/>
                <w:sz w:val="17"/>
              </w:rPr>
              <w:t>|   |-- app/</w:t>
              <w:br/>
            </w:r>
            <w:r>
              <w:rPr>
                <w:rFonts w:ascii="Consolas" w:hAnsi="Consolas"/>
                <w:color w:val="1F2937"/>
                <w:sz w:val="17"/>
              </w:rPr>
              <w:t>|   |   |-- api/</w:t>
              <w:br/>
            </w:r>
            <w:r>
              <w:rPr>
                <w:rFonts w:ascii="Consolas" w:hAnsi="Consolas"/>
                <w:color w:val="1F2937"/>
                <w:sz w:val="17"/>
              </w:rPr>
              <w:t>|   |   |-- schemas/</w:t>
              <w:br/>
            </w:r>
            <w:r>
              <w:rPr>
                <w:rFonts w:ascii="Consolas" w:hAnsi="Consolas"/>
                <w:color w:val="1F2937"/>
                <w:sz w:val="17"/>
              </w:rPr>
              <w:t>|   |   |-- services/</w:t>
              <w:br/>
            </w:r>
            <w:r>
              <w:rPr>
                <w:rFonts w:ascii="Consolas" w:hAnsi="Consolas"/>
                <w:color w:val="1F2937"/>
                <w:sz w:val="17"/>
              </w:rPr>
              <w:t>|   |   |-- db/</w:t>
              <w:br/>
            </w:r>
            <w:r>
              <w:rPr>
                <w:rFonts w:ascii="Consolas" w:hAnsi="Consolas"/>
                <w:color w:val="1F2937"/>
                <w:sz w:val="17"/>
              </w:rPr>
              <w:t>|   |   `-- ml/</w:t>
              <w:br/>
            </w:r>
            <w:r>
              <w:rPr>
                <w:rFonts w:ascii="Consolas" w:hAnsi="Consolas"/>
                <w:color w:val="1F2937"/>
                <w:sz w:val="17"/>
              </w:rPr>
              <w:t>|   |-- tests/</w:t>
              <w:br/>
            </w:r>
            <w:r>
              <w:rPr>
                <w:rFonts w:ascii="Consolas" w:hAnsi="Consolas"/>
                <w:color w:val="1F2937"/>
                <w:sz w:val="17"/>
              </w:rPr>
              <w:t>|   |-- Dockerfile</w:t>
              <w:br/>
            </w:r>
            <w:r>
              <w:rPr>
                <w:rFonts w:ascii="Consolas" w:hAnsi="Consolas"/>
                <w:color w:val="1F2937"/>
                <w:sz w:val="17"/>
              </w:rPr>
              <w:t>|   `-- requirements.txt</w:t>
              <w:br/>
            </w:r>
            <w:r>
              <w:rPr>
                <w:rFonts w:ascii="Consolas" w:hAnsi="Consolas"/>
                <w:color w:val="1F2937"/>
                <w:sz w:val="17"/>
              </w:rPr>
              <w:t>|</w:t>
              <w:br/>
            </w:r>
            <w:r>
              <w:rPr>
                <w:rFonts w:ascii="Consolas" w:hAnsi="Consolas"/>
                <w:color w:val="1F2937"/>
                <w:sz w:val="17"/>
              </w:rPr>
              <w:t>|-- ml/</w:t>
              <w:br/>
            </w:r>
            <w:r>
              <w:rPr>
                <w:rFonts w:ascii="Consolas" w:hAnsi="Consolas"/>
                <w:color w:val="1F2937"/>
                <w:sz w:val="17"/>
              </w:rPr>
              <w:t>|   |-- notebooks/</w:t>
              <w:br/>
            </w:r>
            <w:r>
              <w:rPr>
                <w:rFonts w:ascii="Consolas" w:hAnsi="Consolas"/>
                <w:color w:val="1F2937"/>
                <w:sz w:val="17"/>
              </w:rPr>
              <w:t>|   |-- training/</w:t>
              <w:br/>
            </w:r>
            <w:r>
              <w:rPr>
                <w:rFonts w:ascii="Consolas" w:hAnsi="Consolas"/>
                <w:color w:val="1F2937"/>
                <w:sz w:val="17"/>
              </w:rPr>
              <w:t>|   |-- evaluation/</w:t>
              <w:br/>
            </w:r>
            <w:r>
              <w:rPr>
                <w:rFonts w:ascii="Consolas" w:hAnsi="Consolas"/>
                <w:color w:val="1F2937"/>
                <w:sz w:val="17"/>
              </w:rPr>
              <w:t>|   `-- models/</w:t>
              <w:br/>
            </w:r>
            <w:r>
              <w:rPr>
                <w:rFonts w:ascii="Consolas" w:hAnsi="Consolas"/>
                <w:color w:val="1F2937"/>
                <w:sz w:val="17"/>
              </w:rPr>
              <w:t>|</w:t>
              <w:br/>
            </w:r>
            <w:r>
              <w:rPr>
                <w:rFonts w:ascii="Consolas" w:hAnsi="Consolas"/>
                <w:color w:val="1F2937"/>
                <w:sz w:val="17"/>
              </w:rPr>
              <w:t>|-- docs/</w:t>
              <w:br/>
            </w:r>
            <w:r>
              <w:rPr>
                <w:rFonts w:ascii="Consolas" w:hAnsi="Consolas"/>
                <w:color w:val="1F2937"/>
                <w:sz w:val="17"/>
              </w:rPr>
              <w:t>|   |-- architecture.md</w:t>
              <w:br/>
            </w:r>
            <w:r>
              <w:rPr>
                <w:rFonts w:ascii="Consolas" w:hAnsi="Consolas"/>
                <w:color w:val="1F2937"/>
                <w:sz w:val="17"/>
              </w:rPr>
              <w:t>|   |-- model-card.md</w:t>
              <w:br/>
            </w:r>
            <w:r>
              <w:rPr>
                <w:rFonts w:ascii="Consolas" w:hAnsi="Consolas"/>
                <w:color w:val="1F2937"/>
                <w:sz w:val="17"/>
              </w:rPr>
              <w:t>|   `-- xai-methodology.md</w:t>
              <w:br/>
            </w:r>
            <w:r>
              <w:rPr>
                <w:rFonts w:ascii="Consolas" w:hAnsi="Consolas"/>
                <w:color w:val="1F2937"/>
                <w:sz w:val="17"/>
              </w:rPr>
              <w:t>|</w:t>
              <w:br/>
            </w:r>
            <w:r>
              <w:rPr>
                <w:rFonts w:ascii="Consolas" w:hAnsi="Consolas"/>
                <w:color w:val="1F2937"/>
                <w:sz w:val="17"/>
              </w:rPr>
              <w:t>`-- README.md</w:t>
              <w:br/>
            </w:r>
          </w:p>
        </w:tc>
      </w:tr>
    </w:tbl>
    <w:p>
      <w:pPr>
        <w:spacing w:after="0"/>
      </w:pPr>
    </w:p>
    <w:p>
      <w:pPr>
        <w:pStyle w:val="Heading1"/>
      </w:pPr>
      <w:r>
        <w:t>13. Recommended API and Security Boundary</w:t>
      </w:r>
    </w:p>
    <w:tbl>
      <w:tblPr>
        <w:tblW w:type="auto" w:w="0"/>
        <w:tblLook w:firstColumn="1" w:firstRow="1" w:lastColumn="0" w:lastRow="0" w:noHBand="0" w:noVBand="1" w:val="04A0"/>
      </w:tblPr>
      <w:tblGrid>
        <w:gridCol w:w="9994"/>
      </w:tblGrid>
      <w:tr>
        <w:trPr>
          <w:cantSplit w:val="true"/>
        </w:trPr>
        <w:tc>
          <w:tcPr>
            <w:tcW w:type="dxa" w:w="9994"/>
            <w:shd w:fill="F7F7F7"/>
            <w:tcBorders>
              <w:top w:val="single" w:sz="4" w:color="D9D9D9"/>
              <w:left w:val="single" w:sz="4" w:color="D9D9D9"/>
              <w:bottom w:val="single" w:sz="4" w:color="D9D9D9"/>
              <w:right w:val="single" w:sz="4" w:color="D9D9D9"/>
            </w:tcBorders>
          </w:tcPr>
          <w:p>
            <w:pPr>
              <w:spacing w:after="0"/>
            </w:pPr>
            <w:r>
              <w:rPr>
                <w:rFonts w:ascii="Consolas" w:hAnsi="Consolas"/>
                <w:color w:val="1F2937"/>
                <w:sz w:val="17"/>
              </w:rPr>
              <w:t>Browser</w:t>
              <w:br/>
            </w:r>
            <w:r>
              <w:rPr>
                <w:rFonts w:ascii="Consolas" w:hAnsi="Consolas"/>
                <w:color w:val="1F2937"/>
                <w:sz w:val="17"/>
              </w:rPr>
              <w:t xml:space="preserve">  |</w:t>
              <w:br/>
            </w:r>
            <w:r>
              <w:rPr>
                <w:rFonts w:ascii="Consolas" w:hAnsi="Consolas"/>
                <w:color w:val="1F2937"/>
                <w:sz w:val="17"/>
              </w:rPr>
              <w:t xml:space="preserve">  | HTTPS</w:t>
              <w:br/>
            </w:r>
            <w:r>
              <w:rPr>
                <w:rFonts w:ascii="Consolas" w:hAnsi="Consolas"/>
                <w:color w:val="1F2937"/>
                <w:sz w:val="17"/>
              </w:rPr>
              <w:t xml:space="preserve">  v</w:t>
              <w:br/>
            </w:r>
            <w:r>
              <w:rPr>
                <w:rFonts w:ascii="Consolas" w:hAnsi="Consolas"/>
                <w:color w:val="1F2937"/>
                <w:sz w:val="17"/>
              </w:rPr>
              <w:t>Next.js</w:t>
              <w:br/>
            </w:r>
            <w:r>
              <w:rPr>
                <w:rFonts w:ascii="Consolas" w:hAnsi="Consolas"/>
                <w:color w:val="1F2937"/>
                <w:sz w:val="17"/>
              </w:rPr>
              <w:t xml:space="preserve">  |</w:t>
              <w:br/>
            </w:r>
            <w:r>
              <w:rPr>
                <w:rFonts w:ascii="Consolas" w:hAnsi="Consolas"/>
                <w:color w:val="1F2937"/>
                <w:sz w:val="17"/>
              </w:rPr>
              <w:t xml:space="preserve">  | JWT</w:t>
              <w:br/>
            </w:r>
            <w:r>
              <w:rPr>
                <w:rFonts w:ascii="Consolas" w:hAnsi="Consolas"/>
                <w:color w:val="1F2937"/>
                <w:sz w:val="17"/>
              </w:rPr>
              <w:t xml:space="preserve">  v</w:t>
              <w:br/>
            </w:r>
            <w:r>
              <w:rPr>
                <w:rFonts w:ascii="Consolas" w:hAnsi="Consolas"/>
                <w:color w:val="1F2937"/>
                <w:sz w:val="17"/>
              </w:rPr>
              <w:t>FastAPI</w:t>
              <w:br/>
            </w:r>
            <w:r>
              <w:rPr>
                <w:rFonts w:ascii="Consolas" w:hAnsi="Consolas"/>
                <w:color w:val="1F2937"/>
                <w:sz w:val="17"/>
              </w:rPr>
              <w:t xml:space="preserve">  |-- authenticate/authorize</w:t>
              <w:br/>
            </w:r>
            <w:r>
              <w:rPr>
                <w:rFonts w:ascii="Consolas" w:hAnsi="Consolas"/>
                <w:color w:val="1F2937"/>
                <w:sz w:val="17"/>
              </w:rPr>
              <w:t xml:space="preserve">  |-- validate request</w:t>
              <w:br/>
            </w:r>
            <w:r>
              <w:rPr>
                <w:rFonts w:ascii="Consolas" w:hAnsi="Consolas"/>
                <w:color w:val="1F2937"/>
                <w:sz w:val="17"/>
              </w:rPr>
              <w:t xml:space="preserve">  |-- run preprocessing</w:t>
              <w:br/>
            </w:r>
            <w:r>
              <w:rPr>
                <w:rFonts w:ascii="Consolas" w:hAnsi="Consolas"/>
                <w:color w:val="1F2937"/>
                <w:sz w:val="17"/>
              </w:rPr>
              <w:t xml:space="preserve">  |-- call ML model</w:t>
              <w:br/>
            </w:r>
            <w:r>
              <w:rPr>
                <w:rFonts w:ascii="Consolas" w:hAnsi="Consolas"/>
                <w:color w:val="1F2937"/>
                <w:sz w:val="17"/>
              </w:rPr>
              <w:t xml:space="preserve">  |-- generate SHAP explanation</w:t>
              <w:br/>
            </w:r>
            <w:r>
              <w:rPr>
                <w:rFonts w:ascii="Consolas" w:hAnsi="Consolas"/>
                <w:color w:val="1F2937"/>
                <w:sz w:val="17"/>
              </w:rPr>
              <w:t xml:space="preserve">  `-- persist result</w:t>
              <w:br/>
            </w:r>
            <w:r>
              <w:rPr>
                <w:rFonts w:ascii="Consolas" w:hAnsi="Consolas"/>
                <w:color w:val="1F2937"/>
                <w:sz w:val="17"/>
              </w:rPr>
              <w:t xml:space="preserve">         |</w:t>
              <w:br/>
            </w:r>
            <w:r>
              <w:rPr>
                <w:rFonts w:ascii="Consolas" w:hAnsi="Consolas"/>
                <w:color w:val="1F2937"/>
                <w:sz w:val="17"/>
              </w:rPr>
              <w:t xml:space="preserve">         v</w:t>
              <w:br/>
            </w:r>
            <w:r>
              <w:rPr>
                <w:rFonts w:ascii="Consolas" w:hAnsi="Consolas"/>
                <w:color w:val="1F2937"/>
                <w:sz w:val="17"/>
              </w:rPr>
              <w:t xml:space="preserve">     PostgreSQL</w:t>
              <w:br/>
            </w:r>
          </w:p>
        </w:tc>
      </w:tr>
    </w:tbl>
    <w:p>
      <w:pPr>
        <w:spacing w:after="0"/>
      </w:pPr>
    </w:p>
    <w:p>
      <w:r>
        <w:t>The browser should never contain database passwords, server-side secret keys, model files intended to remain private, or credentials that bypass backend authorization.</w:t>
      </w:r>
    </w:p>
    <w:p>
      <w:pPr>
        <w:pStyle w:val="Heading1"/>
      </w:pPr>
      <w:r>
        <w:t>14. Future Expansion: IoT and Real-Time Data</w:t>
      </w:r>
    </w:p>
    <w:p>
      <w:r>
        <w:t>The selected stack creates a clean path toward future sensor integration. FastAPI becomes the gateway for structured device payloads, while a later streaming layer can be introduced only when sustained real-time volume justifies it.</w:t>
      </w:r>
    </w:p>
    <w:tbl>
      <w:tblPr>
        <w:tblW w:type="auto" w:w="0"/>
        <w:tblLook w:firstColumn="1" w:firstRow="1" w:lastColumn="0" w:lastRow="0" w:noHBand="0" w:noVBand="1" w:val="04A0"/>
      </w:tblPr>
      <w:tblGrid>
        <w:gridCol w:w="9994"/>
      </w:tblGrid>
      <w:tr>
        <w:trPr>
          <w:cantSplit w:val="true"/>
        </w:trPr>
        <w:tc>
          <w:tcPr>
            <w:tcW w:type="dxa" w:w="9994"/>
            <w:shd w:fill="F7F7F7"/>
            <w:tcBorders>
              <w:top w:val="single" w:sz="4" w:color="D9D9D9"/>
              <w:left w:val="single" w:sz="4" w:color="D9D9D9"/>
              <w:bottom w:val="single" w:sz="4" w:color="D9D9D9"/>
              <w:right w:val="single" w:sz="4" w:color="D9D9D9"/>
            </w:tcBorders>
          </w:tcPr>
          <w:p>
            <w:pPr>
              <w:spacing w:after="0"/>
            </w:pPr>
            <w:r>
              <w:rPr>
                <w:rFonts w:ascii="Consolas" w:hAnsi="Consolas"/>
                <w:color w:val="1F2937"/>
                <w:sz w:val="17"/>
              </w:rPr>
              <w:t>Medical Sensor / Wearable</w:t>
              <w:br/>
            </w:r>
            <w:r>
              <w:rPr>
                <w:rFonts w:ascii="Consolas" w:hAnsi="Consolas"/>
                <w:color w:val="1F2937"/>
                <w:sz w:val="17"/>
              </w:rPr>
              <w:t xml:space="preserve">        -&gt; Device Gateway</w:t>
              <w:br/>
            </w:r>
            <w:r>
              <w:rPr>
                <w:rFonts w:ascii="Consolas" w:hAnsi="Consolas"/>
                <w:color w:val="1F2937"/>
                <w:sz w:val="17"/>
              </w:rPr>
              <w:t xml:space="preserve">        -&gt; FastAPI / Ingestion API</w:t>
              <w:br/>
            </w:r>
            <w:r>
              <w:rPr>
                <w:rFonts w:ascii="Consolas" w:hAnsi="Consolas"/>
                <w:color w:val="1F2937"/>
                <w:sz w:val="17"/>
              </w:rPr>
              <w:t xml:space="preserve">        -&gt; Validation + normalization</w:t>
              <w:br/>
            </w:r>
            <w:r>
              <w:rPr>
                <w:rFonts w:ascii="Consolas" w:hAnsi="Consolas"/>
                <w:color w:val="1F2937"/>
                <w:sz w:val="17"/>
              </w:rPr>
              <w:t xml:space="preserve">        -&gt; Stream / event layer (future)</w:t>
              <w:br/>
            </w:r>
            <w:r>
              <w:rPr>
                <w:rFonts w:ascii="Consolas" w:hAnsi="Consolas"/>
                <w:color w:val="1F2937"/>
                <w:sz w:val="17"/>
              </w:rPr>
              <w:t xml:space="preserve">        -&gt; ML inference</w:t>
              <w:br/>
            </w:r>
            <w:r>
              <w:rPr>
                <w:rFonts w:ascii="Consolas" w:hAnsi="Consolas"/>
                <w:color w:val="1F2937"/>
                <w:sz w:val="17"/>
              </w:rPr>
              <w:t xml:space="preserve">        -&gt; Risk monitoring</w:t>
              <w:br/>
            </w:r>
            <w:r>
              <w:rPr>
                <w:rFonts w:ascii="Consolas" w:hAnsi="Consolas"/>
                <w:color w:val="1F2937"/>
                <w:sz w:val="17"/>
              </w:rPr>
              <w:t xml:space="preserve">        -&gt; Clinical dashboard</w:t>
              <w:br/>
            </w:r>
          </w:p>
        </w:tc>
      </w:tr>
    </w:tbl>
    <w:p>
      <w:pPr>
        <w:spacing w:after="0"/>
      </w:pPr>
    </w:p>
    <w:p>
      <w:pPr>
        <w:pStyle w:val="Heading1"/>
      </w:pPr>
      <w:r>
        <w:t>15. Future Enterprise Architecture</w:t>
      </w:r>
    </w:p>
    <w:tbl>
      <w:tblPr>
        <w:tblW w:type="auto" w:w="0"/>
        <w:tblLook w:firstColumn="1" w:firstRow="1" w:lastColumn="0" w:lastRow="0" w:noHBand="0" w:noVBand="1" w:val="04A0"/>
      </w:tblPr>
      <w:tblGrid>
        <w:gridCol w:w="9994"/>
      </w:tblGrid>
      <w:tr>
        <w:trPr>
          <w:cantSplit w:val="true"/>
        </w:trPr>
        <w:tc>
          <w:tcPr>
            <w:tcW w:type="dxa" w:w="9994"/>
            <w:shd w:fill="F7F7F7"/>
            <w:tcBorders>
              <w:top w:val="single" w:sz="4" w:color="D9D9D9"/>
              <w:left w:val="single" w:sz="4" w:color="D9D9D9"/>
              <w:bottom w:val="single" w:sz="4" w:color="D9D9D9"/>
              <w:right w:val="single" w:sz="4" w:color="D9D9D9"/>
            </w:tcBorders>
          </w:tcPr>
          <w:p>
            <w:pPr>
              <w:spacing w:after="0"/>
            </w:pPr>
            <w:r>
              <w:rPr>
                <w:rFonts w:ascii="Consolas" w:hAnsi="Consolas"/>
                <w:color w:val="1F2937"/>
                <w:sz w:val="17"/>
              </w:rPr>
              <w:t xml:space="preserve">             Clinical / Research Clients</w:t>
              <w:br/>
            </w:r>
            <w:r>
              <w:rPr>
                <w:rFonts w:ascii="Consolas" w:hAnsi="Consolas"/>
                <w:color w:val="1F2937"/>
                <w:sz w:val="17"/>
              </w:rPr>
              <w:t xml:space="preserve">                        |</w:t>
              <w:br/>
            </w:r>
            <w:r>
              <w:rPr>
                <w:rFonts w:ascii="Consolas" w:hAnsi="Consolas"/>
                <w:color w:val="1F2937"/>
                <w:sz w:val="17"/>
              </w:rPr>
              <w:t xml:space="preserve">                 API Gateway / IAM</w:t>
              <w:br/>
            </w:r>
            <w:r>
              <w:rPr>
                <w:rFonts w:ascii="Consolas" w:hAnsi="Consolas"/>
                <w:color w:val="1F2937"/>
                <w:sz w:val="17"/>
              </w:rPr>
              <w:t xml:space="preserve">                        |</w:t>
              <w:br/>
            </w:r>
            <w:r>
              <w:rPr>
                <w:rFonts w:ascii="Consolas" w:hAnsi="Consolas"/>
                <w:color w:val="1F2937"/>
                <w:sz w:val="17"/>
              </w:rPr>
              <w:t xml:space="preserve">          +-------------+-------------+</w:t>
              <w:br/>
            </w:r>
            <w:r>
              <w:rPr>
                <w:rFonts w:ascii="Consolas" w:hAnsi="Consolas"/>
                <w:color w:val="1F2937"/>
                <w:sz w:val="17"/>
              </w:rPr>
              <w:t xml:space="preserve">          |                           |</w:t>
              <w:br/>
            </w:r>
            <w:r>
              <w:rPr>
                <w:rFonts w:ascii="Consolas" w:hAnsi="Consolas"/>
                <w:color w:val="1F2937"/>
                <w:sz w:val="17"/>
              </w:rPr>
              <w:t xml:space="preserve">      Clinical APIs                 ML APIs</w:t>
              <w:br/>
            </w:r>
            <w:r>
              <w:rPr>
                <w:rFonts w:ascii="Consolas" w:hAnsi="Consolas"/>
                <w:color w:val="1F2937"/>
                <w:sz w:val="17"/>
              </w:rPr>
              <w:t xml:space="preserve">          |                           |</w:t>
              <w:br/>
            </w:r>
            <w:r>
              <w:rPr>
                <w:rFonts w:ascii="Consolas" w:hAnsi="Consolas"/>
                <w:color w:val="1F2937"/>
                <w:sz w:val="17"/>
              </w:rPr>
              <w:t xml:space="preserve">       EHR/LIS/HIS                Inference</w:t>
              <w:br/>
            </w:r>
            <w:r>
              <w:rPr>
                <w:rFonts w:ascii="Consolas" w:hAnsi="Consolas"/>
                <w:color w:val="1F2937"/>
                <w:sz w:val="17"/>
              </w:rPr>
              <w:t xml:space="preserve">                                      |</w:t>
              <w:br/>
            </w:r>
            <w:r>
              <w:rPr>
                <w:rFonts w:ascii="Consolas" w:hAnsi="Consolas"/>
                <w:color w:val="1F2937"/>
                <w:sz w:val="17"/>
              </w:rPr>
              <w:t xml:space="preserve">                           +----------+----------+</w:t>
              <w:br/>
            </w:r>
            <w:r>
              <w:rPr>
                <w:rFonts w:ascii="Consolas" w:hAnsi="Consolas"/>
                <w:color w:val="1F2937"/>
                <w:sz w:val="17"/>
              </w:rPr>
              <w:t xml:space="preserve">                           |                     |</w:t>
              <w:br/>
            </w:r>
            <w:r>
              <w:rPr>
                <w:rFonts w:ascii="Consolas" w:hAnsi="Consolas"/>
                <w:color w:val="1F2937"/>
                <w:sz w:val="17"/>
              </w:rPr>
              <w:t xml:space="preserve">                         XAI                Model Registry</w:t>
              <w:br/>
            </w:r>
            <w:r>
              <w:rPr>
                <w:rFonts w:ascii="Consolas" w:hAnsi="Consolas"/>
                <w:color w:val="1F2937"/>
                <w:sz w:val="17"/>
              </w:rPr>
              <w:t xml:space="preserve">                           |                     |</w:t>
              <w:br/>
            </w:r>
            <w:r>
              <w:rPr>
                <w:rFonts w:ascii="Consolas" w:hAnsi="Consolas"/>
                <w:color w:val="1F2937"/>
                <w:sz w:val="17"/>
              </w:rPr>
              <w:t xml:space="preserve">                           +----------+----------+</w:t>
              <w:br/>
            </w:r>
            <w:r>
              <w:rPr>
                <w:rFonts w:ascii="Consolas" w:hAnsi="Consolas"/>
                <w:color w:val="1F2937"/>
                <w:sz w:val="17"/>
              </w:rPr>
              <w:t xml:space="preserve">                                      |</w:t>
              <w:br/>
            </w:r>
            <w:r>
              <w:rPr>
                <w:rFonts w:ascii="Consolas" w:hAnsi="Consolas"/>
                <w:color w:val="1F2937"/>
                <w:sz w:val="17"/>
              </w:rPr>
              <w:t xml:space="preserve">                              Managed Postgres</w:t>
              <w:br/>
            </w:r>
            <w:r>
              <w:rPr>
                <w:rFonts w:ascii="Consolas" w:hAnsi="Consolas"/>
                <w:color w:val="1F2937"/>
                <w:sz w:val="17"/>
              </w:rPr>
              <w:t xml:space="preserve">                                      |</w:t>
              <w:br/>
            </w:r>
            <w:r>
              <w:rPr>
                <w:rFonts w:ascii="Consolas" w:hAnsi="Consolas"/>
                <w:color w:val="1F2937"/>
                <w:sz w:val="17"/>
              </w:rPr>
              <w:t xml:space="preserve">                              Audit / Monitoring</w:t>
              <w:br/>
            </w:r>
          </w:p>
        </w:tc>
      </w:tr>
    </w:tbl>
    <w:p>
      <w:pPr>
        <w:spacing w:after="0"/>
      </w:pPr>
    </w:p>
    <w:p>
      <w:r>
        <w:t>For a mature deployment, evaluate AWS or an institution-approved cloud based on actual requirements rather than adopting it by default. The system should also introduce an explicit model registry, audit logging, secrets management, observability, backup strategy, and controlled model-release process.</w:t>
      </w:r>
    </w:p>
    <w:p>
      <w:pPr>
        <w:pStyle w:val="Heading1"/>
      </w:pPr>
      <w:r>
        <w:t>16. Technology Decision Matrix</w:t>
      </w:r>
    </w:p>
    <w:tbl>
      <w:tblPr>
        <w:tblW w:type="auto" w:w="0"/>
        <w:jc w:val="center"/>
        <w:tblLayout w:type="autofit"/>
        <w:tblLook w:firstColumn="1" w:firstRow="1" w:lastColumn="0" w:lastRow="0" w:noHBand="0" w:noVBand="1" w:val="04A0"/>
      </w:tblPr>
      <w:tblGrid>
        <w:gridCol w:w="2498"/>
        <w:gridCol w:w="2498"/>
        <w:gridCol w:w="2498"/>
        <w:gridCol w:w="2498"/>
      </w:tblGrid>
      <w:tr>
        <w:trPr>
          <w:tblHeader w:val="true"/>
          <w:cantSplit w:val="true"/>
        </w:trPr>
        <w:tc>
          <w:tcPr>
            <w:tcW w:type="dxa" w:w="1872"/>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6"/>
              </w:rPr>
              <w:t>Layer</w:t>
            </w:r>
          </w:p>
        </w:tc>
        <w:tc>
          <w:tcPr>
            <w:tcW w:type="dxa" w:w="2376"/>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6"/>
              </w:rPr>
              <w:t>Recommended</w:t>
            </w:r>
          </w:p>
        </w:tc>
        <w:tc>
          <w:tcPr>
            <w:tcW w:type="dxa" w:w="2376"/>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6"/>
              </w:rPr>
              <w:t>Main Alternative</w:t>
            </w:r>
          </w:p>
        </w:tc>
        <w:tc>
          <w:tcPr>
            <w:tcW w:type="dxa" w:w="3528"/>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6"/>
              </w:rPr>
              <w:t>Decision</w:t>
            </w:r>
          </w:p>
        </w:tc>
      </w:tr>
      <w:tr>
        <w:trPr>
          <w:cantSplit w:val="true"/>
        </w:trPr>
        <w:tc>
          <w:tcPr>
            <w:tcW w:type="dxa" w:w="187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Frontend</w:t>
            </w:r>
          </w:p>
        </w:tc>
        <w:tc>
          <w:tcPr>
            <w:tcW w:type="dxa" w:w="237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Next.js + TypeScript</w:t>
            </w:r>
          </w:p>
        </w:tc>
        <w:tc>
          <w:tcPr>
            <w:tcW w:type="dxa" w:w="237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Streamlit</w:t>
            </w:r>
          </w:p>
        </w:tc>
        <w:tc>
          <w:tcPr>
            <w:tcW w:type="dxa" w:w="352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Choose Next.js for the primary product; retain Streamlit for experiments.</w:t>
            </w:r>
          </w:p>
        </w:tc>
      </w:tr>
      <w:tr>
        <w:trPr>
          <w:cantSplit w:val="true"/>
        </w:trPr>
        <w:tc>
          <w:tcPr>
            <w:tcW w:type="dxa" w:w="187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Backend</w:t>
            </w:r>
          </w:p>
        </w:tc>
        <w:tc>
          <w:tcPr>
            <w:tcW w:type="dxa" w:w="237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FastAPI</w:t>
            </w:r>
          </w:p>
        </w:tc>
        <w:tc>
          <w:tcPr>
            <w:tcW w:type="dxa" w:w="237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Django / Flask</w:t>
            </w:r>
          </w:p>
        </w:tc>
        <w:tc>
          <w:tcPr>
            <w:tcW w:type="dxa" w:w="352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Choose FastAPI for a Python-first ML API.</w:t>
            </w:r>
          </w:p>
        </w:tc>
      </w:tr>
      <w:tr>
        <w:trPr>
          <w:cantSplit w:val="true"/>
        </w:trPr>
        <w:tc>
          <w:tcPr>
            <w:tcW w:type="dxa" w:w="187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Auth</w:t>
            </w:r>
          </w:p>
        </w:tc>
        <w:tc>
          <w:tcPr>
            <w:tcW w:type="dxa" w:w="237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Supabase Auth</w:t>
            </w:r>
          </w:p>
        </w:tc>
        <w:tc>
          <w:tcPr>
            <w:tcW w:type="dxa" w:w="237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Auth0 / Clerk / custom IdP</w:t>
            </w:r>
          </w:p>
        </w:tc>
        <w:tc>
          <w:tcPr>
            <w:tcW w:type="dxa" w:w="352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Choose Supabase for PoC speed and Postgres integration.</w:t>
            </w:r>
          </w:p>
        </w:tc>
      </w:tr>
      <w:tr>
        <w:trPr>
          <w:cantSplit w:val="true"/>
        </w:trPr>
        <w:tc>
          <w:tcPr>
            <w:tcW w:type="dxa" w:w="187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Database</w:t>
            </w:r>
          </w:p>
        </w:tc>
        <w:tc>
          <w:tcPr>
            <w:tcW w:type="dxa" w:w="237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PostgreSQL / Supabase</w:t>
            </w:r>
          </w:p>
        </w:tc>
        <w:tc>
          <w:tcPr>
            <w:tcW w:type="dxa" w:w="237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MongoDB / Firebase</w:t>
            </w:r>
          </w:p>
        </w:tc>
        <w:tc>
          <w:tcPr>
            <w:tcW w:type="dxa" w:w="352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Choose Postgres for relational clinical/research records.</w:t>
            </w:r>
          </w:p>
        </w:tc>
      </w:tr>
      <w:tr>
        <w:trPr>
          <w:cantSplit w:val="true"/>
        </w:trPr>
        <w:tc>
          <w:tcPr>
            <w:tcW w:type="dxa" w:w="187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Frontend hosting</w:t>
            </w:r>
          </w:p>
        </w:tc>
        <w:tc>
          <w:tcPr>
            <w:tcW w:type="dxa" w:w="237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Vercel</w:t>
            </w:r>
          </w:p>
        </w:tc>
        <w:tc>
          <w:tcPr>
            <w:tcW w:type="dxa" w:w="237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Netlify / AWS</w:t>
            </w:r>
          </w:p>
        </w:tc>
        <w:tc>
          <w:tcPr>
            <w:tcW w:type="dxa" w:w="352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Choose Vercel for first-class Next.js deployment.</w:t>
            </w:r>
          </w:p>
        </w:tc>
      </w:tr>
      <w:tr>
        <w:trPr>
          <w:cantSplit w:val="true"/>
        </w:trPr>
        <w:tc>
          <w:tcPr>
            <w:tcW w:type="dxa" w:w="187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Backend hosting</w:t>
            </w:r>
          </w:p>
        </w:tc>
        <w:tc>
          <w:tcPr>
            <w:tcW w:type="dxa" w:w="237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Render</w:t>
            </w:r>
          </w:p>
        </w:tc>
        <w:tc>
          <w:tcPr>
            <w:tcW w:type="dxa" w:w="237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Railway / AWS</w:t>
            </w:r>
          </w:p>
        </w:tc>
        <w:tc>
          <w:tcPr>
            <w:tcW w:type="dxa" w:w="352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Choose Render for simple FastAPI deployment.</w:t>
            </w:r>
          </w:p>
        </w:tc>
      </w:tr>
      <w:tr>
        <w:trPr>
          <w:cantSplit w:val="true"/>
        </w:trPr>
        <w:tc>
          <w:tcPr>
            <w:tcW w:type="dxa" w:w="187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Containerization</w:t>
            </w:r>
          </w:p>
        </w:tc>
        <w:tc>
          <w:tcPr>
            <w:tcW w:type="dxa" w:w="237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Docker</w:t>
            </w:r>
          </w:p>
        </w:tc>
        <w:tc>
          <w:tcPr>
            <w:tcW w:type="dxa" w:w="237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No container</w:t>
            </w:r>
          </w:p>
        </w:tc>
        <w:tc>
          <w:tcPr>
            <w:tcW w:type="dxa" w:w="352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Use Docker for the ML backend to preserve environment portability.</w:t>
            </w:r>
          </w:p>
        </w:tc>
      </w:tr>
      <w:tr>
        <w:trPr>
          <w:cantSplit w:val="true"/>
        </w:trPr>
        <w:tc>
          <w:tcPr>
            <w:tcW w:type="dxa" w:w="187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Cloud later</w:t>
            </w:r>
          </w:p>
        </w:tc>
        <w:tc>
          <w:tcPr>
            <w:tcW w:type="dxa" w:w="237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AWS</w:t>
            </w:r>
          </w:p>
        </w:tc>
        <w:tc>
          <w:tcPr>
            <w:tcW w:type="dxa" w:w="237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GCP / Azure</w:t>
            </w:r>
          </w:p>
        </w:tc>
        <w:tc>
          <w:tcPr>
            <w:tcW w:type="dxa" w:w="352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Evaluate when enterprise/clinical requirements justify it.</w:t>
            </w:r>
          </w:p>
        </w:tc>
      </w:tr>
    </w:tbl>
    <w:p>
      <w:pPr>
        <w:spacing w:after="0"/>
      </w:pPr>
    </w:p>
    <w:p>
      <w:pPr>
        <w:pStyle w:val="Heading1"/>
      </w:pPr>
      <w:r>
        <w:t>17. Why This Stack Fits the CSIR Demonstration</w:t>
      </w:r>
    </w:p>
    <w:p>
      <w:pPr>
        <w:pStyle w:val="ListBullet"/>
        <w:spacing w:after="60"/>
        <w:ind w:left="259"/>
      </w:pPr>
      <w:r>
        <w:t>It demonstrates more than a notebook: the project behaves like a real product with a frontend, API, authentication, database, and deployment boundary.</w:t>
      </w:r>
    </w:p>
    <w:p>
      <w:pPr>
        <w:pStyle w:val="ListBullet"/>
        <w:spacing w:after="60"/>
        <w:ind w:left="259"/>
      </w:pPr>
      <w:r>
        <w:t>It preserves Python where the research work happens, so ML scientists can work without switching languages for inference.</w:t>
      </w:r>
    </w:p>
    <w:p>
      <w:pPr>
        <w:pStyle w:val="ListBullet"/>
        <w:spacing w:after="60"/>
        <w:ind w:left="259"/>
      </w:pPr>
      <w:r>
        <w:t>It makes explainability visible to non-ML stakeholders rather than burying SHAP inside a notebook.</w:t>
      </w:r>
    </w:p>
    <w:p>
      <w:pPr>
        <w:pStyle w:val="ListBullet"/>
        <w:spacing w:after="60"/>
        <w:ind w:left="259"/>
      </w:pPr>
      <w:r>
        <w:t>It gives researchers a credible path from synthetic-data PoC to API and sensor integration.</w:t>
      </w:r>
    </w:p>
    <w:p>
      <w:pPr>
        <w:pStyle w:val="ListBullet"/>
        <w:spacing w:after="60"/>
        <w:ind w:left="259"/>
      </w:pPr>
      <w:r>
        <w:t>It is deliberately restrained: no Kubernetes, no premature microservices, and no heavyweight cloud infrastructure before it is justified.</w:t>
      </w:r>
    </w:p>
    <w:p>
      <w:pPr>
        <w:pStyle w:val="Heading1"/>
      </w:pPr>
      <w:r>
        <w:t>18. Implementation Priorities</w:t>
      </w:r>
    </w:p>
    <w:p>
      <w:pPr>
        <w:pStyle w:val="ListNumber"/>
        <w:spacing w:after="60"/>
      </w:pPr>
      <w:r>
        <w:t>Build and validate the ML pipeline first: synthetic dataset, preprocessing, Random Forest baseline, XGBoost candidate, metrics, and SHAP explanations.</w:t>
      </w:r>
    </w:p>
    <w:p>
      <w:pPr>
        <w:pStyle w:val="ListNumber"/>
        <w:spacing w:after="60"/>
      </w:pPr>
      <w:r>
        <w:t>Expose inference through FastAPI with a stable request/response schema and versioned model metadata.</w:t>
      </w:r>
    </w:p>
    <w:p>
      <w:pPr>
        <w:pStyle w:val="ListNumber"/>
        <w:spacing w:after="60"/>
      </w:pPr>
      <w:r>
        <w:t>Build the Next.js clinical/research UI against the API contract.</w:t>
      </w:r>
    </w:p>
    <w:p>
      <w:pPr>
        <w:pStyle w:val="ListNumber"/>
        <w:spacing w:after="60"/>
      </w:pPr>
      <w:r>
        <w:t>Add Supabase Auth and PostgreSQL persistence, with role boundaries and RLS policies appropriate to the PoC.</w:t>
      </w:r>
    </w:p>
    <w:p>
      <w:pPr>
        <w:pStyle w:val="ListNumber"/>
        <w:spacing w:after="60"/>
      </w:pPr>
      <w:r>
        <w:t>Deploy frontend and backend separately, containerize the backend, and add automated tests/CI.</w:t>
      </w:r>
    </w:p>
    <w:p>
      <w:pPr>
        <w:pStyle w:val="ListNumber"/>
        <w:spacing w:after="60"/>
      </w:pPr>
      <w:r>
        <w:t>Only after the core workflow is stable, add research comparison views, richer dashboards, and roadmap experiments.</w:t>
      </w:r>
    </w:p>
    <w:p>
      <w:pPr>
        <w:pStyle w:val="Heading1"/>
      </w:pPr>
      <w:r>
        <w:t>19. Current-2026 Technical References</w:t>
      </w:r>
    </w:p>
    <w:p>
      <w:r>
        <w:t>The following official sources were checked for current platform capabilities and release information on 8 October 2026:</w:t>
      </w:r>
    </w:p>
    <w:p>
      <w:pPr>
        <w:pStyle w:val="ListBullet"/>
      </w:pPr>
      <w:r>
        <w:rPr>
          <w:b/>
        </w:rPr>
        <w:t xml:space="preserve">Next.js 16.4 release information: </w:t>
      </w:r>
      <w:r>
        <w:t>https://nextjs.org/blog</w:t>
      </w:r>
    </w:p>
    <w:p>
      <w:pPr>
        <w:pStyle w:val="ListBullet"/>
      </w:pPr>
      <w:r>
        <w:rPr>
          <w:b/>
        </w:rPr>
        <w:t xml:space="preserve">Supabase Auth documentation: </w:t>
      </w:r>
      <w:r>
        <w:t>https://supabase.com/docs/guides/auth</w:t>
      </w:r>
    </w:p>
    <w:p>
      <w:pPr>
        <w:pStyle w:val="ListBullet"/>
      </w:pPr>
      <w:r>
        <w:rPr>
          <w:b/>
        </w:rPr>
        <w:t xml:space="preserve">Supabase Row Level Security documentation: </w:t>
      </w:r>
      <w:r>
        <w:t>https://supabase.com/docs/guides/database/postgres/row-level-security</w:t>
      </w:r>
    </w:p>
    <w:p>
      <w:pPr>
        <w:pStyle w:val="ListBullet"/>
      </w:pPr>
      <w:r>
        <w:rPr>
          <w:b/>
        </w:rPr>
        <w:t xml:space="preserve">Vercel Next.js deployment platform: </w:t>
      </w:r>
      <w:r>
        <w:t>https://vercel.com/frameworks/nextjs</w:t>
      </w:r>
    </w:p>
    <w:p>
      <w:pPr>
        <w:pStyle w:val="ListBullet"/>
      </w:pPr>
      <w:r>
        <w:rPr>
          <w:b/>
        </w:rPr>
        <w:t xml:space="preserve">Render FastAPI deployment: </w:t>
      </w:r>
      <w:r>
        <w:t>https://render.com/docs/deploy-fastapi</w:t>
      </w:r>
    </w:p>
    <w:p>
      <w:pPr>
        <w:pStyle w:val="ListBullet"/>
      </w:pPr>
      <w:r>
        <w:rPr>
          <w:b/>
        </w:rPr>
        <w:t xml:space="preserve">Render FastAPI template: </w:t>
      </w:r>
      <w:r>
        <w:t>https://render.com/templates/fastapi</w:t>
      </w:r>
    </w:p>
    <w:p>
      <w:pPr>
        <w:pStyle w:val="Heading1"/>
      </w:pPr>
      <w:r>
        <w:t>20. Final Recommendation</w:t>
      </w:r>
    </w:p>
    <w:p>
      <w:r>
        <w:t>Build the prototype as a modular web application: Next.js 16.4 + TypeScript on the frontend; FastAPI + Python for the backend; XGBoost and Scikit-learn for ML; SHAP for explainability; Supabase Auth and PostgreSQL for identity/persistence; Vercel for the frontend; Render for the backend; and Docker for portability.</w:t>
      </w:r>
    </w:p>
    <w:p>
      <w:r>
        <w:t>This is the best balance for the current objective: credible enough for a scientific demonstration, practical enough for a small engineering team, and structured enough that the codebase can evolve rather than become a one-file Streamlit monument.</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Research Prototype | CSIR-facing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7"/>
      </w:rPr>
      <w:t>Healthcare CDSS - 2026 Recommended Technology Stack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