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160"/>
      </w:pPr>
      <w:r>
        <w:rPr>
          <w:rFonts w:ascii="Aptos Display" w:hAnsi="Aptos Display"/>
          <w:b/>
          <w:color w:val="17365D"/>
          <w:sz w:val="56"/>
        </w:rPr>
        <w:t>Healthcare Clinical Decision Support System (CDSS/DDSS)</w:t>
      </w:r>
    </w:p>
    <w:p>
      <w:pPr>
        <w:spacing w:after="400"/>
      </w:pPr>
      <w:r>
        <w:rPr>
          <w:rFonts w:ascii="Aptos" w:hAnsi="Aptos"/>
          <w:color w:val="2F75B5"/>
          <w:sz w:val="28"/>
        </w:rPr>
        <w:t>Product Requirements Document</w:t>
      </w:r>
    </w:p>
    <w:tbl>
      <w:tblPr>
        <w:tblW w:type="auto" w:w="0"/>
        <w:jc w:val="left"/>
        <w:tblLook w:firstColumn="1" w:firstRow="1" w:lastColumn="0" w:lastRow="0" w:noHBand="0" w:noVBand="1" w:val="04A0"/>
      </w:tblPr>
      <w:tblGrid>
        <w:gridCol w:w="4997"/>
        <w:gridCol w:w="4997"/>
      </w:tblGrid>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Project Type</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Research Prototype / Proof of Concept</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Primary Audience</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CSIR Scientists, Medical Researchers, Clinicians, Healthcare Administrators</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Prototype Data</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Synthetic patient data only</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Document Status</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Product Definition for Implementation and Demonstration</w:t>
            </w:r>
          </w:p>
        </w:tc>
      </w:tr>
      <w:tr>
        <w:tc>
          <w:tcPr>
            <w:tcW w:type="dxa" w:w="4997"/>
            <w:shd w:fill="D9EAF7"/>
            <w:vAlign w:val="center"/>
            <w:tcBorders>
              <w:top w:val="single" w:sz="4" w:color="D5DDE5"/>
              <w:left w:val="single" w:sz="4" w:color="D5DDE5"/>
              <w:bottom w:val="single" w:sz="4" w:color="D5DDE5"/>
              <w:right w:val="single" w:sz="4" w:color="D5DDE5"/>
            </w:tcBorders>
          </w:tcPr>
          <w:p>
            <w:pPr>
              <w:spacing w:after="40"/>
            </w:pPr>
            <w:r>
              <w:rPr>
                <w:rFonts w:ascii="Aptos" w:hAnsi="Aptos"/>
                <w:b/>
                <w:color w:val="17365D"/>
                <w:sz w:val="19"/>
              </w:rPr>
              <w:t>Date</w:t>
            </w:r>
          </w:p>
        </w:tc>
        <w:tc>
          <w:tcPr>
            <w:tcW w:type="dxa" w:w="4997"/>
            <w:vAlign w:val="center"/>
            <w:tcBorders>
              <w:top w:val="single" w:sz="4" w:color="D5DDE5"/>
              <w:left w:val="single" w:sz="4" w:color="D5DDE5"/>
              <w:bottom w:val="single" w:sz="4" w:color="D5DDE5"/>
              <w:right w:val="single" w:sz="4" w:color="D5DDE5"/>
            </w:tcBorders>
          </w:tcPr>
          <w:p>
            <w:pPr>
              <w:spacing w:after="40"/>
            </w:pPr>
            <w:r>
              <w:rPr>
                <w:rFonts w:ascii="Aptos" w:hAnsi="Aptos"/>
                <w:sz w:val="19"/>
              </w:rPr>
              <w:t>8 October 2026</w:t>
            </w:r>
          </w:p>
        </w:tc>
      </w:tr>
    </w:tbl>
    <w:p/>
    <w:tbl>
      <w:tblPr>
        <w:tblW w:type="auto" w:w="0"/>
        <w:tblLook w:firstColumn="1" w:firstRow="1" w:lastColumn="0" w:lastRow="0" w:noHBand="0" w:noVBand="1" w:val="04A0"/>
      </w:tblPr>
      <w:tblGrid>
        <w:gridCol w:w="9994"/>
      </w:tblGrid>
      <w:tr>
        <w:tc>
          <w:tcPr>
            <w:tcW w:type="dxa" w:w="9994"/>
            <w:shd w:fill="EEF5FB"/>
            <w:tcBorders>
              <w:top w:val="single" w:sz="8" w:color="2F75B5"/>
              <w:left w:val="single" w:sz="8" w:color="2F75B5"/>
              <w:bottom w:val="single" w:sz="8" w:color="2F75B5"/>
              <w:right w:val="single" w:sz="8" w:color="2F75B5"/>
            </w:tcBorders>
          </w:tcPr>
          <w:p>
            <w:pPr>
              <w:jc w:val="left"/>
            </w:pPr>
            <w:r>
              <w:rPr>
                <w:b/>
                <w:color w:val="17365D"/>
              </w:rPr>
              <w:t xml:space="preserve">Scope note: </w:t>
            </w:r>
            <w:r>
              <w:rPr>
                <w:sz w:val="19"/>
              </w:rPr>
              <w:t>This document defines a research proof of concept. It is not a clinical diagnostic or treatment system and uses synthetic data only.</w:t>
            </w:r>
          </w:p>
        </w:tc>
      </w:tr>
    </w:tbl>
    <w:p>
      <w:r>
        <w:br w:type="page"/>
      </w:r>
    </w:p>
    <w:p>
      <w:pPr>
        <w:pStyle w:val="Heading1"/>
      </w:pPr>
      <w:r>
        <w:t>1. Executive Summary &amp; Problem Statement</w:t>
      </w:r>
    </w:p>
    <w:p>
      <w:r>
        <w:t>The Healthcare Clinical Decision Support System (CDSS/DDSS) is a machine-learning-powered research prototype designed to demonstrate how predictive analytics and Explainable AI (XAI) can support clinical decision-making without replacing clinical judgment. The system accepts structured patient observations through a web interface, estimates disease risk using a supervised machine-learning model, and explains the model output using feature-level contributions.</w:t>
      </w:r>
    </w:p>
    <w:p>
      <w:r>
        <w:t>The central problem is not simply the lack of predictive models. Modern healthcare generates substantial structured data, yet converting that data into timely, consistent, and transparent decision support remains difficult. A model that produces a high-risk classification without showing which inputs influenced the result is hard to interrogate, difficult to communicate, and less useful for research. This prototype therefore treats explainability as a first-class product requirement.</w:t>
      </w:r>
    </w:p>
    <w:p>
      <w:r>
        <w:t>The intended workflow is human-in-the-loop: patient information is entered, the system produces an estimated risk, and the explanation layer highlights the principal model-driven contributors. The clinician or researcher remains responsible for interpretation and any downstream action. The PoC is intentionally constrained to synthetic data and does not attempt to replicate a hospital information system.</w:t>
      </w:r>
    </w:p>
    <w:p>
      <w:r>
        <w:rPr>
          <w:b/>
        </w:rPr>
        <w:t xml:space="preserve">Core value proposition: </w:t>
      </w:r>
    </w:p>
    <w:p>
      <w:pPr>
        <w:pStyle w:val="IntenseQuote"/>
      </w:pPr>
      <w:r>
        <w:t>Translate machine-learning predictions into transparent, clinically understandable decision-support information that can be evaluated by scientists and researchers.</w:t>
      </w:r>
    </w:p>
    <w:p>
      <w:pPr>
        <w:pStyle w:val="Heading1"/>
      </w:pPr>
      <w:r>
        <w:t>2. Target Audience</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val="true"/>
        </w:trPr>
        <w:tc>
          <w:tcPr>
            <w:tcW w:type="dxa" w:w="1944"/>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Audience</w:t>
            </w:r>
          </w:p>
        </w:tc>
        <w:tc>
          <w:tcPr>
            <w:tcW w:type="dxa" w:w="352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Primary Needs</w:t>
            </w:r>
          </w:p>
        </w:tc>
        <w:tc>
          <w:tcPr>
            <w:tcW w:type="dxa" w:w="453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Product Value</w:t>
            </w:r>
          </w:p>
        </w:tc>
      </w:tr>
      <w:tr>
        <w:trPr>
          <w:cantSplit w:val="true"/>
        </w:trPr>
        <w:tc>
          <w:tcPr>
            <w:tcW w:type="dxa" w:w="194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Clinicians</w:t>
            </w:r>
          </w:p>
        </w:tc>
        <w:tc>
          <w:tcPr>
            <w:tcW w:type="dxa" w:w="35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Fast, understandable risk information that complements professional judgment.</w:t>
            </w:r>
          </w:p>
        </w:tc>
        <w:tc>
          <w:tcPr>
            <w:tcW w:type="dxa" w:w="45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Patient assessment form, risk estimate, feature contribution explanation, clear limitations.</w:t>
            </w:r>
          </w:p>
        </w:tc>
      </w:tr>
      <w:tr>
        <w:trPr>
          <w:cantSplit w:val="true"/>
        </w:trPr>
        <w:tc>
          <w:tcPr>
            <w:tcW w:type="dxa" w:w="194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Medical Researchers</w:t>
            </w:r>
          </w:p>
        </w:tc>
        <w:tc>
          <w:tcPr>
            <w:tcW w:type="dxa" w:w="35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Performance evaluation, reproducibility, model behavior analysis, XAI investigation.</w:t>
            </w:r>
          </w:p>
        </w:tc>
        <w:tc>
          <w:tcPr>
            <w:tcW w:type="dxa" w:w="45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Model metrics, global and local explanations, model versioning, documented synthetic dataset.</w:t>
            </w:r>
          </w:p>
        </w:tc>
      </w:tr>
      <w:tr>
        <w:trPr>
          <w:cantSplit w:val="true"/>
        </w:trPr>
        <w:tc>
          <w:tcPr>
            <w:tcW w:type="dxa" w:w="194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Healthcare Administrators</w:t>
            </w:r>
          </w:p>
        </w:tc>
        <w:tc>
          <w:tcPr>
            <w:tcW w:type="dxa" w:w="35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Operational feasibility, consistency, scalability, and integration potential.</w:t>
            </w:r>
          </w:p>
        </w:tc>
        <w:tc>
          <w:tcPr>
            <w:tcW w:type="dxa" w:w="45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Simple workflow, role-based access, auditable architecture, clear roadmap toward APIs and connected devices.</w:t>
            </w:r>
          </w:p>
        </w:tc>
      </w:tr>
    </w:tbl>
    <w:p>
      <w:pPr>
        <w:spacing w:after="0"/>
      </w:pPr>
    </w:p>
    <w:p>
      <w:pPr>
        <w:pStyle w:val="Heading1"/>
      </w:pPr>
      <w:r>
        <w:t>3. Product Vision</w:t>
      </w:r>
    </w:p>
    <w:p>
      <w:r>
        <w:t>Create a transparent, research-oriented clinical decision-support prototype that demonstrates how machine learning can assist healthcare professionals while keeping human judgment at the center of the workflow.</w:t>
      </w:r>
    </w:p>
    <w:p>
      <w:pPr>
        <w:pStyle w:val="Heading1"/>
      </w:pPr>
      <w:r>
        <w:t>4. Product Objectives</w:t>
      </w:r>
    </w:p>
    <w:p>
      <w:pPr>
        <w:pStyle w:val="ListBullet"/>
        <w:spacing w:after="60"/>
        <w:ind w:left="259"/>
      </w:pPr>
      <w:r>
        <w:t>Develop a working web-based clinical decision-support prototype suitable for live research demonstration.</w:t>
      </w:r>
    </w:p>
    <w:p>
      <w:pPr>
        <w:pStyle w:val="ListBullet"/>
        <w:spacing w:after="60"/>
        <w:ind w:left="259"/>
      </w:pPr>
      <w:r>
        <w:t>Enable structured entry of synthetic patient vitals and relevant clinical indicators through a simple interface.</w:t>
      </w:r>
    </w:p>
    <w:p>
      <w:pPr>
        <w:pStyle w:val="ListBullet"/>
        <w:spacing w:after="60"/>
        <w:ind w:left="259"/>
      </w:pPr>
      <w:r>
        <w:t>Generate disease-risk predictions using Random Forest and/or XGBoost, with evidence-based model selection.</w:t>
      </w:r>
    </w:p>
    <w:p>
      <w:pPr>
        <w:pStyle w:val="ListBullet"/>
        <w:spacing w:after="60"/>
        <w:ind w:left="259"/>
      </w:pPr>
      <w:r>
        <w:t>Provide interpretable explanations for individual predictions using SHAP, with LIME available as a comparative research method.</w:t>
      </w:r>
    </w:p>
    <w:p>
      <w:pPr>
        <w:pStyle w:val="ListBullet"/>
        <w:spacing w:after="60"/>
        <w:ind w:left="259"/>
      </w:pPr>
      <w:r>
        <w:t>Present outputs in a form understandable to clinicians and researchers who do not need to inspect source code.</w:t>
      </w:r>
    </w:p>
    <w:p>
      <w:pPr>
        <w:pStyle w:val="ListBullet"/>
        <w:spacing w:after="60"/>
        <w:ind w:left="259"/>
      </w:pPr>
      <w:r>
        <w:t>Create an architecture that can evolve toward FastAPI-based APIs, IoT sensor ingestion, and future clinical data integration.</w:t>
      </w:r>
    </w:p>
    <w:p>
      <w:pPr>
        <w:pStyle w:val="Heading1"/>
      </w:pPr>
      <w:r>
        <w:t>5. Core Product Workflow</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User opens application</w:t>
              <w:br/>
            </w:r>
            <w:r>
              <w:rPr>
                <w:rFonts w:ascii="Consolas" w:hAnsi="Consolas"/>
                <w:color w:val="1F2937"/>
                <w:sz w:val="17"/>
              </w:rPr>
              <w:t xml:space="preserve">        -&gt; Enter synthetic patient data</w:t>
              <w:br/>
            </w:r>
            <w:r>
              <w:rPr>
                <w:rFonts w:ascii="Consolas" w:hAnsi="Consolas"/>
                <w:color w:val="1F2937"/>
                <w:sz w:val="17"/>
              </w:rPr>
              <w:t xml:space="preserve">        -&gt; Validate and preprocess inputs</w:t>
              <w:br/>
            </w:r>
            <w:r>
              <w:rPr>
                <w:rFonts w:ascii="Consolas" w:hAnsi="Consolas"/>
                <w:color w:val="1F2937"/>
                <w:sz w:val="17"/>
              </w:rPr>
              <w:t xml:space="preserve">        -&gt; Run ML risk prediction</w:t>
              <w:br/>
            </w:r>
            <w:r>
              <w:rPr>
                <w:rFonts w:ascii="Consolas" w:hAnsi="Consolas"/>
                <w:color w:val="1F2937"/>
                <w:sz w:val="17"/>
              </w:rPr>
              <w:t xml:space="preserve">        -&gt; Calculate SHAP explanation</w:t>
              <w:br/>
            </w:r>
            <w:r>
              <w:rPr>
                <w:rFonts w:ascii="Consolas" w:hAnsi="Consolas"/>
                <w:color w:val="1F2937"/>
                <w:sz w:val="17"/>
              </w:rPr>
              <w:t xml:space="preserve">        -&gt; Display risk + feature contributions</w:t>
              <w:br/>
            </w:r>
            <w:r>
              <w:rPr>
                <w:rFonts w:ascii="Consolas" w:hAnsi="Consolas"/>
                <w:color w:val="1F2937"/>
                <w:sz w:val="17"/>
              </w:rPr>
              <w:t xml:space="preserve">        -&gt; Human interpretation / research review</w:t>
              <w:br/>
            </w:r>
          </w:p>
        </w:tc>
      </w:tr>
    </w:tbl>
    <w:p>
      <w:pPr>
        <w:spacing w:after="0"/>
      </w:pPr>
    </w:p>
    <w:p>
      <w:r>
        <w:t>The UI must explicitly distinguish a model-generated risk estimate from a clinical diagnosis or treatment decision.</w:t>
      </w:r>
    </w:p>
    <w:p>
      <w:pPr>
        <w:pStyle w:val="Heading1"/>
      </w:pPr>
      <w:r>
        <w:t>6. Core Features (In Scope)</w:t>
      </w:r>
    </w:p>
    <w:p>
      <w:pPr>
        <w:pStyle w:val="Heading2"/>
      </w:pPr>
      <w:r>
        <w:t>6.1 Patient Vitals Data Ingestion</w:t>
      </w:r>
    </w:p>
    <w:p>
      <w:r>
        <w:t>The application will provide a user-friendly web form for entering synthetic patient information and clinically relevant measurements. The exact feature set will be determined by the selected disease use case and the synthetic dataset.</w:t>
      </w:r>
    </w:p>
    <w:p>
      <w:pPr>
        <w:pStyle w:val="ListBullet"/>
        <w:spacing w:after="60"/>
        <w:ind w:left="259"/>
      </w:pPr>
      <w:r>
        <w:t>Age</w:t>
      </w:r>
    </w:p>
    <w:p>
      <w:pPr>
        <w:pStyle w:val="ListBullet"/>
        <w:spacing w:after="60"/>
        <w:ind w:left="259"/>
      </w:pPr>
      <w:r>
        <w:t>Sex</w:t>
      </w:r>
    </w:p>
    <w:p>
      <w:pPr>
        <w:pStyle w:val="ListBullet"/>
        <w:spacing w:after="60"/>
        <w:ind w:left="259"/>
      </w:pPr>
      <w:r>
        <w:t>Heart rate</w:t>
      </w:r>
    </w:p>
    <w:p>
      <w:pPr>
        <w:pStyle w:val="ListBullet"/>
        <w:spacing w:after="60"/>
        <w:ind w:left="259"/>
      </w:pPr>
      <w:r>
        <w:t>Systolic and diastolic blood pressure</w:t>
      </w:r>
    </w:p>
    <w:p>
      <w:pPr>
        <w:pStyle w:val="ListBullet"/>
        <w:spacing w:after="60"/>
        <w:ind w:left="259"/>
      </w:pPr>
      <w:r>
        <w:t>Body temperature</w:t>
      </w:r>
    </w:p>
    <w:p>
      <w:pPr>
        <w:pStyle w:val="ListBullet"/>
        <w:spacing w:after="60"/>
        <w:ind w:left="259"/>
      </w:pPr>
      <w:r>
        <w:t>Blood oxygen saturation (SpO2)</w:t>
      </w:r>
    </w:p>
    <w:p>
      <w:pPr>
        <w:pStyle w:val="ListBullet"/>
        <w:spacing w:after="60"/>
        <w:ind w:left="259"/>
      </w:pPr>
      <w:r>
        <w:t>Respiratory rate</w:t>
      </w:r>
    </w:p>
    <w:p>
      <w:pPr>
        <w:pStyle w:val="ListBullet"/>
        <w:spacing w:after="60"/>
        <w:ind w:left="259"/>
      </w:pPr>
      <w:r>
        <w:t>BMI</w:t>
      </w:r>
    </w:p>
    <w:p>
      <w:pPr>
        <w:pStyle w:val="ListBullet"/>
        <w:spacing w:after="60"/>
        <w:ind w:left="259"/>
      </w:pPr>
      <w:r>
        <w:t>Blood glucose</w:t>
      </w:r>
    </w:p>
    <w:p>
      <w:pPr>
        <w:pStyle w:val="ListBullet"/>
        <w:spacing w:after="60"/>
        <w:ind w:left="259"/>
      </w:pPr>
      <w:r>
        <w:t>Selected laboratory indicators</w:t>
      </w:r>
    </w:p>
    <w:p>
      <w:pPr>
        <w:pStyle w:val="ListBullet"/>
        <w:spacing w:after="60"/>
        <w:ind w:left="259"/>
      </w:pPr>
      <w:r>
        <w:t>Selected medical-history indicators</w:t>
      </w:r>
    </w:p>
    <w:p>
      <w:r>
        <w:t>UI requirements: clearly labeled fields, visible units, required/optional distinctions, clinically plausible input ranges, missing-value handling, and a clear prediction action.</w:t>
      </w:r>
    </w:p>
    <w:p>
      <w:pPr>
        <w:pStyle w:val="Heading2"/>
      </w:pPr>
      <w:r>
        <w:t>6.2 Data Validation &amp; Preprocessing</w:t>
      </w:r>
    </w:p>
    <w:p>
      <w:pPr>
        <w:pStyle w:val="ListBullet"/>
        <w:spacing w:after="60"/>
        <w:ind w:left="259"/>
      </w:pPr>
      <w:r>
        <w:t>Validate mandatory fields before inference.</w:t>
      </w:r>
    </w:p>
    <w:p>
      <w:pPr>
        <w:pStyle w:val="ListBullet"/>
        <w:spacing w:after="60"/>
        <w:ind w:left="259"/>
      </w:pPr>
      <w:r>
        <w:t>Reject or flag malformed and out-of-range values.</w:t>
      </w:r>
    </w:p>
    <w:p>
      <w:pPr>
        <w:pStyle w:val="ListBullet"/>
        <w:spacing w:after="60"/>
        <w:ind w:left="259"/>
      </w:pPr>
      <w:r>
        <w:t>Apply the same preprocessing pipeline used during model training.</w:t>
      </w:r>
    </w:p>
    <w:p>
      <w:pPr>
        <w:pStyle w:val="ListBullet"/>
        <w:spacing w:after="60"/>
        <w:ind w:left="259"/>
      </w:pPr>
      <w:r>
        <w:t>Maintain a fixed feature schema and feature ordering.</w:t>
      </w:r>
    </w:p>
    <w:p>
      <w:pPr>
        <w:pStyle w:val="ListBullet"/>
        <w:spacing w:after="60"/>
        <w:ind w:left="259"/>
      </w:pPr>
      <w:r>
        <w:t>Handle missing values using the documented training strategy.</w:t>
      </w:r>
    </w:p>
    <w:p>
      <w:pPr>
        <w:pStyle w:val="ListBullet"/>
        <w:spacing w:after="60"/>
        <w:ind w:left="259"/>
      </w:pPr>
      <w:r>
        <w:t>Keep preprocessing logic reproducible rather than duplicating transformations across UI code and model code.</w:t>
      </w:r>
    </w:p>
    <w:p>
      <w:pPr>
        <w:pStyle w:val="Heading2"/>
      </w:pPr>
      <w:r>
        <w:t>6.3 ML-Based Disease Risk Prediction</w:t>
      </w:r>
    </w:p>
    <w:p>
      <w:r>
        <w:t>The ML layer will estimate the probability or risk class of a predefined disease or condition from structured patient inputs.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val="true"/>
        </w:trPr>
        <w:tc>
          <w:tcPr>
            <w:tcW w:type="dxa" w:w="187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Candidate</w:t>
            </w:r>
          </w:p>
        </w:tc>
        <w:tc>
          <w:tcPr>
            <w:tcW w:type="dxa" w:w="223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Role in PoC</w:t>
            </w:r>
          </w:p>
        </w:tc>
        <w:tc>
          <w:tcPr>
            <w:tcW w:type="dxa" w:w="5904"/>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Rationale</w:t>
            </w:r>
          </w:p>
        </w:tc>
      </w:tr>
      <w:tr>
        <w:trPr>
          <w:cantSplit w:val="true"/>
        </w:trPr>
        <w:tc>
          <w:tcPr>
            <w:tcW w:type="dxa" w:w="18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Random Forest</w:t>
            </w:r>
          </w:p>
        </w:tc>
        <w:tc>
          <w:tcPr>
            <w:tcW w:type="dxa" w:w="223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Baseline model</w:t>
            </w:r>
          </w:p>
        </w:tc>
        <w:tc>
          <w:tcPr>
            <w:tcW w:type="dxa" w:w="590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Strong, interpretable tabular baseline; robust to nonlinear relationships and useful for benchmarking.</w:t>
            </w:r>
          </w:p>
        </w:tc>
      </w:tr>
      <w:tr>
        <w:trPr>
          <w:cantSplit w:val="true"/>
        </w:trPr>
        <w:tc>
          <w:tcPr>
            <w:tcW w:type="dxa" w:w="18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XGBoost</w:t>
            </w:r>
          </w:p>
        </w:tc>
        <w:tc>
          <w:tcPr>
            <w:tcW w:type="dxa" w:w="223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Primary candidate model</w:t>
            </w:r>
          </w:p>
        </w:tc>
        <w:tc>
          <w:tcPr>
            <w:tcW w:type="dxa" w:w="590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High-performing gradient-boosted trees for structured data; strong fit with tree-based SHAP explanations.</w:t>
            </w:r>
          </w:p>
        </w:tc>
      </w:tr>
    </w:tbl>
    <w:p>
      <w:pPr>
        <w:spacing w:after="0"/>
      </w:pPr>
    </w:p>
    <w:p>
      <w:r>
        <w:t>The final model should be selected empirically using predictive performance, calibration, interpretability, stability, and operational simplicity rather than accuracy alone.</w:t>
      </w:r>
    </w:p>
    <w:p>
      <w:pPr>
        <w:pStyle w:val="Heading2"/>
      </w:pPr>
      <w:r>
        <w:t>6.4 Explainable AI (XAI)</w:t>
      </w:r>
    </w:p>
    <w:p>
      <w:r>
        <w:t>Explainability is a core requirement of the system. For every prediction, the application should surface the major features that increased or decreased the model output.</w:t>
      </w:r>
    </w:p>
    <w:p>
      <w:r>
        <w:rPr>
          <w:b/>
        </w:rPr>
        <w:t xml:space="preserve">Primary method: </w:t>
      </w:r>
    </w:p>
    <w:p>
      <w:r>
        <w:t>SHAP (SHapley Additive exPlanations) for local and global feature contributions.</w:t>
      </w:r>
    </w:p>
    <w:p>
      <w:r>
        <w:rPr>
          <w:b/>
        </w:rPr>
        <w:t xml:space="preserve">Secondary research method: </w:t>
      </w:r>
    </w:p>
    <w:p>
      <w:r>
        <w:t>LIME may be evaluated to compare local explanation behavior, stability, and computational overhead.</w:t>
      </w:r>
    </w:p>
    <w:tbl>
      <w:tblPr>
        <w:tblW w:type="auto" w:w="0"/>
        <w:tblLook w:firstColumn="1" w:firstRow="1" w:lastColumn="0" w:lastRow="0" w:noHBand="0" w:noVBand="1" w:val="04A0"/>
      </w:tblPr>
      <w:tblGrid>
        <w:gridCol w:w="9994"/>
      </w:tblGrid>
      <w:tr>
        <w:trPr>
          <w:cantSplit w:val="true"/>
        </w:trPr>
        <w:tc>
          <w:tcPr>
            <w:tcW w:type="dxa" w:w="9994"/>
            <w:shd w:fill="F7F7F7"/>
            <w:tcBorders>
              <w:top w:val="single" w:sz="4" w:color="D9D9D9"/>
              <w:left w:val="single" w:sz="4" w:color="D9D9D9"/>
              <w:bottom w:val="single" w:sz="4" w:color="D9D9D9"/>
              <w:right w:val="single" w:sz="4" w:color="D9D9D9"/>
            </w:tcBorders>
          </w:tcPr>
          <w:p>
            <w:pPr>
              <w:spacing w:after="0"/>
            </w:pPr>
            <w:r>
              <w:rPr>
                <w:rFonts w:ascii="Consolas" w:hAnsi="Consolas"/>
                <w:color w:val="1F2937"/>
                <w:sz w:val="17"/>
              </w:rPr>
              <w:t>Prediction: HIGH RISK</w:t>
              <w:br/>
            </w:r>
            <w:r>
              <w:rPr>
                <w:rFonts w:ascii="Consolas" w:hAnsi="Consolas"/>
                <w:color w:val="1F2937"/>
                <w:sz w:val="17"/>
              </w:rPr>
              <w:t>Estimated probability: 78%</w:t>
              <w:br/>
            </w:r>
            <w:r>
              <w:rPr>
                <w:rFonts w:ascii="Consolas" w:hAnsi="Consolas"/>
                <w:color w:val="1F2937"/>
                <w:sz w:val="17"/>
              </w:rPr>
              <w:br/>
            </w:r>
            <w:r>
              <w:rPr>
                <w:rFonts w:ascii="Consolas" w:hAnsi="Consolas"/>
                <w:color w:val="1F2937"/>
                <w:sz w:val="17"/>
              </w:rPr>
              <w:t>Major contributors</w:t>
              <w:br/>
            </w:r>
            <w:r>
              <w:rPr>
                <w:rFonts w:ascii="Consolas" w:hAnsi="Consolas"/>
                <w:color w:val="1F2937"/>
                <w:sz w:val="17"/>
              </w:rPr>
              <w:t>Systolic BP   +0.21</w:t>
              <w:br/>
            </w:r>
            <w:r>
              <w:rPr>
                <w:rFonts w:ascii="Consolas" w:hAnsi="Consolas"/>
                <w:color w:val="1F2937"/>
                <w:sz w:val="17"/>
              </w:rPr>
              <w:t>Age           +0.17</w:t>
              <w:br/>
            </w:r>
            <w:r>
              <w:rPr>
                <w:rFonts w:ascii="Consolas" w:hAnsi="Consolas"/>
                <w:color w:val="1F2937"/>
                <w:sz w:val="17"/>
              </w:rPr>
              <w:t>Glucose       +0.12</w:t>
              <w:br/>
            </w:r>
            <w:r>
              <w:rPr>
                <w:rFonts w:ascii="Consolas" w:hAnsi="Consolas"/>
                <w:color w:val="1F2937"/>
                <w:sz w:val="17"/>
              </w:rPr>
              <w:t>BMI           +0.08</w:t>
              <w:br/>
            </w:r>
            <w:r>
              <w:rPr>
                <w:rFonts w:ascii="Consolas" w:hAnsi="Consolas"/>
                <w:color w:val="1F2937"/>
                <w:sz w:val="17"/>
              </w:rPr>
              <w:t>SpO2          -0.05</w:t>
              <w:br/>
            </w:r>
          </w:p>
        </w:tc>
      </w:tr>
    </w:tbl>
    <w:p>
      <w:pPr>
        <w:spacing w:after="0"/>
      </w:pPr>
    </w:p>
    <w:p>
      <w:r>
        <w:t>The UI must describe these values as model feature contributions, not causal statements about the patient.</w:t>
      </w:r>
    </w:p>
    <w:p>
      <w:pPr>
        <w:pStyle w:val="Heading1"/>
      </w:pPr>
      <w:r>
        <w:t>7. Model Evaluation &amp; Research Methodology</w:t>
      </w:r>
    </w:p>
    <w:p>
      <w:r>
        <w:t>The research prototype must include formal evaluation before any performance claim is made.</w:t>
      </w:r>
    </w:p>
    <w:p>
      <w:pPr>
        <w:pStyle w:val="ListBullet"/>
        <w:spacing w:after="60"/>
        <w:ind w:left="259"/>
      </w:pPr>
      <w:r>
        <w:t>Accuracy</w:t>
      </w:r>
    </w:p>
    <w:p>
      <w:pPr>
        <w:pStyle w:val="ListBullet"/>
        <w:spacing w:after="60"/>
        <w:ind w:left="259"/>
      </w:pPr>
      <w:r>
        <w:t>Precision</w:t>
      </w:r>
    </w:p>
    <w:p>
      <w:pPr>
        <w:pStyle w:val="ListBullet"/>
        <w:spacing w:after="60"/>
        <w:ind w:left="259"/>
      </w:pPr>
      <w:r>
        <w:t>Recall / Sensitivity</w:t>
      </w:r>
    </w:p>
    <w:p>
      <w:pPr>
        <w:pStyle w:val="ListBullet"/>
        <w:spacing w:after="60"/>
        <w:ind w:left="259"/>
      </w:pPr>
      <w:r>
        <w:t>F1-score</w:t>
      </w:r>
    </w:p>
    <w:p>
      <w:pPr>
        <w:pStyle w:val="ListBullet"/>
        <w:spacing w:after="60"/>
        <w:ind w:left="259"/>
      </w:pPr>
      <w:r>
        <w:t>ROC-AUC</w:t>
      </w:r>
    </w:p>
    <w:p>
      <w:pPr>
        <w:pStyle w:val="ListBullet"/>
        <w:spacing w:after="60"/>
        <w:ind w:left="259"/>
      </w:pPr>
      <w:r>
        <w:t>Specificity where relevant</w:t>
      </w:r>
    </w:p>
    <w:p>
      <w:pPr>
        <w:pStyle w:val="ListBullet"/>
        <w:spacing w:after="60"/>
        <w:ind w:left="259"/>
      </w:pPr>
      <w:r>
        <w:t>Confusion matrix</w:t>
      </w:r>
    </w:p>
    <w:p>
      <w:pPr>
        <w:pStyle w:val="ListBullet"/>
        <w:spacing w:after="60"/>
        <w:ind w:left="259"/>
      </w:pPr>
      <w:r>
        <w:t>Precision-recall analysis where relevant</w:t>
      </w:r>
    </w:p>
    <w:p>
      <w:pPr>
        <w:pStyle w:val="ListBullet"/>
        <w:spacing w:after="60"/>
        <w:ind w:left="259"/>
      </w:pPr>
      <w:r>
        <w:t>Calibration analysis for risk outputs</w:t>
      </w:r>
    </w:p>
    <w:p>
      <w:r>
        <w:t>Model comparisons should use a fixed evaluation protocol. The train/test separation, random seed, preprocessing version, and model version should be recorded for reproducibility.</w:t>
      </w:r>
    </w:p>
    <w:p>
      <w:pPr>
        <w:pStyle w:val="Heading1"/>
      </w:pPr>
      <w:r>
        <w:t>8. Dataset Requirements</w:t>
      </w:r>
    </w:p>
    <w:p>
      <w:r>
        <w:t>Only synthetic patient data is in scope for the PoC. Synthetic data should be clinically plausible for demonstration purposes, but it must not be described as evidence derived from real patients.</w:t>
      </w:r>
    </w:p>
    <w:p>
      <w:pPr>
        <w:pStyle w:val="ListBullet"/>
        <w:spacing w:after="60"/>
        <w:ind w:left="259"/>
      </w:pPr>
      <w:r>
        <w:t>Document feature definitions, units, target variable, ranges, and missing-data assumptions.</w:t>
      </w:r>
    </w:p>
    <w:p>
      <w:pPr>
        <w:pStyle w:val="ListBullet"/>
        <w:spacing w:after="60"/>
        <w:ind w:left="259"/>
      </w:pPr>
      <w:r>
        <w:t>Record synthetic-data generation methodology and random seed.</w:t>
      </w:r>
    </w:p>
    <w:p>
      <w:pPr>
        <w:pStyle w:val="ListBullet"/>
        <w:spacing w:after="60"/>
        <w:ind w:left="259"/>
      </w:pPr>
      <w:r>
        <w:t>Maintain dataset versioning.</w:t>
      </w:r>
    </w:p>
    <w:p>
      <w:pPr>
        <w:pStyle w:val="ListBullet"/>
        <w:spacing w:after="60"/>
        <w:ind w:left="259"/>
      </w:pPr>
      <w:r>
        <w:t>Avoid using real patient identifiers or real patient records.</w:t>
      </w:r>
    </w:p>
    <w:p>
      <w:pPr>
        <w:pStyle w:val="ListBullet"/>
        <w:spacing w:after="60"/>
        <w:ind w:left="259"/>
      </w:pPr>
      <w:r>
        <w:t>State explicitly that synthetic data cannot establish clinical validity or real-world generalization.</w:t>
      </w:r>
    </w:p>
    <w:p>
      <w:pPr>
        <w:pStyle w:val="Heading1"/>
      </w:pPr>
      <w:r>
        <w:t>9. Technology Stack</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val="true"/>
        </w:trPr>
        <w:tc>
          <w:tcPr>
            <w:tcW w:type="dxa" w:w="172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Layer</w:t>
            </w:r>
          </w:p>
        </w:tc>
        <w:tc>
          <w:tcPr>
            <w:tcW w:type="dxa" w:w="2880"/>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Recommended Technology</w:t>
            </w:r>
          </w:p>
        </w:tc>
        <w:tc>
          <w:tcPr>
            <w:tcW w:type="dxa" w:w="547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Primary Responsibility</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Frontend</w:t>
            </w:r>
          </w:p>
        </w:tc>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Next.js + TypeScript</w:t>
            </w:r>
          </w:p>
        </w:tc>
        <w:tc>
          <w:tcPr>
            <w:tcW w:type="dxa" w:w="54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Clinical/research UI, routing, forms, dashboards, visualization.</w:t>
            </w:r>
          </w:p>
        </w:tc>
      </w:tr>
      <w:tr>
        <w:trPr>
          <w:cantSplit w:val="true"/>
        </w:trPr>
        <w:tc>
          <w:tcPr>
            <w:tcW w:type="dxa" w:w="17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Backend</w:t>
            </w:r>
          </w:p>
        </w:tc>
        <w:tc>
          <w:tcPr>
            <w:tcW w:type="dxa" w:w="28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FastAPI + Python</w:t>
            </w:r>
          </w:p>
        </w:tc>
        <w:tc>
          <w:tcPr>
            <w:tcW w:type="dxa" w:w="54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API, validation, orchestration, inference, authorization boundary.</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ML</w:t>
            </w:r>
          </w:p>
        </w:tc>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XGBoost + Scikit-learn</w:t>
            </w:r>
          </w:p>
        </w:tc>
        <w:tc>
          <w:tcPr>
            <w:tcW w:type="dxa" w:w="54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Risk prediction, preprocessing, evaluation.</w:t>
            </w:r>
          </w:p>
        </w:tc>
      </w:tr>
      <w:tr>
        <w:trPr>
          <w:cantSplit w:val="true"/>
        </w:trPr>
        <w:tc>
          <w:tcPr>
            <w:tcW w:type="dxa" w:w="17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XAI</w:t>
            </w:r>
          </w:p>
        </w:tc>
        <w:tc>
          <w:tcPr>
            <w:tcW w:type="dxa" w:w="28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SHAP; LIME for comparison</w:t>
            </w:r>
          </w:p>
        </w:tc>
        <w:tc>
          <w:tcPr>
            <w:tcW w:type="dxa" w:w="54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Local/global explanation and feature contribution visualization.</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Auth</w:t>
            </w:r>
          </w:p>
        </w:tc>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Supabase Auth</w:t>
            </w:r>
          </w:p>
        </w:tc>
        <w:tc>
          <w:tcPr>
            <w:tcW w:type="dxa" w:w="54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Identity, JWT-based authentication, role-aware authorization foundation.</w:t>
            </w:r>
          </w:p>
        </w:tc>
      </w:tr>
      <w:tr>
        <w:trPr>
          <w:cantSplit w:val="true"/>
        </w:trPr>
        <w:tc>
          <w:tcPr>
            <w:tcW w:type="dxa" w:w="17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Database</w:t>
            </w:r>
          </w:p>
        </w:tc>
        <w:tc>
          <w:tcPr>
            <w:tcW w:type="dxa" w:w="28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PostgreSQL via Supabase</w:t>
            </w:r>
          </w:p>
        </w:tc>
        <w:tc>
          <w:tcPr>
            <w:tcW w:type="dxa" w:w="54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Users, assessments, predictions, model versions, audit records.</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Deployment</w:t>
            </w:r>
          </w:p>
        </w:tc>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Vercel + Render</w:t>
            </w:r>
          </w:p>
        </w:tc>
        <w:tc>
          <w:tcPr>
            <w:tcW w:type="dxa" w:w="54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Frontend and Python API deployment for the PoC.</w:t>
            </w:r>
          </w:p>
        </w:tc>
      </w:tr>
      <w:tr>
        <w:trPr>
          <w:cantSplit w:val="true"/>
        </w:trPr>
        <w:tc>
          <w:tcPr>
            <w:tcW w:type="dxa" w:w="17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Packaging</w:t>
            </w:r>
          </w:p>
        </w:tc>
        <w:tc>
          <w:tcPr>
            <w:tcW w:type="dxa" w:w="28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Docker</w:t>
            </w:r>
          </w:p>
        </w:tc>
        <w:tc>
          <w:tcPr>
            <w:tcW w:type="dxa" w:w="54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Portable and reproducible backend/ML environment.</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Versioning/CI</w:t>
            </w:r>
          </w:p>
        </w:tc>
        <w:tc>
          <w:tcPr>
            <w:tcW w:type="dxa" w:w="28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GitHub + GitHub Actions</w:t>
            </w:r>
          </w:p>
        </w:tc>
        <w:tc>
          <w:tcPr>
            <w:tcW w:type="dxa" w:w="54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Source control, testing, reproducible delivery.</w:t>
            </w:r>
          </w:p>
        </w:tc>
      </w:tr>
    </w:tbl>
    <w:p>
      <w:pPr>
        <w:spacing w:after="0"/>
      </w:pPr>
    </w:p>
    <w:p>
      <w:pPr>
        <w:pStyle w:val="Heading1"/>
      </w:pPr>
      <w:r>
        <w:t>10. Functional Requirements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val="true"/>
        </w:trPr>
        <w:tc>
          <w:tcPr>
            <w:tcW w:type="dxa" w:w="93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ID</w:t>
            </w:r>
          </w:p>
        </w:tc>
        <w:tc>
          <w:tcPr>
            <w:tcW w:type="dxa" w:w="849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Requirement</w:t>
            </w:r>
          </w:p>
        </w:tc>
        <w:tc>
          <w:tcPr>
            <w:tcW w:type="dxa" w:w="864"/>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Priority</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FR-01</w:t>
            </w:r>
          </w:p>
        </w:tc>
        <w:tc>
          <w:tcPr>
            <w:tcW w:type="dxa" w:w="849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Provide web-based patient-data entry.</w:t>
            </w:r>
          </w:p>
        </w:tc>
        <w:tc>
          <w:tcPr>
            <w:tcW w:type="dxa" w:w="8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FR-02</w:t>
            </w:r>
          </w:p>
        </w:tc>
        <w:tc>
          <w:tcPr>
            <w:tcW w:type="dxa" w:w="849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Validate user inputs and display clear errors.</w:t>
            </w:r>
          </w:p>
        </w:tc>
        <w:tc>
          <w:tcPr>
            <w:tcW w:type="dxa" w:w="86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FR-03</w:t>
            </w:r>
          </w:p>
        </w:tc>
        <w:tc>
          <w:tcPr>
            <w:tcW w:type="dxa" w:w="849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Apply a reproducible preprocessing pipeline.</w:t>
            </w:r>
          </w:p>
        </w:tc>
        <w:tc>
          <w:tcPr>
            <w:tcW w:type="dxa" w:w="8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FR-04</w:t>
            </w:r>
          </w:p>
        </w:tc>
        <w:tc>
          <w:tcPr>
            <w:tcW w:type="dxa" w:w="849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Generate a disease-risk prediction.</w:t>
            </w:r>
          </w:p>
        </w:tc>
        <w:tc>
          <w:tcPr>
            <w:tcW w:type="dxa" w:w="86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FR-05</w:t>
            </w:r>
          </w:p>
        </w:tc>
        <w:tc>
          <w:tcPr>
            <w:tcW w:type="dxa" w:w="849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Display risk probability/score and class.</w:t>
            </w:r>
          </w:p>
        </w:tc>
        <w:tc>
          <w:tcPr>
            <w:tcW w:type="dxa" w:w="8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FR-06</w:t>
            </w:r>
          </w:p>
        </w:tc>
        <w:tc>
          <w:tcPr>
            <w:tcW w:type="dxa" w:w="849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Generate XAI explanation for every prediction.</w:t>
            </w:r>
          </w:p>
        </w:tc>
        <w:tc>
          <w:tcPr>
            <w:tcW w:type="dxa" w:w="86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FR-07</w:t>
            </w:r>
          </w:p>
        </w:tc>
        <w:tc>
          <w:tcPr>
            <w:tcW w:type="dxa" w:w="849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Visualize feature contributions.</w:t>
            </w:r>
          </w:p>
        </w:tc>
        <w:tc>
          <w:tcPr>
            <w:tcW w:type="dxa" w:w="8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FR-08</w:t>
            </w:r>
          </w:p>
        </w:tc>
        <w:tc>
          <w:tcPr>
            <w:tcW w:type="dxa" w:w="849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Use synthetic data only in the PoC.</w:t>
            </w:r>
          </w:p>
        </w:tc>
        <w:tc>
          <w:tcPr>
            <w:tcW w:type="dxa" w:w="86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FR-09</w:t>
            </w:r>
          </w:p>
        </w:tc>
        <w:tc>
          <w:tcPr>
            <w:tcW w:type="dxa" w:w="849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Report formal model evaluation metrics.</w:t>
            </w:r>
          </w:p>
        </w:tc>
        <w:tc>
          <w:tcPr>
            <w:tcW w:type="dxa" w:w="8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P0</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FR-10</w:t>
            </w:r>
          </w:p>
        </w:tc>
        <w:tc>
          <w:tcPr>
            <w:tcW w:type="dxa" w:w="849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Support Random Forest vs XGBoost comparison.</w:t>
            </w:r>
          </w:p>
        </w:tc>
        <w:tc>
          <w:tcPr>
            <w:tcW w:type="dxa" w:w="86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P1</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FR-11</w:t>
            </w:r>
          </w:p>
        </w:tc>
        <w:tc>
          <w:tcPr>
            <w:tcW w:type="dxa" w:w="849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Support LIME as optional comparison method.</w:t>
            </w:r>
          </w:p>
        </w:tc>
        <w:tc>
          <w:tcPr>
            <w:tcW w:type="dxa" w:w="864"/>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P2</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FR-12</w:t>
            </w:r>
          </w:p>
        </w:tc>
        <w:tc>
          <w:tcPr>
            <w:tcW w:type="dxa" w:w="849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Record model/data version metadata.</w:t>
            </w:r>
          </w:p>
        </w:tc>
        <w:tc>
          <w:tcPr>
            <w:tcW w:type="dxa" w:w="864"/>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P1</w:t>
            </w:r>
          </w:p>
        </w:tc>
      </w:tr>
    </w:tbl>
    <w:p>
      <w:pPr>
        <w:spacing w:after="0"/>
      </w:pPr>
    </w:p>
    <w:p>
      <w:pPr>
        <w:pStyle w:val="Heading1"/>
      </w:pPr>
      <w:r>
        <w:t>11. Non-Functional Requirements</w:t>
      </w:r>
    </w:p>
    <w:tbl>
      <w:tblPr>
        <w:tblW w:type="auto" w:w="0"/>
        <w:jc w:val="center"/>
        <w:tblLayout w:type="autofit"/>
        <w:tblLook w:firstColumn="1" w:firstRow="1" w:lastColumn="0" w:lastRow="0" w:noHBand="0" w:noVBand="1" w:val="04A0"/>
      </w:tblPr>
      <w:tblGrid>
        <w:gridCol w:w="4997"/>
        <w:gridCol w:w="4997"/>
      </w:tblGrid>
      <w:tr>
        <w:trPr>
          <w:tblHeader w:val="true"/>
          <w:cantSplit w:val="true"/>
        </w:trPr>
        <w:tc>
          <w:tcPr>
            <w:tcW w:type="dxa" w:w="172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Area</w:t>
            </w:r>
          </w:p>
        </w:tc>
        <w:tc>
          <w:tcPr>
            <w:tcW w:type="dxa" w:w="856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Requirement</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Usability</w:t>
            </w:r>
          </w:p>
        </w:tc>
        <w:tc>
          <w:tcPr>
            <w:tcW w:type="dxa" w:w="85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A clinician or researcher should complete the prediction workflow without needing ML knowledge.</w:t>
            </w:r>
          </w:p>
        </w:tc>
      </w:tr>
      <w:tr>
        <w:trPr>
          <w:cantSplit w:val="true"/>
        </w:trPr>
        <w:tc>
          <w:tcPr>
            <w:tcW w:type="dxa" w:w="17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Performance</w:t>
            </w:r>
          </w:p>
        </w:tc>
        <w:tc>
          <w:tcPr>
            <w:tcW w:type="dxa" w:w="856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Single-patient inference should return within a few seconds under normal PoC load.</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Reliability</w:t>
            </w:r>
          </w:p>
        </w:tc>
        <w:tc>
          <w:tcPr>
            <w:tcW w:type="dxa" w:w="85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Invalid inputs must be handled without application crashes.</w:t>
            </w:r>
          </w:p>
        </w:tc>
      </w:tr>
      <w:tr>
        <w:trPr>
          <w:cantSplit w:val="true"/>
        </w:trPr>
        <w:tc>
          <w:tcPr>
            <w:tcW w:type="dxa" w:w="17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Reproducibility</w:t>
            </w:r>
          </w:p>
        </w:tc>
        <w:tc>
          <w:tcPr>
            <w:tcW w:type="dxa" w:w="856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Predictions should be traceable to model version, feature schema, preprocessing pipeline, and dataset version.</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Maintainability</w:t>
            </w:r>
          </w:p>
        </w:tc>
        <w:tc>
          <w:tcPr>
            <w:tcW w:type="dxa" w:w="85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UI, API, ML inference, XAI, and persistence should be separated into clear modules.</w:t>
            </w:r>
          </w:p>
        </w:tc>
      </w:tr>
      <w:tr>
        <w:trPr>
          <w:cantSplit w:val="true"/>
        </w:trPr>
        <w:tc>
          <w:tcPr>
            <w:tcW w:type="dxa" w:w="172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Security</w:t>
            </w:r>
          </w:p>
        </w:tc>
        <w:tc>
          <w:tcPr>
            <w:tcW w:type="dxa" w:w="856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Secrets must remain server-side; authorization should be enforced beyond visual UI controls.</w:t>
            </w:r>
          </w:p>
        </w:tc>
      </w:tr>
      <w:tr>
        <w:trPr>
          <w:cantSplit w:val="true"/>
        </w:trPr>
        <w:tc>
          <w:tcPr>
            <w:tcW w:type="dxa" w:w="172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Transparency</w:t>
            </w:r>
          </w:p>
        </w:tc>
        <w:tc>
          <w:tcPr>
            <w:tcW w:type="dxa" w:w="85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The interface must distinguish model output from diagnosis and explain the meaning/limits of XAI.</w:t>
            </w:r>
          </w:p>
        </w:tc>
      </w:tr>
    </w:tbl>
    <w:p>
      <w:pPr>
        <w:spacing w:after="0"/>
      </w:pPr>
    </w:p>
    <w:p>
      <w:pPr>
        <w:pStyle w:val="Heading1"/>
      </w:pPr>
      <w:r>
        <w:t>12. Clinical Safety &amp; Responsible AI</w:t>
      </w:r>
    </w:p>
    <w:p>
      <w:r>
        <w:t>The system is intended only for research and decision-support demonstration in the current scope.</w:t>
      </w:r>
    </w:p>
    <w:p>
      <w:pPr>
        <w:pStyle w:val="ListBullet"/>
        <w:spacing w:after="60"/>
        <w:ind w:left="259"/>
      </w:pPr>
      <w:r>
        <w:t>Human-in-the-loop: final clinical interpretation remains with the clinician.</w:t>
      </w:r>
    </w:p>
    <w:p>
      <w:pPr>
        <w:pStyle w:val="ListBullet"/>
        <w:spacing w:after="60"/>
        <w:ind w:left="259"/>
      </w:pPr>
      <w:r>
        <w:t>No autonomous diagnosis, treatment prescription, or medical action.</w:t>
      </w:r>
    </w:p>
    <w:p>
      <w:pPr>
        <w:pStyle w:val="ListBullet"/>
        <w:spacing w:after="60"/>
        <w:ind w:left="259"/>
      </w:pPr>
      <w:r>
        <w:t>Risk probabilities must not be presented as certainty.</w:t>
      </w:r>
    </w:p>
    <w:p>
      <w:pPr>
        <w:pStyle w:val="ListBullet"/>
        <w:spacing w:after="60"/>
        <w:ind w:left="259"/>
      </w:pPr>
      <w:r>
        <w:t>XAI outputs are explanations of model behavior, not causal explanations of disease.</w:t>
      </w:r>
    </w:p>
    <w:p>
      <w:pPr>
        <w:pStyle w:val="ListBullet"/>
        <w:spacing w:after="60"/>
        <w:ind w:left="259"/>
      </w:pPr>
      <w:r>
        <w:t>Model limitations and synthetic-data limitations must be visible in the product and documentation.</w:t>
      </w:r>
    </w:p>
    <w:p>
      <w:pPr>
        <w:pStyle w:val="ListBullet"/>
        <w:spacing w:after="60"/>
        <w:ind w:left="259"/>
      </w:pPr>
      <w:r>
        <w:t>Future clinical use requires appropriate validation, governance, privacy, security, regulatory review, and clinical stakeholder involvement.</w:t>
      </w:r>
    </w:p>
    <w:p>
      <w:pPr>
        <w:pStyle w:val="Heading1"/>
      </w:pPr>
      <w:r>
        <w:t>13. Out of Scope</w:t>
      </w:r>
    </w:p>
    <w:p>
      <w:pPr>
        <w:pStyle w:val="ListBullet"/>
        <w:spacing w:after="60"/>
        <w:ind w:left="259"/>
      </w:pPr>
      <w:r>
        <w:t>Full hospital/EHR/HIS/LIS database integration.</w:t>
      </w:r>
    </w:p>
    <w:p>
      <w:pPr>
        <w:pStyle w:val="ListBullet"/>
        <w:spacing w:after="60"/>
        <w:ind w:left="259"/>
      </w:pPr>
      <w:r>
        <w:t>Real patient or patient-identifiable data.</w:t>
      </w:r>
    </w:p>
    <w:p>
      <w:pPr>
        <w:pStyle w:val="ListBullet"/>
        <w:spacing w:after="60"/>
        <w:ind w:left="259"/>
      </w:pPr>
      <w:r>
        <w:t>Clinical production deployment.</w:t>
      </w:r>
    </w:p>
    <w:p>
      <w:pPr>
        <w:pStyle w:val="ListBullet"/>
        <w:spacing w:after="60"/>
        <w:ind w:left="259"/>
      </w:pPr>
      <w:r>
        <w:t>HIPAA compliance as a PoC requirement; future deployment should assess applicable Indian and international requirements based on the deployment context.</w:t>
      </w:r>
    </w:p>
    <w:p>
      <w:pPr>
        <w:pStyle w:val="ListBullet"/>
        <w:spacing w:after="60"/>
        <w:ind w:left="259"/>
      </w:pPr>
      <w:r>
        <w:t>Autonomous diagnosis or treatment recommendation.</w:t>
      </w:r>
    </w:p>
    <w:p>
      <w:pPr>
        <w:pStyle w:val="ListBullet"/>
        <w:spacing w:after="60"/>
        <w:ind w:left="259"/>
      </w:pPr>
      <w:r>
        <w:t>Real-time medical-device or IoT connectivity in the initial release.</w:t>
      </w:r>
    </w:p>
    <w:p>
      <w:pPr>
        <w:pStyle w:val="ListBullet"/>
        <w:spacing w:after="60"/>
        <w:ind w:left="259"/>
      </w:pPr>
      <w:r>
        <w:t>Large-scale microservices or Kubernetes infrastructure for the PoC.</w:t>
      </w:r>
    </w:p>
    <w:p>
      <w:pPr>
        <w:pStyle w:val="Heading1"/>
      </w:pPr>
      <w:r>
        <w:t>14. Prototype UI Structure</w:t>
      </w:r>
    </w:p>
    <w:p>
      <w:pPr>
        <w:pStyle w:val="Heading2"/>
      </w:pPr>
      <w:r>
        <w:t>14.1 Home / Overview</w:t>
      </w:r>
    </w:p>
    <w:p>
      <w:pPr>
        <w:pStyle w:val="ListBullet"/>
        <w:spacing w:after="60"/>
        <w:ind w:left="259"/>
      </w:pPr>
      <w:r>
        <w:t>Project purpose and research context</w:t>
      </w:r>
    </w:p>
    <w:p>
      <w:pPr>
        <w:pStyle w:val="ListBullet"/>
        <w:spacing w:after="60"/>
        <w:ind w:left="259"/>
      </w:pPr>
      <w:r>
        <w:t>System limitations/disclaimer</w:t>
      </w:r>
    </w:p>
    <w:p>
      <w:pPr>
        <w:pStyle w:val="ListBullet"/>
        <w:spacing w:after="60"/>
        <w:ind w:left="259"/>
      </w:pPr>
      <w:r>
        <w:t>Start assessment</w:t>
      </w:r>
    </w:p>
    <w:p>
      <w:pPr>
        <w:pStyle w:val="Heading2"/>
      </w:pPr>
      <w:r>
        <w:t>14.2 Patient Assessment</w:t>
      </w:r>
    </w:p>
    <w:p>
      <w:pPr>
        <w:pStyle w:val="ListBullet"/>
        <w:spacing w:after="60"/>
        <w:ind w:left="259"/>
      </w:pPr>
      <w:r>
        <w:t>Structured patient/vitals form</w:t>
      </w:r>
    </w:p>
    <w:p>
      <w:pPr>
        <w:pStyle w:val="ListBullet"/>
        <w:spacing w:after="60"/>
        <w:ind w:left="259"/>
      </w:pPr>
      <w:r>
        <w:t>Validation feedback</w:t>
      </w:r>
    </w:p>
    <w:p>
      <w:pPr>
        <w:pStyle w:val="ListBullet"/>
        <w:spacing w:after="60"/>
        <w:ind w:left="259"/>
      </w:pPr>
      <w:r>
        <w:t>Run Risk Assessment action</w:t>
      </w:r>
    </w:p>
    <w:p>
      <w:pPr>
        <w:pStyle w:val="Heading2"/>
      </w:pPr>
      <w:r>
        <w:t>14.3 Prediction Dashboard</w:t>
      </w:r>
    </w:p>
    <w:p>
      <w:pPr>
        <w:pStyle w:val="ListBullet"/>
        <w:spacing w:after="60"/>
        <w:ind w:left="259"/>
      </w:pPr>
      <w:r>
        <w:t>Risk category and probability</w:t>
      </w:r>
    </w:p>
    <w:p>
      <w:pPr>
        <w:pStyle w:val="ListBullet"/>
        <w:spacing w:after="60"/>
        <w:ind w:left="259"/>
      </w:pPr>
      <w:r>
        <w:t>Model/version indicator</w:t>
      </w:r>
    </w:p>
    <w:p>
      <w:pPr>
        <w:pStyle w:val="ListBullet"/>
        <w:spacing w:after="60"/>
        <w:ind w:left="259"/>
      </w:pPr>
      <w:r>
        <w:t>Top contributing factors</w:t>
      </w:r>
    </w:p>
    <w:p>
      <w:pPr>
        <w:pStyle w:val="ListBullet"/>
        <w:spacing w:after="60"/>
        <w:ind w:left="259"/>
      </w:pPr>
      <w:r>
        <w:t>SHAP visualization</w:t>
      </w:r>
    </w:p>
    <w:p>
      <w:pPr>
        <w:pStyle w:val="ListBullet"/>
        <w:spacing w:after="60"/>
        <w:ind w:left="259"/>
      </w:pPr>
      <w:r>
        <w:t>Research-use disclaimer</w:t>
      </w:r>
    </w:p>
    <w:p>
      <w:pPr>
        <w:pStyle w:val="Heading2"/>
      </w:pPr>
      <w:r>
        <w:t>14.4 Research / Model Insights</w:t>
      </w:r>
    </w:p>
    <w:p>
      <w:pPr>
        <w:pStyle w:val="ListBullet"/>
        <w:spacing w:after="60"/>
        <w:ind w:left="259"/>
      </w:pPr>
      <w:r>
        <w:t>Evaluation metrics</w:t>
      </w:r>
    </w:p>
    <w:p>
      <w:pPr>
        <w:pStyle w:val="ListBullet"/>
        <w:spacing w:after="60"/>
        <w:ind w:left="259"/>
      </w:pPr>
      <w:r>
        <w:t>Confusion matrix</w:t>
      </w:r>
    </w:p>
    <w:p>
      <w:pPr>
        <w:pStyle w:val="ListBullet"/>
        <w:spacing w:after="60"/>
        <w:ind w:left="259"/>
      </w:pPr>
      <w:r>
        <w:t>Global feature importance</w:t>
      </w:r>
    </w:p>
    <w:p>
      <w:pPr>
        <w:pStyle w:val="ListBullet"/>
        <w:spacing w:after="60"/>
        <w:ind w:left="259"/>
      </w:pPr>
      <w:r>
        <w:t>SHAP summary plot</w:t>
      </w:r>
    </w:p>
    <w:p>
      <w:pPr>
        <w:pStyle w:val="ListBullet"/>
        <w:spacing w:after="60"/>
        <w:ind w:left="259"/>
      </w:pPr>
      <w:r>
        <w:t>Model comparison</w:t>
      </w:r>
    </w:p>
    <w:p>
      <w:pPr>
        <w:pStyle w:val="Heading1"/>
      </w:pPr>
      <w:r>
        <w:t>15. User Stories</w:t>
      </w:r>
    </w:p>
    <w:tbl>
      <w:tblPr>
        <w:tblW w:type="auto" w:w="0"/>
        <w:jc w:val="center"/>
        <w:tblLayout w:type="autofit"/>
        <w:tblLook w:firstColumn="1" w:firstRow="1" w:lastColumn="0" w:lastRow="0" w:noHBand="0" w:noVBand="1" w:val="04A0"/>
      </w:tblPr>
      <w:tblGrid>
        <w:gridCol w:w="2498"/>
        <w:gridCol w:w="2498"/>
        <w:gridCol w:w="2498"/>
        <w:gridCol w:w="2498"/>
      </w:tblGrid>
      <w:tr>
        <w:trPr>
          <w:tblHeader w:val="true"/>
          <w:cantSplit w:val="true"/>
        </w:trPr>
        <w:tc>
          <w:tcPr>
            <w:tcW w:type="dxa" w:w="936"/>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ID</w:t>
            </w:r>
          </w:p>
        </w:tc>
        <w:tc>
          <w:tcPr>
            <w:tcW w:type="dxa" w:w="1440"/>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As a...</w:t>
            </w:r>
          </w:p>
        </w:tc>
        <w:tc>
          <w:tcPr>
            <w:tcW w:type="dxa" w:w="367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I want to...</w:t>
            </w:r>
          </w:p>
        </w:tc>
        <w:tc>
          <w:tcPr>
            <w:tcW w:type="dxa" w:w="439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So that...</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US-01</w:t>
            </w:r>
          </w:p>
        </w:tc>
        <w:tc>
          <w:tcPr>
            <w:tcW w:type="dxa" w:w="144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Clinician</w:t>
            </w:r>
          </w:p>
        </w:tc>
        <w:tc>
          <w:tcPr>
            <w:tcW w:type="dxa" w:w="36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enter patient observations in a simple form</w:t>
            </w:r>
          </w:p>
        </w:tc>
        <w:tc>
          <w:tcPr>
            <w:tcW w:type="dxa" w:w="439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I can obtain an estimated risk quickly.</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US-02</w:t>
            </w:r>
          </w:p>
        </w:tc>
        <w:tc>
          <w:tcPr>
            <w:tcW w:type="dxa" w:w="144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Clinician</w:t>
            </w:r>
          </w:p>
        </w:tc>
        <w:tc>
          <w:tcPr>
            <w:tcW w:type="dxa" w:w="36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see the major factors contributing to a prediction</w:t>
            </w:r>
          </w:p>
        </w:tc>
        <w:tc>
          <w:tcPr>
            <w:tcW w:type="dxa" w:w="439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I can understand the model output.</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US-03</w:t>
            </w:r>
          </w:p>
        </w:tc>
        <w:tc>
          <w:tcPr>
            <w:tcW w:type="dxa" w:w="144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Researcher</w:t>
            </w:r>
          </w:p>
        </w:tc>
        <w:tc>
          <w:tcPr>
            <w:tcW w:type="dxa" w:w="36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compare Random Forest and XGBoost</w:t>
            </w:r>
          </w:p>
        </w:tc>
        <w:tc>
          <w:tcPr>
            <w:tcW w:type="dxa" w:w="439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I can select a model based on evidence.</w:t>
            </w:r>
          </w:p>
        </w:tc>
      </w:tr>
      <w:tr>
        <w:trPr>
          <w:cantSplit w:val="true"/>
        </w:trPr>
        <w:tc>
          <w:tcPr>
            <w:tcW w:type="dxa" w:w="936"/>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US-04</w:t>
            </w:r>
          </w:p>
        </w:tc>
        <w:tc>
          <w:tcPr>
            <w:tcW w:type="dxa" w:w="144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Researcher</w:t>
            </w:r>
          </w:p>
        </w:tc>
        <w:tc>
          <w:tcPr>
            <w:tcW w:type="dxa" w:w="36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inspect local and global explanations</w:t>
            </w:r>
          </w:p>
        </w:tc>
        <w:tc>
          <w:tcPr>
            <w:tcW w:type="dxa" w:w="439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I can study model behavior.</w:t>
            </w:r>
          </w:p>
        </w:tc>
      </w:tr>
      <w:tr>
        <w:trPr>
          <w:cantSplit w:val="true"/>
        </w:trPr>
        <w:tc>
          <w:tcPr>
            <w:tcW w:type="dxa" w:w="936"/>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US-05</w:t>
            </w:r>
          </w:p>
        </w:tc>
        <w:tc>
          <w:tcPr>
            <w:tcW w:type="dxa" w:w="144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Administrator</w:t>
            </w:r>
          </w:p>
        </w:tc>
        <w:tc>
          <w:tcPr>
            <w:tcW w:type="dxa" w:w="36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review the workflow and role boundaries</w:t>
            </w:r>
          </w:p>
        </w:tc>
        <w:tc>
          <w:tcPr>
            <w:tcW w:type="dxa" w:w="439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I can assess future operational feasibility.</w:t>
            </w:r>
          </w:p>
        </w:tc>
      </w:tr>
    </w:tbl>
    <w:p>
      <w:pPr>
        <w:spacing w:after="0"/>
      </w:pPr>
    </w:p>
    <w:p>
      <w:pPr>
        <w:pStyle w:val="Heading1"/>
      </w:pPr>
      <w:r>
        <w:t>16. Risks &amp; Mitigations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val="true"/>
        </w:trPr>
        <w:tc>
          <w:tcPr>
            <w:tcW w:type="dxa" w:w="316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Risk</w:t>
            </w:r>
          </w:p>
        </w:tc>
        <w:tc>
          <w:tcPr>
            <w:tcW w:type="dxa" w:w="115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Impact</w:t>
            </w:r>
          </w:p>
        </w:tc>
        <w:tc>
          <w:tcPr>
            <w:tcW w:type="dxa" w:w="6120"/>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7"/>
              </w:rPr>
              <w:t>Mitigation</w:t>
            </w:r>
          </w:p>
        </w:tc>
      </w:tr>
      <w:tr>
        <w:trPr>
          <w:cantSplit w:val="true"/>
        </w:trPr>
        <w:tc>
          <w:tcPr>
            <w:tcW w:type="dxa" w:w="31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Synthetic data may not reflect real clinical populations</w:t>
            </w:r>
          </w:p>
        </w:tc>
        <w:tc>
          <w:tcPr>
            <w:tcW w:type="dxa" w:w="115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High</w:t>
            </w:r>
          </w:p>
        </w:tc>
        <w:tc>
          <w:tcPr>
            <w:tcW w:type="dxa" w:w="612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Document assumptions; avoid clinical validity claims; plan later external validation.</w:t>
            </w:r>
          </w:p>
        </w:tc>
      </w:tr>
      <w:tr>
        <w:trPr>
          <w:cantSplit w:val="true"/>
        </w:trPr>
        <w:tc>
          <w:tcPr>
            <w:tcW w:type="dxa" w:w="316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Model overfits synthetic patterns</w:t>
            </w:r>
          </w:p>
        </w:tc>
        <w:tc>
          <w:tcPr>
            <w:tcW w:type="dxa" w:w="115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High</w:t>
            </w:r>
          </w:p>
        </w:tc>
        <w:tc>
          <w:tcPr>
            <w:tcW w:type="dxa" w:w="612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Cross-validation, held-out test set, model comparison, and sensitivity analysis.</w:t>
            </w:r>
          </w:p>
        </w:tc>
      </w:tr>
      <w:tr>
        <w:trPr>
          <w:cantSplit w:val="true"/>
        </w:trPr>
        <w:tc>
          <w:tcPr>
            <w:tcW w:type="dxa" w:w="31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High accuracy creates false confidence</w:t>
            </w:r>
          </w:p>
        </w:tc>
        <w:tc>
          <w:tcPr>
            <w:tcW w:type="dxa" w:w="115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High</w:t>
            </w:r>
          </w:p>
        </w:tc>
        <w:tc>
          <w:tcPr>
            <w:tcW w:type="dxa" w:w="612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Emphasize uncertainty and model limitations in UI.</w:t>
            </w:r>
          </w:p>
        </w:tc>
      </w:tr>
      <w:tr>
        <w:trPr>
          <w:cantSplit w:val="true"/>
        </w:trPr>
        <w:tc>
          <w:tcPr>
            <w:tcW w:type="dxa" w:w="316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XAI is interpreted as causality</w:t>
            </w:r>
          </w:p>
        </w:tc>
        <w:tc>
          <w:tcPr>
            <w:tcW w:type="dxa" w:w="115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High</w:t>
            </w:r>
          </w:p>
        </w:tc>
        <w:tc>
          <w:tcPr>
            <w:tcW w:type="dxa" w:w="612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Use precise labels: feature contribution, not cause.</w:t>
            </w:r>
          </w:p>
        </w:tc>
      </w:tr>
      <w:tr>
        <w:trPr>
          <w:cantSplit w:val="true"/>
        </w:trPr>
        <w:tc>
          <w:tcPr>
            <w:tcW w:type="dxa" w:w="31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Class imbalance</w:t>
            </w:r>
          </w:p>
        </w:tc>
        <w:tc>
          <w:tcPr>
            <w:tcW w:type="dxa" w:w="115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Medium</w:t>
            </w:r>
          </w:p>
        </w:tc>
        <w:tc>
          <w:tcPr>
            <w:tcW w:type="dxa" w:w="612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Use appropriate metrics and imbalance-aware evaluation.</w:t>
            </w:r>
          </w:p>
        </w:tc>
      </w:tr>
      <w:tr>
        <w:trPr>
          <w:cantSplit w:val="true"/>
        </w:trPr>
        <w:tc>
          <w:tcPr>
            <w:tcW w:type="dxa" w:w="316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Input errors</w:t>
            </w:r>
          </w:p>
        </w:tc>
        <w:tc>
          <w:tcPr>
            <w:tcW w:type="dxa" w:w="115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Medium</w:t>
            </w:r>
          </w:p>
        </w:tc>
        <w:tc>
          <w:tcPr>
            <w:tcW w:type="dxa" w:w="612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Range validation, type checking, and clear corrective messages.</w:t>
            </w:r>
          </w:p>
        </w:tc>
      </w:tr>
      <w:tr>
        <w:trPr>
          <w:cantSplit w:val="true"/>
        </w:trPr>
        <w:tc>
          <w:tcPr>
            <w:tcW w:type="dxa" w:w="316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Model bias</w:t>
            </w:r>
          </w:p>
        </w:tc>
        <w:tc>
          <w:tcPr>
            <w:tcW w:type="dxa" w:w="115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High</w:t>
            </w:r>
          </w:p>
        </w:tc>
        <w:tc>
          <w:tcPr>
            <w:tcW w:type="dxa" w:w="612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7"/>
              </w:rPr>
              <w:t>Evaluate subgroup behavior in the synthetic data and document limitations.</w:t>
            </w:r>
          </w:p>
        </w:tc>
      </w:tr>
      <w:tr>
        <w:trPr>
          <w:cantSplit w:val="true"/>
        </w:trPr>
        <w:tc>
          <w:tcPr>
            <w:tcW w:type="dxa" w:w="316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Architecture becomes over-engineered</w:t>
            </w:r>
          </w:p>
        </w:tc>
        <w:tc>
          <w:tcPr>
            <w:tcW w:type="dxa" w:w="115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Medium</w:t>
            </w:r>
          </w:p>
        </w:tc>
        <w:tc>
          <w:tcPr>
            <w:tcW w:type="dxa" w:w="612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7"/>
              </w:rPr>
              <w:t>Keep one modular FastAPI backend and avoid premature microservices/Kubernetes.</w:t>
            </w:r>
          </w:p>
        </w:tc>
      </w:tr>
    </w:tbl>
    <w:p>
      <w:pPr>
        <w:spacing w:after="0"/>
      </w:pPr>
    </w:p>
    <w:p>
      <w:pPr>
        <w:pStyle w:val="Heading1"/>
      </w:pPr>
      <w:r>
        <w:t>17. Future Roadmap</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val="true"/>
        </w:trPr>
        <w:tc>
          <w:tcPr>
            <w:tcW w:type="dxa" w:w="2088"/>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Phase</w:t>
            </w:r>
          </w:p>
        </w:tc>
        <w:tc>
          <w:tcPr>
            <w:tcW w:type="dxa" w:w="4680"/>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Scope</w:t>
            </w:r>
          </w:p>
        </w:tc>
        <w:tc>
          <w:tcPr>
            <w:tcW w:type="dxa" w:w="3672"/>
            <w:vAlign w:val="center"/>
            <w:tcBorders>
              <w:top w:val="single" w:sz="6" w:color="B7C5D0"/>
              <w:left w:val="single" w:sz="6" w:color="B7C5D0"/>
              <w:bottom w:val="single" w:sz="6" w:color="B7C5D0"/>
              <w:right w:val="single" w:sz="6" w:color="B7C5D0"/>
            </w:tcBorders>
            <w:shd w:fill="17365D"/>
          </w:tcPr>
          <w:p>
            <w:pPr>
              <w:spacing w:after="40" w:before="0"/>
            </w:pPr>
            <w:r>
              <w:rPr>
                <w:rFonts w:ascii="Aptos" w:hAnsi="Aptos"/>
                <w:b/>
                <w:color w:val="FFFFFF"/>
                <w:sz w:val="16"/>
              </w:rPr>
              <w:t>Outcome</w:t>
            </w:r>
          </w:p>
        </w:tc>
      </w:tr>
      <w:tr>
        <w:trPr>
          <w:cantSplit w:val="true"/>
        </w:trPr>
        <w:tc>
          <w:tcPr>
            <w:tcW w:type="dxa" w:w="208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Phase 1 - Current PoC</w:t>
            </w:r>
          </w:p>
        </w:tc>
        <w:tc>
          <w:tcPr>
            <w:tcW w:type="dxa" w:w="46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Synthetic data, Next.js UI, FastAPI, XGBoost/Random Forest, SHAP, evaluation, cloud deployment.</w:t>
            </w:r>
          </w:p>
        </w:tc>
        <w:tc>
          <w:tcPr>
            <w:tcW w:type="dxa" w:w="36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Working CSIR-facing research demonstrator.</w:t>
            </w:r>
          </w:p>
        </w:tc>
      </w:tr>
      <w:tr>
        <w:trPr>
          <w:cantSplit w:val="true"/>
        </w:trPr>
        <w:tc>
          <w:tcPr>
            <w:tcW w:type="dxa" w:w="208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Phase 2 - API Platform</w:t>
            </w:r>
          </w:p>
        </w:tc>
        <w:tc>
          <w:tcPr>
            <w:tcW w:type="dxa" w:w="46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Formal FastAPI service, versioned inference endpoints, API documentation, external client support.</w:t>
            </w:r>
          </w:p>
        </w:tc>
        <w:tc>
          <w:tcPr>
            <w:tcW w:type="dxa" w:w="36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Reusable prediction API.</w:t>
            </w:r>
          </w:p>
        </w:tc>
      </w:tr>
      <w:tr>
        <w:trPr>
          <w:cantSplit w:val="true"/>
        </w:trPr>
        <w:tc>
          <w:tcPr>
            <w:tcW w:type="dxa" w:w="208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Phase 3 - IoT</w:t>
            </w:r>
          </w:p>
        </w:tc>
        <w:tc>
          <w:tcPr>
            <w:tcW w:type="dxa" w:w="46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Real-time sensor ingestion, streaming architecture, device gateway.</w:t>
            </w:r>
          </w:p>
        </w:tc>
        <w:tc>
          <w:tcPr>
            <w:tcW w:type="dxa" w:w="36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Continuous monitoring research capability.</w:t>
            </w:r>
          </w:p>
        </w:tc>
      </w:tr>
      <w:tr>
        <w:trPr>
          <w:cantSplit w:val="true"/>
        </w:trPr>
        <w:tc>
          <w:tcPr>
            <w:tcW w:type="dxa" w:w="2088"/>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Phase 4 - Clinical Integration</w:t>
            </w:r>
          </w:p>
        </w:tc>
        <w:tc>
          <w:tcPr>
            <w:tcW w:type="dxa" w:w="4680"/>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EHR/HIS/LIS and standardized interoperability after governance review.</w:t>
            </w:r>
          </w:p>
        </w:tc>
        <w:tc>
          <w:tcPr>
            <w:tcW w:type="dxa" w:w="3672"/>
            <w:vAlign w:val="center"/>
            <w:tcBorders>
              <w:top w:val="single" w:sz="6" w:color="B7C5D0"/>
              <w:left w:val="single" w:sz="6" w:color="B7C5D0"/>
              <w:bottom w:val="single" w:sz="6" w:color="B7C5D0"/>
              <w:right w:val="single" w:sz="6" w:color="B7C5D0"/>
            </w:tcBorders>
            <w:shd w:fill="F4F8FB"/>
          </w:tcPr>
          <w:p>
            <w:pPr>
              <w:spacing w:after="40" w:before="0"/>
            </w:pPr>
            <w:r>
              <w:rPr>
                <w:rFonts w:ascii="Aptos" w:hAnsi="Aptos"/>
                <w:sz w:val="16"/>
              </w:rPr>
              <w:t>Potential clinical system integration.</w:t>
            </w:r>
          </w:p>
        </w:tc>
      </w:tr>
      <w:tr>
        <w:trPr>
          <w:cantSplit w:val="true"/>
        </w:trPr>
        <w:tc>
          <w:tcPr>
            <w:tcW w:type="dxa" w:w="2088"/>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Phase 5 - Advanced Research</w:t>
            </w:r>
          </w:p>
        </w:tc>
        <w:tc>
          <w:tcPr>
            <w:tcW w:type="dxa" w:w="4680"/>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Temporal modeling, multimodal data, counterfactual explanations, uncertainty estimation, drift monitoring.</w:t>
            </w:r>
          </w:p>
        </w:tc>
        <w:tc>
          <w:tcPr>
            <w:tcW w:type="dxa" w:w="3672"/>
            <w:vAlign w:val="center"/>
            <w:tcBorders>
              <w:top w:val="single" w:sz="6" w:color="B7C5D0"/>
              <w:left w:val="single" w:sz="6" w:color="B7C5D0"/>
              <w:bottom w:val="single" w:sz="6" w:color="B7C5D0"/>
              <w:right w:val="single" w:sz="6" w:color="B7C5D0"/>
            </w:tcBorders>
          </w:tcPr>
          <w:p>
            <w:pPr>
              <w:spacing w:after="40" w:before="0"/>
            </w:pPr>
            <w:r>
              <w:rPr>
                <w:rFonts w:ascii="Aptos" w:hAnsi="Aptos"/>
                <w:sz w:val="16"/>
              </w:rPr>
              <w:t>Research platform for advanced clinical AI studies.</w:t>
            </w:r>
          </w:p>
        </w:tc>
      </w:tr>
    </w:tbl>
    <w:p>
      <w:pPr>
        <w:spacing w:after="0"/>
      </w:pPr>
    </w:p>
    <w:p>
      <w:pPr>
        <w:pStyle w:val="Heading1"/>
      </w:pPr>
      <w:r>
        <w:t>18. Acceptance Criteria for CSIR Demonstration</w:t>
      </w:r>
    </w:p>
    <w:p>
      <w:pPr>
        <w:pStyle w:val="ListBullet"/>
        <w:spacing w:after="60"/>
        <w:ind w:left="259"/>
      </w:pPr>
      <w:r>
        <w:t>A user can enter valid synthetic patient data and obtain a prediction without technical intervention.</w:t>
      </w:r>
    </w:p>
    <w:p>
      <w:pPr>
        <w:pStyle w:val="ListBullet"/>
        <w:spacing w:after="60"/>
        <w:ind w:left="259"/>
      </w:pPr>
      <w:r>
        <w:t>Invalid inputs are identified clearly and do not crash the application.</w:t>
      </w:r>
    </w:p>
    <w:p>
      <w:pPr>
        <w:pStyle w:val="ListBullet"/>
        <w:spacing w:after="60"/>
        <w:ind w:left="259"/>
      </w:pPr>
      <w:r>
        <w:t>A trained model generates a probability/score and risk class.</w:t>
      </w:r>
    </w:p>
    <w:p>
      <w:pPr>
        <w:pStyle w:val="ListBullet"/>
        <w:spacing w:after="60"/>
        <w:ind w:left="259"/>
      </w:pPr>
      <w:r>
        <w:t>Every prediction has an associated SHAP explanation.</w:t>
      </w:r>
    </w:p>
    <w:p>
      <w:pPr>
        <w:pStyle w:val="ListBullet"/>
        <w:spacing w:after="60"/>
        <w:ind w:left="259"/>
      </w:pPr>
      <w:r>
        <w:t>Research users can access formal model evaluation metrics.</w:t>
      </w:r>
    </w:p>
    <w:p>
      <w:pPr>
        <w:pStyle w:val="ListBullet"/>
        <w:spacing w:after="60"/>
        <w:ind w:left="259"/>
      </w:pPr>
      <w:r>
        <w:t>The system records model/data version information needed for reproducibility.</w:t>
      </w:r>
    </w:p>
    <w:p>
      <w:pPr>
        <w:pStyle w:val="ListBullet"/>
        <w:spacing w:after="60"/>
        <w:ind w:left="259"/>
      </w:pPr>
      <w:r>
        <w:t>The interface visibly states that the output is research decision support, not a diagnosis.</w:t>
      </w:r>
    </w:p>
    <w:p>
      <w:pPr>
        <w:pStyle w:val="ListBullet"/>
        <w:spacing w:after="60"/>
        <w:ind w:left="259"/>
      </w:pPr>
      <w:r>
        <w:t>No real patient data is used in the demonstrator.</w:t>
      </w:r>
    </w:p>
    <w:p>
      <w:pPr>
        <w:pStyle w:val="Heading1"/>
      </w:pPr>
      <w:r>
        <w:t>19. Product Principles</w:t>
      </w:r>
    </w:p>
    <w:p>
      <w:pPr>
        <w:pStyle w:val="ListBullet"/>
        <w:spacing w:after="60"/>
        <w:ind w:left="259"/>
      </w:pPr>
      <w:r>
        <w:t>Human-centered: AI assists rather than replaces clinical expertise.</w:t>
      </w:r>
    </w:p>
    <w:p>
      <w:pPr>
        <w:pStyle w:val="ListBullet"/>
        <w:spacing w:after="60"/>
        <w:ind w:left="259"/>
      </w:pPr>
      <w:r>
        <w:t>Explainable by design: every prediction should be accompanied by interpretable evidence.</w:t>
      </w:r>
    </w:p>
    <w:p>
      <w:pPr>
        <w:pStyle w:val="ListBullet"/>
        <w:spacing w:after="60"/>
        <w:ind w:left="259"/>
      </w:pPr>
      <w:r>
        <w:t>Evidence-oriented: performance claims must be measurable and reproducible.</w:t>
      </w:r>
    </w:p>
    <w:p>
      <w:pPr>
        <w:pStyle w:val="ListBullet"/>
        <w:spacing w:after="60"/>
        <w:ind w:left="259"/>
      </w:pPr>
      <w:r>
        <w:t>Research-ready: assumptions, versions, datasets, and evaluation procedures should be documented.</w:t>
      </w:r>
    </w:p>
    <w:p>
      <w:pPr>
        <w:pStyle w:val="ListBullet"/>
        <w:spacing w:after="60"/>
        <w:ind w:left="259"/>
      </w:pPr>
      <w:r>
        <w:t>Clinically responsible: the prototype must communicate limitations and avoid overstating model capabilities.</w:t>
      </w:r>
    </w:p>
    <w:p>
      <w:pPr>
        <w:pStyle w:val="Heading1"/>
      </w:pPr>
      <w:r>
        <w:t>20. Final Product Definition</w:t>
      </w:r>
    </w:p>
    <w:p>
      <w:r>
        <w:t>The Healthcare Clinical Decision Support System is a research-focused ML + XAI platform that demonstrates a practical bridge between machine-learning algorithms and simplified clinical workflows. Its defining interaction is: enter clinically relevant patient data, estimate disease risk, and explain the prediction in an interpretable way.</w:t>
      </w:r>
    </w:p>
    <w:p>
      <w:r>
        <w:t>The PoC intentionally limits operational complexity by excluding real patient data, hospital integration, autonomous diagnosis, and production clinical deployment. This keeps the research focus on the central question: can machine-learning-based clinical risk prediction become more useful and trustworthy when its outputs are transparent and explainable?</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Research Prototype | CSIR-facing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7"/>
      </w:rPr>
      <w:t>Healthcare Clinical Decision Support System -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