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512004769"/>
      </w:sdtPr>
      <w:sdtContent>
        <w:p>
          <w:pPr>
            <w:pStyle w:val="Normal"/>
            <w:spacing w:before="60" w:after="60"/>
            <w:rPr>
              <w:rFonts w:cs="Calibri" w:cstheme="minorHAnsi"/>
            </w:rPr>
          </w:pPr>
          <w:r>
            <w:rPr>
              <w:rFonts w:cs="Calibri" w:cstheme="minorHAnsi"/>
            </w:rPr>
          </w:r>
          <w:bookmarkStart w:id="0" w:name="_Hlk519872131"/>
          <w:bookmarkStart w:id="1" w:name="_Hlk519872131"/>
          <w:bookmarkEnd w:id="1"/>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Title"/>
            <w:jc w:val="both"/>
            <w:rPr>
              <w:rFonts w:ascii="Calibri" w:hAnsi="Calibri" w:cs="Calibri" w:asciiTheme="minorHAnsi" w:cstheme="minorHAnsi" w:hAnsiTheme="minorHAnsi"/>
              <w:color w:val="7F7F7F" w:themeColor="text1" w:themeTint="80"/>
            </w:rPr>
          </w:pPr>
          <w:r>
            <w:rPr>
              <w:rFonts w:cs="Calibri" w:cstheme="minorHAnsi" w:ascii="Calibri" w:hAnsi="Calibri"/>
              <w:color w:val="7F7F7F" w:themeColor="text1" w:themeTint="80"/>
            </w:rPr>
          </w:r>
        </w:p>
        <w:p>
          <w:pPr>
            <w:pStyle w:val="Normal"/>
            <w:rPr>
              <w:lang w:val="en-GB"/>
            </w:rPr>
          </w:pPr>
          <w:r>
            <w:rPr/>
            <w:drawing>
              <wp:inline distT="0" distB="0" distL="0" distR="0">
                <wp:extent cx="5731510" cy="118999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731510" cy="1189990"/>
                        </a:xfrm>
                        <a:prstGeom prst="rect">
                          <a:avLst/>
                        </a:prstGeom>
                      </pic:spPr>
                    </pic:pic>
                  </a:graphicData>
                </a:graphic>
              </wp:inline>
            </w:drawing>
          </w:r>
        </w:p>
        <w:p>
          <w:pPr>
            <w:pStyle w:val="Title"/>
            <w:rPr>
              <w:rFonts w:ascii="Calibri" w:hAnsi="Calibri" w:cs="Calibri" w:asciiTheme="minorHAnsi" w:cstheme="minorHAnsi" w:hAnsiTheme="minorHAnsi"/>
              <w:color w:val="7F7F7F" w:themeColor="text1" w:themeTint="80"/>
              <w:sz w:val="20"/>
              <w:szCs w:val="20"/>
            </w:rPr>
          </w:pPr>
          <w:r>
            <w:rPr>
              <w:rFonts w:cs="Calibri" w:cstheme="minorHAnsi" w:ascii="Calibri" w:hAnsi="Calibri"/>
              <w:color w:val="7F7F7F" w:themeColor="text1" w:themeTint="80"/>
              <w:sz w:val="20"/>
              <w:szCs w:val="20"/>
            </w:rPr>
          </w:r>
        </w:p>
        <w:p>
          <w:pPr>
            <w:pStyle w:val="Title"/>
            <w:rPr>
              <w:rFonts w:ascii="Calibri" w:hAnsi="Calibri" w:cs="Calibri" w:asciiTheme="minorHAnsi" w:cstheme="minorHAnsi" w:hAnsiTheme="minorHAnsi"/>
              <w:color w:val="7F7F7F" w:themeColor="text1" w:themeTint="80"/>
              <w:sz w:val="40"/>
              <w:szCs w:val="40"/>
            </w:rPr>
          </w:pPr>
          <w:r>
            <w:rPr>
              <w:rFonts w:cs="Calibri" w:cstheme="minorHAnsi" w:ascii="Calibri" w:hAnsi="Calibri"/>
              <w:color w:val="7F7F7F" w:themeColor="text1" w:themeTint="80"/>
              <w:sz w:val="40"/>
              <w:szCs w:val="40"/>
            </w:rPr>
          </w:r>
        </w:p>
        <w:p>
          <w:pPr>
            <w:pStyle w:val="Title"/>
            <w:rPr>
              <w:rFonts w:ascii="Calibri" w:hAnsi="Calibri" w:cs="Calibri" w:asciiTheme="minorHAnsi" w:cstheme="minorHAnsi" w:hAnsiTheme="minorHAnsi"/>
              <w:color w:val="7F7F7F" w:themeColor="text1" w:themeTint="80"/>
              <w:sz w:val="56"/>
              <w:lang w:val="en-US"/>
            </w:rPr>
          </w:pPr>
          <w:commentRangeStart w:id="0"/>
          <w:r>
            <w:rPr>
              <w:rFonts w:cs="Calibri" w:ascii="Calibri" w:hAnsi="Calibri" w:asciiTheme="minorHAnsi" w:cstheme="minorHAnsi" w:hAnsiTheme="minorHAnsi"/>
              <w:color w:val="7F7F7F" w:themeColor="text1" w:themeTint="80"/>
              <w:sz w:val="56"/>
              <w:lang w:val="en-US"/>
            </w:rPr>
            <w:t>Draft WP5 | Detailed Workplan</w:t>
          </w:r>
          <w:commentRangeEnd w:id="0"/>
          <w:r>
            <w:commentReference w:id="0"/>
          </w:r>
          <w:r>
            <w:rPr>
              <w:rFonts w:cs="Calibri" w:ascii="Calibri" w:hAnsi="Calibri" w:asciiTheme="minorHAnsi" w:cstheme="minorHAnsi" w:hAnsiTheme="minorHAnsi"/>
              <w:color w:val="7F7F7F" w:themeColor="text1" w:themeTint="80"/>
              <w:sz w:val="56"/>
              <w:lang w:val="en-US"/>
            </w:rPr>
          </w:r>
        </w:p>
        <w:p>
          <w:pPr>
            <w:pStyle w:val="Normal"/>
            <w:jc w:val="center"/>
            <w:rPr>
              <w:b/>
              <w:b/>
              <w:color w:val="C00000"/>
            </w:rPr>
          </w:pPr>
          <w:r>
            <w:rPr>
              <w:b/>
              <w:color w:val="C00000"/>
            </w:rPr>
            <w:t>Version 09 | 31 Mar. 2021</w:t>
          </w:r>
        </w:p>
        <w:p>
          <w:pPr>
            <w:pStyle w:val="Normal"/>
            <w:spacing w:lineRule="auto" w:line="259" w:before="0" w:after="160"/>
            <w:jc w:val="left"/>
            <w:rPr>
              <w:rFonts w:cs="Calibri" w:cstheme="minorHAnsi"/>
            </w:rPr>
          </w:pPr>
          <w:r>
            <w:rPr>
              <w:rFonts w:cs="Calibri" w:cstheme="minorHAnsi"/>
            </w:rPr>
          </w:r>
        </w:p>
      </w:sdtContent>
    </w:sdt>
    <w:p>
      <w:pPr>
        <w:pStyle w:val="Normal"/>
        <w:spacing w:lineRule="auto" w:line="259" w:before="0" w:after="160"/>
        <w:jc w:val="left"/>
        <w:rPr/>
      </w:pPr>
      <w:r>
        <w:rPr/>
        <w:t xml:space="preserve">Acronym </w:t>
      </w:r>
      <w:bookmarkStart w:id="2" w:name="_Toc440011155"/>
      <w:bookmarkStart w:id="3" w:name="_Toc440011433"/>
      <w:bookmarkEnd w:id="2"/>
      <w:bookmarkEnd w:id="3"/>
    </w:p>
    <w:tbl>
      <w:tblPr>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82"/>
        <w:gridCol w:w="7543"/>
      </w:tblGrid>
      <w:tr>
        <w:trPr/>
        <w:tc>
          <w:tcPr>
            <w:tcW w:w="1482" w:type="dxa"/>
            <w:tcBorders/>
          </w:tcPr>
          <w:p>
            <w:pPr>
              <w:pStyle w:val="Normal"/>
              <w:widowControl w:val="false"/>
              <w:spacing w:before="60" w:after="120"/>
              <w:rPr>
                <w:rFonts w:cs="Calibri" w:cstheme="minorHAnsi"/>
                <w:lang w:val="en-GB"/>
              </w:rPr>
            </w:pPr>
            <w:r>
              <w:rPr>
                <w:rFonts w:cs="Calibri" w:cstheme="minorHAnsi"/>
                <w:lang w:val="en-GB"/>
              </w:rPr>
              <w:t>DoA</w:t>
            </w:r>
          </w:p>
        </w:tc>
        <w:tc>
          <w:tcPr>
            <w:tcW w:w="7543" w:type="dxa"/>
            <w:tcBorders/>
          </w:tcPr>
          <w:p>
            <w:pPr>
              <w:pStyle w:val="Normal"/>
              <w:widowControl w:val="false"/>
              <w:spacing w:before="60" w:after="120"/>
              <w:rPr>
                <w:rFonts w:cs="Calibri" w:cstheme="minorHAnsi"/>
                <w:lang w:val="en-GB"/>
              </w:rPr>
            </w:pPr>
            <w:r>
              <w:rPr>
                <w:rFonts w:cs="Calibri" w:cstheme="minorHAnsi"/>
                <w:lang w:val="en-GB"/>
              </w:rPr>
              <w:t>Description of Action</w:t>
            </w:r>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GA</w:t>
            </w:r>
          </w:p>
        </w:tc>
        <w:tc>
          <w:tcPr>
            <w:tcW w:w="7543" w:type="dxa"/>
            <w:tcBorders/>
          </w:tcPr>
          <w:p>
            <w:pPr>
              <w:pStyle w:val="Normal"/>
              <w:widowControl w:val="false"/>
              <w:spacing w:before="60" w:after="120"/>
              <w:rPr>
                <w:rFonts w:cs="Calibri" w:cstheme="minorHAnsi"/>
                <w:lang w:val="en-GB"/>
              </w:rPr>
            </w:pPr>
            <w:r>
              <w:rPr>
                <w:rFonts w:cs="Calibri" w:cstheme="minorHAnsi"/>
                <w:lang w:val="en-GB"/>
              </w:rPr>
              <w:t>Grant Agreement</w:t>
            </w:r>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MS</w:t>
            </w:r>
          </w:p>
        </w:tc>
        <w:tc>
          <w:tcPr>
            <w:tcW w:w="7543" w:type="dxa"/>
            <w:tcBorders/>
          </w:tcPr>
          <w:p>
            <w:pPr>
              <w:pStyle w:val="Normal"/>
              <w:widowControl w:val="false"/>
              <w:spacing w:before="60" w:after="120"/>
              <w:rPr>
                <w:rFonts w:cs="Calibri" w:cstheme="minorHAnsi"/>
                <w:lang w:val="en-GB"/>
              </w:rPr>
            </w:pPr>
            <w:r>
              <w:rPr>
                <w:rFonts w:cs="Calibri" w:cstheme="minorHAnsi"/>
                <w:lang w:val="en-GB"/>
              </w:rPr>
              <w:t>Milestone</w:t>
            </w:r>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M&amp;E</w:t>
            </w:r>
          </w:p>
        </w:tc>
        <w:tc>
          <w:tcPr>
            <w:tcW w:w="7543" w:type="dxa"/>
            <w:tcBorders/>
          </w:tcPr>
          <w:p>
            <w:pPr>
              <w:pStyle w:val="Normal"/>
              <w:widowControl w:val="false"/>
              <w:spacing w:before="60" w:after="120"/>
              <w:rPr>
                <w:rFonts w:cs="Calibri" w:cstheme="minorHAnsi"/>
                <w:lang w:val="en-GB"/>
              </w:rPr>
            </w:pPr>
            <w:r>
              <w:rPr>
                <w:rFonts w:cs="Calibri" w:cstheme="minorHAnsi"/>
                <w:lang w:val="en-GB"/>
              </w:rPr>
              <w:t xml:space="preserve">Monitoring &amp; Evaluation </w:t>
            </w:r>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O&amp;F</w:t>
            </w:r>
          </w:p>
        </w:tc>
        <w:tc>
          <w:tcPr>
            <w:tcW w:w="7543" w:type="dxa"/>
            <w:tcBorders/>
          </w:tcPr>
          <w:p>
            <w:pPr>
              <w:pStyle w:val="Normal"/>
              <w:widowControl w:val="false"/>
              <w:spacing w:before="60" w:after="120"/>
              <w:rPr>
                <w:rFonts w:cs="Calibri" w:cstheme="minorHAnsi"/>
                <w:lang w:val="en-GB"/>
              </w:rPr>
            </w:pPr>
            <w:r>
              <w:rPr>
                <w:rFonts w:cs="Calibri" w:cstheme="minorHAnsi"/>
                <w:lang w:val="en-GB"/>
              </w:rPr>
              <w:t xml:space="preserve">Organisational &amp; Funding </w:t>
            </w:r>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tbd</w:t>
            </w:r>
          </w:p>
        </w:tc>
        <w:tc>
          <w:tcPr>
            <w:tcW w:w="7543" w:type="dxa"/>
            <w:tcBorders/>
          </w:tcPr>
          <w:p>
            <w:pPr>
              <w:pStyle w:val="Normal"/>
              <w:widowControl w:val="false"/>
              <w:spacing w:before="60" w:after="120"/>
              <w:rPr>
                <w:rFonts w:cs="Calibri" w:cstheme="minorHAnsi"/>
                <w:lang w:val="en-GB"/>
              </w:rPr>
            </w:pPr>
            <w:r>
              <w:rPr>
                <w:rFonts w:cs="Calibri" w:cstheme="minorHAnsi"/>
                <w:lang w:val="en-GB"/>
              </w:rPr>
              <w:t>to be determined</w:t>
            </w:r>
          </w:p>
        </w:tc>
      </w:tr>
      <w:tr>
        <w:trPr>
          <w:trHeight w:val="80" w:hRule="atLeast"/>
        </w:trPr>
        <w:tc>
          <w:tcPr>
            <w:tcW w:w="1482" w:type="dxa"/>
            <w:tcBorders/>
          </w:tcPr>
          <w:p>
            <w:pPr>
              <w:pStyle w:val="Normal"/>
              <w:widowControl w:val="false"/>
              <w:spacing w:before="60" w:after="120"/>
              <w:rPr>
                <w:rFonts w:cs="Calibri" w:cstheme="minorHAnsi"/>
                <w:lang w:val="en-GB"/>
              </w:rPr>
            </w:pPr>
            <w:r>
              <w:rPr>
                <w:rFonts w:cs="Calibri" w:cstheme="minorHAnsi"/>
                <w:lang w:val="en-GB"/>
              </w:rPr>
              <w:t xml:space="preserve">WP </w:t>
            </w:r>
          </w:p>
        </w:tc>
        <w:tc>
          <w:tcPr>
            <w:tcW w:w="7543" w:type="dxa"/>
            <w:tcBorders/>
          </w:tcPr>
          <w:p>
            <w:pPr>
              <w:pStyle w:val="Normal"/>
              <w:widowControl w:val="false"/>
              <w:spacing w:before="60" w:after="120"/>
              <w:rPr>
                <w:rFonts w:cs="Calibri" w:cstheme="minorHAnsi"/>
                <w:lang w:val="en-GB"/>
              </w:rPr>
            </w:pPr>
            <w:r>
              <w:rPr>
                <w:rFonts w:cs="Calibri" w:cstheme="minorHAnsi"/>
                <w:lang w:val="en-GB"/>
              </w:rPr>
              <w:t>Work Package</w:t>
            </w:r>
          </w:p>
        </w:tc>
      </w:tr>
    </w:tbl>
    <w:p>
      <w:pPr>
        <w:pStyle w:val="Normal"/>
        <w:spacing w:lineRule="auto" w:line="259" w:before="0" w:after="160"/>
        <w:jc w:val="left"/>
        <w:rPr>
          <w:rFonts w:cs="Calibri" w:cstheme="minorHAnsi"/>
          <w:lang w:val="en-GB"/>
        </w:rPr>
      </w:pPr>
      <w:r>
        <w:rPr>
          <w:rFonts w:cs="Calibri" w:cstheme="minorHAnsi"/>
          <w:lang w:val="en-GB"/>
        </w:rPr>
        <w:t xml:space="preserve">  </w:t>
      </w:r>
    </w:p>
    <w:p>
      <w:pPr>
        <w:pStyle w:val="Normal"/>
        <w:jc w:val="left"/>
        <w:rPr>
          <w:rFonts w:cs="Arial"/>
          <w:sz w:val="18"/>
          <w:szCs w:val="18"/>
          <w:lang w:val="en-GB"/>
        </w:rPr>
      </w:pPr>
      <w:r>
        <w:rPr>
          <w:rFonts w:cs="Arial"/>
          <w:sz w:val="18"/>
          <w:szCs w:val="18"/>
          <w:lang w:val="en-GB"/>
        </w:rPr>
      </w:r>
    </w:p>
    <w:p>
      <w:pPr>
        <w:pStyle w:val="Normal"/>
        <w:spacing w:lineRule="auto" w:line="259" w:before="0" w:after="160"/>
        <w:jc w:val="left"/>
        <w:rPr>
          <w:b/>
          <w:b/>
          <w:bCs/>
          <w:color w:val="595959" w:themeColor="text1" w:themeTint="a6"/>
          <w:sz w:val="26"/>
          <w:szCs w:val="26"/>
          <w:lang w:val="en-GB"/>
        </w:rPr>
      </w:pPr>
      <w:r>
        <w:rPr>
          <w:b/>
          <w:bCs/>
          <w:color w:val="595959" w:themeColor="text1" w:themeTint="a6"/>
          <w:sz w:val="26"/>
          <w:szCs w:val="26"/>
          <w:lang w:val="en-GB"/>
        </w:rPr>
      </w:r>
      <w:bookmarkStart w:id="4" w:name="_Toc64621545"/>
      <w:bookmarkStart w:id="5" w:name="_Toc64621545"/>
      <w:r>
        <w:br w:type="page"/>
      </w:r>
    </w:p>
    <w:p>
      <w:pPr>
        <w:pStyle w:val="Heading2"/>
        <w:rPr/>
      </w:pPr>
      <w:bookmarkStart w:id="6" w:name="_Toc64621545"/>
      <w:r>
        <w:rPr/>
        <w:t>Description of WP5 - Long-term Perspective</w:t>
      </w:r>
      <w:bookmarkEnd w:id="6"/>
    </w:p>
    <w:p>
      <w:pPr>
        <w:pStyle w:val="Normal"/>
        <w:rPr>
          <w:lang w:val="en-GB"/>
        </w:rPr>
      </w:pPr>
      <w:r>
        <w:rPr>
          <w:lang w:val="en-GB"/>
        </w:rPr>
        <w:t xml:space="preserve">Start date: </w:t>
      </w:r>
      <w:r>
        <w:rPr>
          <w:rFonts w:cs="Calibri" w:cstheme="minorHAnsi"/>
          <w:iCs/>
          <w:u w:val="single"/>
        </w:rPr>
        <w:t xml:space="preserve">M3 (Dec. 2020) </w:t>
      </w:r>
      <w:r>
        <w:rPr>
          <w:lang w:val="en-GB"/>
        </w:rPr>
        <w:t>; End date:</w:t>
      </w:r>
      <w:r>
        <w:rPr>
          <w:iCs/>
          <w:u w:val="single"/>
          <w:lang w:val="en-GB"/>
        </w:rPr>
        <w:t xml:space="preserve"> M63 (Dec. 2025)</w:t>
      </w:r>
    </w:p>
    <w:p>
      <w:pPr>
        <w:pStyle w:val="Normal"/>
        <w:jc w:val="left"/>
        <w:rPr>
          <w:b/>
          <w:b/>
          <w:lang w:val="en-GB"/>
        </w:rPr>
      </w:pPr>
      <w:r>
        <w:rPr>
          <w:b/>
          <w:lang w:val="en-GB"/>
        </w:rPr>
        <w:t xml:space="preserve">Work Package Leader- co-Leader: </w:t>
      </w:r>
    </w:p>
    <w:p>
      <w:pPr>
        <w:pStyle w:val="ListParagraph"/>
        <w:numPr>
          <w:ilvl w:val="0"/>
          <w:numId w:val="2"/>
        </w:numPr>
        <w:jc w:val="left"/>
        <w:rPr>
          <w:szCs w:val="20"/>
          <w:lang w:val="en-GB"/>
        </w:rPr>
      </w:pPr>
      <w:r>
        <w:rPr>
          <w:szCs w:val="20"/>
          <w:lang w:val="en-GB"/>
        </w:rPr>
        <w:t>Mr Abdellatif Zerga &amp; Mr Erick Tambo | Pan African University Water and Energy Science (</w:t>
      </w:r>
      <w:r>
        <w:rPr>
          <w:b/>
          <w:szCs w:val="20"/>
          <w:lang w:val="en-GB"/>
        </w:rPr>
        <w:t>PAUWES</w:t>
      </w:r>
      <w:r>
        <w:rPr>
          <w:szCs w:val="20"/>
          <w:lang w:val="en-GB"/>
        </w:rPr>
        <w:t>)</w:t>
      </w:r>
    </w:p>
    <w:p>
      <w:pPr>
        <w:pStyle w:val="ListParagraph"/>
        <w:numPr>
          <w:ilvl w:val="0"/>
          <w:numId w:val="2"/>
        </w:numPr>
        <w:jc w:val="left"/>
        <w:rPr>
          <w:szCs w:val="20"/>
          <w:lang w:val="en-GB"/>
        </w:rPr>
      </w:pPr>
      <w:bookmarkStart w:id="7" w:name="_Hlk65010046"/>
      <w:r>
        <w:rPr>
          <w:szCs w:val="20"/>
          <w:lang w:val="en-GB"/>
        </w:rPr>
        <w:t>Mr Stefan A. Haffner | German Aerospace Center (</w:t>
      </w:r>
      <w:r>
        <w:rPr>
          <w:b/>
          <w:szCs w:val="20"/>
          <w:lang w:val="en-GB"/>
        </w:rPr>
        <w:t>DLR</w:t>
      </w:r>
      <w:r>
        <w:rPr>
          <w:szCs w:val="20"/>
          <w:lang w:val="en-GB"/>
        </w:rPr>
        <w:t>)</w:t>
      </w:r>
      <w:bookmarkEnd w:id="7"/>
    </w:p>
    <w:p>
      <w:pPr>
        <w:pStyle w:val="Normal"/>
        <w:jc w:val="left"/>
        <w:rPr>
          <w:b/>
          <w:b/>
          <w:lang w:val="en-GB"/>
        </w:rPr>
      </w:pPr>
      <w:r>
        <w:rPr>
          <w:b/>
          <w:lang w:val="en-GB"/>
        </w:rPr>
      </w:r>
    </w:p>
    <w:p>
      <w:pPr>
        <w:pStyle w:val="Normal"/>
        <w:jc w:val="left"/>
        <w:rPr>
          <w:b/>
          <w:b/>
          <w:lang w:val="en-GB"/>
        </w:rPr>
      </w:pPr>
      <w:r>
        <w:rPr>
          <w:b/>
          <w:lang w:val="en-GB"/>
        </w:rPr>
        <w:t>All Partners in the Work Package</w:t>
      </w:r>
    </w:p>
    <w:tbl>
      <w:tblPr>
        <w:tblW w:w="100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9"/>
        <w:gridCol w:w="3856"/>
        <w:gridCol w:w="1275"/>
        <w:gridCol w:w="964"/>
        <w:gridCol w:w="2580"/>
        <w:gridCol w:w="793"/>
        <w:gridCol w:w="24"/>
      </w:tblGrid>
      <w:tr>
        <w:trPr>
          <w:tblHeader w:val="true"/>
        </w:trPr>
        <w:tc>
          <w:tcPr>
            <w:tcW w:w="539" w:type="dxa"/>
            <w:tcBorders>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sz w:val="24"/>
                <w:szCs w:val="24"/>
                <w:lang w:eastAsia="de-DE"/>
              </w:rPr>
            </w:pPr>
            <w:bookmarkStart w:id="8" w:name="_Hlk65015624"/>
            <w:bookmarkEnd w:id="8"/>
            <w:r>
              <w:rPr>
                <w:rFonts w:cs="Calibri" w:cstheme="minorHAnsi"/>
                <w:b/>
                <w:bCs/>
                <w:color w:val="000000"/>
                <w:sz w:val="20"/>
                <w:szCs w:val="20"/>
                <w:lang w:eastAsia="de-DE"/>
              </w:rPr>
              <w:t>No</w:t>
            </w:r>
          </w:p>
        </w:tc>
        <w:tc>
          <w:tcPr>
            <w:tcW w:w="3856"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sz w:val="24"/>
                <w:szCs w:val="24"/>
                <w:lang w:eastAsia="de-DE"/>
              </w:rPr>
            </w:pPr>
            <w:r>
              <w:rPr>
                <w:rFonts w:cs="Calibri" w:cstheme="minorHAnsi"/>
                <w:b/>
                <w:bCs/>
                <w:color w:val="000000"/>
                <w:sz w:val="20"/>
                <w:szCs w:val="20"/>
                <w:lang w:eastAsia="de-DE"/>
              </w:rPr>
              <w:t>Name</w:t>
            </w:r>
          </w:p>
        </w:tc>
        <w:tc>
          <w:tcPr>
            <w:tcW w:w="1275"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sz w:val="24"/>
                <w:szCs w:val="24"/>
                <w:lang w:eastAsia="de-DE"/>
              </w:rPr>
            </w:pPr>
            <w:r>
              <w:rPr>
                <w:rFonts w:cs="Calibri" w:cstheme="minorHAnsi"/>
                <w:b/>
                <w:bCs/>
                <w:color w:val="000000"/>
                <w:sz w:val="20"/>
                <w:szCs w:val="20"/>
                <w:lang w:eastAsia="de-DE"/>
              </w:rPr>
              <w:t>Short name</w:t>
            </w:r>
          </w:p>
        </w:tc>
        <w:tc>
          <w:tcPr>
            <w:tcW w:w="964"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sz w:val="24"/>
                <w:szCs w:val="24"/>
                <w:lang w:eastAsia="de-DE"/>
              </w:rPr>
            </w:pPr>
            <w:r>
              <w:rPr>
                <w:rFonts w:cs="Calibri" w:cstheme="minorHAnsi"/>
                <w:b/>
                <w:bCs/>
                <w:color w:val="000000"/>
                <w:sz w:val="20"/>
                <w:szCs w:val="20"/>
                <w:lang w:eastAsia="de-DE"/>
              </w:rPr>
              <w:t>Country</w:t>
            </w:r>
          </w:p>
        </w:tc>
        <w:tc>
          <w:tcPr>
            <w:tcW w:w="2580"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b/>
                <w:b/>
                <w:bCs/>
                <w:color w:val="000000"/>
                <w:sz w:val="20"/>
                <w:szCs w:val="20"/>
                <w:lang w:eastAsia="de-DE"/>
              </w:rPr>
            </w:pPr>
            <w:r>
              <w:rPr>
                <w:rFonts w:cs="Calibri" w:cstheme="minorHAnsi"/>
                <w:b/>
                <w:bCs/>
                <w:color w:val="000000"/>
                <w:sz w:val="20"/>
                <w:szCs w:val="20"/>
                <w:lang w:eastAsia="de-DE"/>
              </w:rPr>
              <w:t>Main Contact Person</w:t>
            </w:r>
          </w:p>
        </w:tc>
        <w:tc>
          <w:tcPr>
            <w:tcW w:w="793" w:type="dxa"/>
            <w:tcBorders>
              <w:left w:val="single" w:sz="4" w:space="0" w:color="000000"/>
              <w:bottom w:val="single" w:sz="4" w:space="0" w:color="000000"/>
              <w:right w:val="single" w:sz="4" w:space="0" w:color="000000"/>
            </w:tcBorders>
            <w:shd w:color="auto" w:fill="F2F2F2" w:themeFill="background1" w:themeFillShade="f2" w:val="clear"/>
          </w:tcPr>
          <w:p>
            <w:pPr>
              <w:pStyle w:val="Normal"/>
              <w:widowControl w:val="false"/>
              <w:spacing w:before="60" w:after="0"/>
              <w:jc w:val="center"/>
              <w:rPr>
                <w:rFonts w:cs="Calibri" w:cstheme="minorHAnsi"/>
                <w:b/>
                <w:b/>
                <w:bCs/>
                <w:color w:val="000000"/>
                <w:sz w:val="20"/>
                <w:szCs w:val="20"/>
                <w:lang w:eastAsia="de-DE"/>
              </w:rPr>
            </w:pPr>
            <w:r>
              <w:rPr>
                <w:rFonts w:cs="Calibri" w:cstheme="minorHAnsi"/>
                <w:b/>
                <w:bCs/>
                <w:color w:val="000000"/>
                <w:sz w:val="20"/>
                <w:szCs w:val="20"/>
                <w:lang w:eastAsia="de-DE"/>
              </w:rPr>
              <w:t>PM in WP5</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1</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LGI CONSULTING</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16"/>
                <w:szCs w:val="16"/>
                <w:lang w:eastAsia="de-DE"/>
              </w:rPr>
            </w:pPr>
            <w:r>
              <w:rPr>
                <w:rFonts w:cs="Calibri" w:cstheme="minorHAnsi"/>
                <w:color w:val="000000"/>
                <w:sz w:val="16"/>
                <w:szCs w:val="16"/>
                <w:lang w:eastAsia="de-DE"/>
              </w:rPr>
              <w:t>LGI</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France</w:t>
            </w:r>
          </w:p>
        </w:tc>
        <w:tc>
          <w:tcPr>
            <w:tcW w:w="25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Niclette Bukasa Kampata</w:t>
            </w:r>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0</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2 </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DEPARTMENT OF SCIENCE AND INNOVATION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DSI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South Africa </w:t>
            </w:r>
          </w:p>
        </w:tc>
        <w:tc>
          <w:tcPr>
            <w:tcW w:w="25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Tinyiko Ntshongwana</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Refilwe Mashigo</w:t>
            </w:r>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2</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3</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Ministere e L'enseignement Superieur et de la Recherche Scientifique</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MESRS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Algeria </w:t>
            </w:r>
          </w:p>
        </w:tc>
        <w:tc>
          <w:tcPr>
            <w:tcW w:w="25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Mokthar Sellami</w:t>
            </w:r>
          </w:p>
          <w:p>
            <w:pPr>
              <w:pStyle w:val="Normal"/>
              <w:widowControl w:val="false"/>
              <w:spacing w:before="60" w:after="0"/>
              <w:jc w:val="left"/>
              <w:rPr>
                <w:rFonts w:cs="Calibri" w:cstheme="minorHAnsi"/>
                <w:color w:val="000000"/>
                <w:sz w:val="20"/>
                <w:szCs w:val="20"/>
                <w:lang w:eastAsia="de-DE"/>
              </w:rPr>
            </w:pPr>
            <w:bookmarkStart w:id="9" w:name="_Hlk67301637"/>
            <w:r>
              <w:rPr>
                <w:rFonts w:cs="Calibri" w:cstheme="minorHAnsi"/>
                <w:color w:val="000000"/>
                <w:sz w:val="20"/>
                <w:szCs w:val="20"/>
                <w:lang w:eastAsia="de-DE"/>
              </w:rPr>
              <w:t>Mr Lassassi Moundir</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Benyoussef El-Hadi</w:t>
            </w:r>
          </w:p>
          <w:p>
            <w:pPr>
              <w:pStyle w:val="Normal"/>
              <w:widowControl w:val="false"/>
              <w:spacing w:before="60" w:after="0"/>
              <w:jc w:val="left"/>
              <w:rPr>
                <w:rFonts w:cs="Calibri" w:cstheme="minorHAnsi"/>
                <w:color w:val="000000"/>
                <w:sz w:val="20"/>
                <w:szCs w:val="20"/>
                <w:lang w:eastAsia="de-DE"/>
              </w:rPr>
            </w:pPr>
            <w:bookmarkStart w:id="10" w:name="_Hlk67301637"/>
            <w:r>
              <w:rPr>
                <w:rFonts w:cs="Calibri" w:cstheme="minorHAnsi"/>
                <w:color w:val="000000"/>
                <w:sz w:val="20"/>
                <w:szCs w:val="20"/>
                <w:lang w:eastAsia="de-DE"/>
              </w:rPr>
              <w:t>Ms Souami Feriel</w:t>
            </w:r>
            <w:bookmarkEnd w:id="10"/>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7</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5 </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POLITECNICO DI MILANO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POLIMI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Italy </w:t>
            </w:r>
          </w:p>
        </w:tc>
        <w:tc>
          <w:tcPr>
            <w:tcW w:w="258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Emanuela Colombo</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Riccardo Mereu</w:t>
            </w:r>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1</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6 </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STRATHMORE UNIVERSITY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SU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Kenya </w:t>
            </w:r>
          </w:p>
        </w:tc>
        <w:tc>
          <w:tcPr>
            <w:tcW w:w="25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bookmarkStart w:id="11" w:name="_Hlk65009732"/>
            <w:r>
              <w:rPr>
                <w:rFonts w:cs="Calibri" w:cstheme="minorHAnsi"/>
                <w:color w:val="000000"/>
                <w:sz w:val="20"/>
                <w:szCs w:val="20"/>
                <w:lang w:eastAsia="de-DE"/>
              </w:rPr>
              <w:t>Ms Anne W. Wambugu</w:t>
            </w:r>
            <w:bookmarkEnd w:id="11"/>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Hope N Njoroge</w:t>
            </w:r>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5</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7 </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HELSINGIN YLIOPISTO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UH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Finland </w:t>
            </w:r>
          </w:p>
        </w:tc>
        <w:tc>
          <w:tcPr>
            <w:tcW w:w="25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val="de-DE" w:eastAsia="de-DE"/>
              </w:rPr>
            </w:pPr>
            <w:r>
              <w:rPr>
                <w:rFonts w:cs="Calibri" w:cstheme="minorHAnsi"/>
                <w:color w:val="000000"/>
                <w:sz w:val="20"/>
                <w:szCs w:val="20"/>
                <w:lang w:val="de-DE" w:eastAsia="de-DE"/>
              </w:rPr>
              <w:t>Ms Melissa Plath</w:t>
            </w:r>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1</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8 </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AFRICA ENERGY SERVICES GROUP LTD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AESG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Rwanda </w:t>
            </w:r>
          </w:p>
        </w:tc>
        <w:tc>
          <w:tcPr>
            <w:tcW w:w="25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Kibibi Ndope</w:t>
            </w:r>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1</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9 </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val="de-DE" w:eastAsia="de-DE"/>
              </w:rPr>
            </w:pPr>
            <w:r>
              <w:rPr>
                <w:rFonts w:cs="Calibri" w:cstheme="minorHAnsi"/>
                <w:color w:val="000000"/>
                <w:sz w:val="20"/>
                <w:szCs w:val="20"/>
                <w:lang w:val="de-DE" w:eastAsia="de-DE"/>
              </w:rPr>
              <w:t>German Aerospace Center</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DLR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Germany </w:t>
            </w:r>
          </w:p>
        </w:tc>
        <w:tc>
          <w:tcPr>
            <w:tcW w:w="258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Stefan A. Haffner</w:t>
            </w:r>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11,4</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53</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UNIVERSITE PANAFRICAINE INSTITUT DES SCIENCES DE L'EAU ET DE L'ENERGIE</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PAUWES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Algeria </w:t>
            </w:r>
          </w:p>
        </w:tc>
        <w:tc>
          <w:tcPr>
            <w:tcW w:w="25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Abdellatif Zerga</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Erick Tambo</w:t>
            </w:r>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6</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75</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Executive Agency for Higher Education, Research, Development and Innovation</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UEFISCDI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Romania </w:t>
            </w:r>
          </w:p>
        </w:tc>
        <w:tc>
          <w:tcPr>
            <w:tcW w:w="258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Elena SIMION</w:t>
            </w:r>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3,5</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83 </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val="de-DE" w:eastAsia="de-DE"/>
              </w:rPr>
            </w:pPr>
            <w:r>
              <w:rPr>
                <w:rFonts w:cs="Calibri" w:cstheme="minorHAnsi"/>
                <w:color w:val="000000"/>
                <w:sz w:val="20"/>
                <w:szCs w:val="20"/>
                <w:lang w:val="de-DE" w:eastAsia="de-DE"/>
              </w:rPr>
              <w:t xml:space="preserve">ZENTRUM FUR SOZIALE INNOVATION GMBH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ZSI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Austria </w:t>
            </w:r>
          </w:p>
        </w:tc>
        <w:tc>
          <w:tcPr>
            <w:tcW w:w="25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bookmarkStart w:id="12" w:name="_Hlk65010196"/>
            <w:r>
              <w:rPr>
                <w:rFonts w:cs="Calibri" w:cstheme="minorHAnsi"/>
                <w:color w:val="000000"/>
                <w:sz w:val="20"/>
                <w:szCs w:val="20"/>
                <w:lang w:eastAsia="de-DE"/>
              </w:rPr>
              <w:t>Ms Elke Dall</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 xml:space="preserve">Mr Dietmar Lampert </w:t>
            </w:r>
          </w:p>
          <w:p>
            <w:pPr>
              <w:pStyle w:val="Normal"/>
              <w:widowControl w:val="false"/>
              <w:spacing w:before="60" w:after="0"/>
              <w:jc w:val="left"/>
              <w:rPr>
                <w:rFonts w:cs="Calibri" w:cstheme="minorHAnsi"/>
                <w:color w:val="000000"/>
                <w:sz w:val="20"/>
                <w:szCs w:val="20"/>
                <w:lang w:eastAsia="de-DE"/>
              </w:rPr>
            </w:pPr>
            <w:bookmarkStart w:id="13" w:name="_Hlk65010196"/>
            <w:r>
              <w:rPr>
                <w:rFonts w:cs="Calibri" w:cstheme="minorHAnsi"/>
                <w:color w:val="000000"/>
                <w:sz w:val="20"/>
                <w:szCs w:val="20"/>
                <w:lang w:eastAsia="de-DE"/>
              </w:rPr>
              <w:t>Mr Utku Demir</w:t>
            </w:r>
            <w:bookmarkEnd w:id="13"/>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3</w:t>
            </w:r>
          </w:p>
        </w:tc>
        <w:tc>
          <w:tcPr>
            <w:tcW w:w="24" w:type="dxa"/>
            <w:tcBorders/>
          </w:tcPr>
          <w:p>
            <w:pPr>
              <w:pStyle w:val="Normal"/>
              <w:widowControl w:val="false"/>
              <w:spacing w:before="60" w:after="60"/>
              <w:rPr/>
            </w:pPr>
            <w:r>
              <w:rPr/>
            </w:r>
          </w:p>
        </w:tc>
      </w:tr>
      <w:tr>
        <w:trPr/>
        <w:tc>
          <w:tcPr>
            <w:tcW w:w="9214" w:type="dxa"/>
            <w:gridSpan w:val="5"/>
            <w:tcBorders>
              <w:top w:val="single" w:sz="4" w:space="0" w:color="000000"/>
              <w:right w:val="single" w:sz="4" w:space="0" w:color="000000"/>
            </w:tcBorders>
            <w:shd w:color="auto" w:fill="FFFFFF" w:themeFill="background1" w:val="clear"/>
          </w:tcPr>
          <w:p>
            <w:pPr>
              <w:pStyle w:val="Normal"/>
              <w:widowControl w:val="false"/>
              <w:spacing w:before="60" w:after="0"/>
              <w:jc w:val="right"/>
              <w:rPr>
                <w:rFonts w:cs="Calibri" w:cstheme="minorHAnsi"/>
                <w:b/>
                <w:b/>
                <w:color w:val="000000"/>
                <w:sz w:val="20"/>
                <w:szCs w:val="20"/>
                <w:lang w:eastAsia="de-DE"/>
              </w:rPr>
            </w:pPr>
            <w:r>
              <w:rPr>
                <w:rFonts w:cs="Calibri" w:cstheme="minorHAnsi"/>
                <w:b/>
                <w:color w:val="000000"/>
                <w:sz w:val="20"/>
                <w:szCs w:val="20"/>
                <w:lang w:eastAsia="de-DE"/>
              </w:rPr>
              <w:t>Total PM in WP5</w:t>
            </w:r>
          </w:p>
        </w:tc>
        <w:tc>
          <w:tcPr>
            <w:tcW w:w="817" w:type="dxa"/>
            <w:gridSpan w:val="2"/>
            <w:tcBorders>
              <w:top w:val="single" w:sz="4" w:space="0" w:color="000000"/>
              <w:left w:val="single" w:sz="4" w:space="0" w:color="000000"/>
            </w:tcBorders>
            <w:shd w:color="auto" w:fill="FFFFFF" w:themeFill="background1" w:val="clear"/>
          </w:tcPr>
          <w:p>
            <w:pPr>
              <w:pStyle w:val="Normal"/>
              <w:widowControl w:val="false"/>
              <w:spacing w:before="60" w:after="0"/>
              <w:jc w:val="center"/>
              <w:rPr>
                <w:rFonts w:cs="Calibri" w:cstheme="minorHAnsi"/>
                <w:color w:val="000000"/>
                <w:sz w:val="20"/>
                <w:szCs w:val="20"/>
                <w:lang w:eastAsia="de-DE"/>
              </w:rPr>
            </w:pPr>
            <w:r>
              <w:rPr>
                <w:b/>
                <w:color w:val="000000" w:themeColor="text1"/>
                <w:lang w:val="en-GB"/>
              </w:rPr>
              <w:fldChar w:fldCharType="begin"/>
            </w:r>
            <w:r>
              <w:rPr>
                <w:b/>
                <w:color w:val="000000"/>
                <w:lang w:val="en-GB"/>
              </w:rPr>
              <w:instrText> = SUM(ABOVE)</w:instrText>
            </w:r>
            <w:r>
              <w:rPr>
                <w:b/>
                <w:color w:val="000000"/>
                <w:lang w:val="en-GB"/>
              </w:rPr>
              <w:fldChar w:fldCharType="separate"/>
            </w:r>
            <w:r>
              <w:rPr>
                <w:b/>
                <w:color w:val="000000"/>
                <w:lang w:val="en-GB"/>
              </w:rPr>
              <w:t>0</w:t>
            </w:r>
            <w:r>
              <w:rPr>
                <w:b/>
                <w:color w:val="000000"/>
                <w:lang w:val="en-GB"/>
              </w:rPr>
              <w:fldChar w:fldCharType="end"/>
            </w:r>
          </w:p>
        </w:tc>
      </w:tr>
    </w:tbl>
    <w:p>
      <w:pPr>
        <w:pStyle w:val="Normal"/>
        <w:spacing w:lineRule="auto" w:line="259" w:before="0" w:after="160"/>
        <w:jc w:val="left"/>
        <w:rPr>
          <w:b/>
          <w:b/>
          <w:bCs/>
          <w:color w:val="7F7F7F" w:themeColor="text1" w:themeTint="80"/>
          <w:sz w:val="24"/>
          <w:lang w:val="en-GB"/>
        </w:rPr>
      </w:pPr>
      <w:r>
        <w:rPr>
          <w:b/>
          <w:bCs/>
          <w:color w:val="7F7F7F" w:themeColor="text1" w:themeTint="80"/>
          <w:sz w:val="24"/>
          <w:lang w:val="en-GB"/>
        </w:rPr>
      </w:r>
      <w:bookmarkStart w:id="14" w:name="_Hlk65015624"/>
      <w:bookmarkStart w:id="15" w:name="_Hlk65015624"/>
      <w:bookmarkEnd w:id="15"/>
      <w:r>
        <w:br w:type="page"/>
      </w:r>
    </w:p>
    <w:p>
      <w:pPr>
        <w:pStyle w:val="Heading3"/>
        <w:rPr>
          <w:i w:val="false"/>
          <w:i w:val="false"/>
        </w:rPr>
      </w:pPr>
      <w:r>
        <w:rPr>
          <w:i w:val="false"/>
        </w:rPr>
        <w:t xml:space="preserve">Task 5.1: </w:t>
      </w:r>
      <w:r>
        <w:rPr>
          <w:i w:val="false"/>
          <w:szCs w:val="20"/>
        </w:rPr>
        <w:t>M&amp;E Concept and Impact Assessment</w:t>
      </w:r>
    </w:p>
    <w:p>
      <w:pPr>
        <w:pStyle w:val="Normal"/>
        <w:jc w:val="left"/>
        <w:rPr>
          <w:szCs w:val="20"/>
          <w:lang w:val="en-GB"/>
        </w:rPr>
      </w:pPr>
      <w:r>
        <w:rPr>
          <w:szCs w:val="20"/>
          <w:lang w:val="en-GB"/>
        </w:rPr>
        <w:t xml:space="preserve">Start date: </w:t>
      </w:r>
      <w:r>
        <w:rPr>
          <w:rFonts w:cs="Arial"/>
          <w:szCs w:val="20"/>
          <w:lang w:val="en-GB"/>
        </w:rPr>
        <w:t xml:space="preserve">M3 (Dec. 2020); </w:t>
      </w:r>
      <w:r>
        <w:rPr>
          <w:szCs w:val="20"/>
          <w:lang w:val="en-GB"/>
        </w:rPr>
        <w:t>End date: M63 (Dec. 2025)</w:t>
      </w:r>
    </w:p>
    <w:p>
      <w:pPr>
        <w:pStyle w:val="Normal"/>
        <w:jc w:val="left"/>
        <w:rPr>
          <w:b/>
          <w:b/>
          <w:szCs w:val="20"/>
          <w:lang w:val="en-GB"/>
        </w:rPr>
      </w:pPr>
      <w:commentRangeStart w:id="1"/>
      <w:r>
        <w:rPr>
          <w:b/>
          <w:szCs w:val="20"/>
          <w:lang w:val="en-GB"/>
        </w:rPr>
        <w:t xml:space="preserve">Task Leaders: </w:t>
      </w:r>
    </w:p>
    <w:p>
      <w:pPr>
        <w:pStyle w:val="ListParagraph"/>
        <w:numPr>
          <w:ilvl w:val="0"/>
          <w:numId w:val="3"/>
        </w:numPr>
        <w:jc w:val="left"/>
        <w:rPr>
          <w:color w:val="000000" w:themeColor="text1"/>
          <w:szCs w:val="20"/>
          <w:lang w:val="en-GB"/>
        </w:rPr>
      </w:pPr>
      <w:r>
        <w:rPr>
          <w:color w:val="000000" w:themeColor="text1"/>
          <w:szCs w:val="20"/>
          <w:lang w:val="en-GB"/>
        </w:rPr>
        <w:t>Ms Elena SIMION | Executive Agency for Higher Education, Research, Development and Innovation (</w:t>
      </w:r>
      <w:r>
        <w:rPr>
          <w:b/>
          <w:color w:val="000000" w:themeColor="text1"/>
          <w:szCs w:val="20"/>
          <w:lang w:val="en-GB"/>
        </w:rPr>
        <w:t>UEFISCDI</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Ms Anne W. Wambugu &amp; Ms Hope N Njoroge | Strathmore University (</w:t>
      </w:r>
      <w:r>
        <w:rPr>
          <w:b/>
          <w:color w:val="000000" w:themeColor="text1"/>
          <w:szCs w:val="20"/>
          <w:lang w:val="en-GB"/>
        </w:rPr>
        <w:t>SU</w:t>
      </w:r>
      <w:r>
        <w:rPr>
          <w:color w:val="000000" w:themeColor="text1"/>
          <w:szCs w:val="20"/>
          <w:lang w:val="en-GB"/>
        </w:rPr>
        <w:t>)</w:t>
      </w:r>
      <w:commentRangeEnd w:id="1"/>
      <w:r>
        <w:commentReference w:id="1"/>
      </w:r>
      <w:r>
        <w:rPr>
          <w:color w:val="000000" w:themeColor="text1"/>
          <w:szCs w:val="20"/>
          <w:lang w:val="en-GB"/>
        </w:rPr>
      </w:r>
      <w:bookmarkStart w:id="16" w:name="_Hlk65011506"/>
      <w:bookmarkEnd w:id="16"/>
    </w:p>
    <w:p>
      <w:pPr>
        <w:pStyle w:val="Normal"/>
        <w:jc w:val="left"/>
        <w:rPr>
          <w:b/>
          <w:b/>
          <w:lang w:val="en-GB"/>
        </w:rPr>
      </w:pPr>
      <w:r>
        <w:rPr>
          <w:b/>
          <w:szCs w:val="20"/>
          <w:lang w:val="en-GB"/>
        </w:rPr>
        <w:t>Contributors:</w:t>
      </w:r>
      <w:r>
        <w:rPr>
          <w:b/>
          <w:lang w:val="en-GB"/>
        </w:rPr>
        <w:t xml:space="preserve"> </w:t>
      </w:r>
    </w:p>
    <w:p>
      <w:pPr>
        <w:pStyle w:val="ListParagraph"/>
        <w:numPr>
          <w:ilvl w:val="0"/>
          <w:numId w:val="3"/>
        </w:numPr>
        <w:jc w:val="left"/>
        <w:rPr>
          <w:color w:val="000000" w:themeColor="text1"/>
          <w:szCs w:val="20"/>
          <w:lang w:val="en-GB"/>
        </w:rPr>
      </w:pPr>
      <w:bookmarkStart w:id="17" w:name="_Hlk65170668"/>
      <w:r>
        <w:rPr>
          <w:color w:val="000000" w:themeColor="text1"/>
          <w:szCs w:val="20"/>
          <w:lang w:val="en-GB"/>
        </w:rPr>
        <w:t>Mr Stefan A. Haffner | German Aerospace Center (</w:t>
      </w:r>
      <w:r>
        <w:rPr>
          <w:b/>
          <w:color w:val="000000" w:themeColor="text1"/>
          <w:szCs w:val="20"/>
          <w:lang w:val="en-GB"/>
        </w:rPr>
        <w:t>DLR</w:t>
      </w:r>
      <w:r>
        <w:rPr>
          <w:color w:val="000000" w:themeColor="text1"/>
          <w:szCs w:val="20"/>
          <w:lang w:val="en-GB"/>
        </w:rPr>
        <w:t>)</w:t>
      </w:r>
      <w:bookmarkEnd w:id="17"/>
    </w:p>
    <w:p>
      <w:pPr>
        <w:pStyle w:val="ListParagraph"/>
        <w:numPr>
          <w:ilvl w:val="0"/>
          <w:numId w:val="3"/>
        </w:numPr>
        <w:jc w:val="left"/>
        <w:rPr>
          <w:color w:val="000000" w:themeColor="text1"/>
          <w:szCs w:val="20"/>
          <w:lang w:val="en-GB"/>
        </w:rPr>
      </w:pPr>
      <w:r>
        <w:rPr>
          <w:color w:val="000000" w:themeColor="text1"/>
          <w:szCs w:val="20"/>
        </w:rPr>
        <w:t>Mr Abdellatif Zerga &amp; Mr Erick Tambo</w:t>
      </w:r>
      <w:r>
        <w:rPr/>
        <w:t xml:space="preserve"> | </w:t>
      </w:r>
      <w:r>
        <w:rPr>
          <w:color w:val="000000" w:themeColor="text1"/>
          <w:szCs w:val="20"/>
        </w:rPr>
        <w:t>Pan African University Water and Energy Science (PAUWES)</w:t>
      </w:r>
    </w:p>
    <w:p>
      <w:pPr>
        <w:pStyle w:val="ListParagraph"/>
        <w:numPr>
          <w:ilvl w:val="0"/>
          <w:numId w:val="3"/>
        </w:numPr>
        <w:jc w:val="left"/>
        <w:rPr>
          <w:color w:val="000000" w:themeColor="text1"/>
          <w:szCs w:val="20"/>
          <w:lang w:val="en-GB"/>
        </w:rPr>
      </w:pPr>
      <w:r>
        <w:rPr>
          <w:color w:val="000000" w:themeColor="text1"/>
          <w:szCs w:val="20"/>
          <w:lang w:val="en-GB"/>
        </w:rPr>
        <w:t>Mr Mokthar Sellami &amp; Mr Belarbi Yacine &amp; Ms Souami Feriel | MINISTERE DE L'ENSEIGNEMENT SUPERIEUR ET DE LA RECHERCHE SCIENTIFIQUE (</w:t>
      </w:r>
      <w:r>
        <w:rPr>
          <w:b/>
          <w:color w:val="000000" w:themeColor="text1"/>
          <w:szCs w:val="20"/>
          <w:lang w:val="en-GB"/>
        </w:rPr>
        <w:t>MESRS</w:t>
      </w:r>
      <w:r>
        <w:rPr>
          <w:color w:val="000000" w:themeColor="text1"/>
          <w:szCs w:val="20"/>
          <w:lang w:val="en-GB"/>
        </w:rPr>
        <w:t>)</w:t>
      </w:r>
    </w:p>
    <w:p>
      <w:pPr>
        <w:pStyle w:val="ListParagraph"/>
        <w:numPr>
          <w:ilvl w:val="0"/>
          <w:numId w:val="3"/>
        </w:numPr>
        <w:jc w:val="left"/>
        <w:rPr>
          <w:color w:val="000000" w:themeColor="text1"/>
          <w:szCs w:val="20"/>
          <w:lang w:val="de-DE"/>
        </w:rPr>
      </w:pPr>
      <w:bookmarkStart w:id="18" w:name="_Hlk65172225"/>
      <w:r>
        <w:rPr>
          <w:color w:val="000000" w:themeColor="text1"/>
          <w:szCs w:val="20"/>
          <w:lang w:val="de-DE"/>
        </w:rPr>
        <w:t>Ms Elke Dall &amp; Mr Dietmar Lampert &amp; Mr Utku Demir | Zentrum für Soziale Innovation (</w:t>
      </w:r>
      <w:r>
        <w:rPr>
          <w:b/>
          <w:color w:val="000000" w:themeColor="text1"/>
          <w:szCs w:val="20"/>
          <w:lang w:val="de-DE"/>
        </w:rPr>
        <w:t>ZSI</w:t>
      </w:r>
      <w:r>
        <w:rPr>
          <w:color w:val="000000" w:themeColor="text1"/>
          <w:szCs w:val="20"/>
          <w:lang w:val="de-DE"/>
        </w:rPr>
        <w:t>)</w:t>
      </w:r>
    </w:p>
    <w:p>
      <w:pPr>
        <w:pStyle w:val="Normal"/>
        <w:ind w:left="360" w:hanging="0"/>
        <w:jc w:val="left"/>
        <w:rPr>
          <w:color w:val="000000" w:themeColor="text1"/>
          <w:szCs w:val="20"/>
          <w:lang w:val="de-DE"/>
        </w:rPr>
      </w:pPr>
      <w:r>
        <w:rPr>
          <w:color w:val="000000" w:themeColor="text1"/>
          <w:szCs w:val="20"/>
          <w:lang w:val="de-DE"/>
        </w:rPr>
      </w:r>
    </w:p>
    <w:tbl>
      <w:tblPr>
        <w:tblW w:w="9077" w:type="dxa"/>
        <w:jc w:val="left"/>
        <w:tblInd w:w="-5" w:type="dxa"/>
        <w:tblLayout w:type="fixed"/>
        <w:tblCellMar>
          <w:top w:w="0" w:type="dxa"/>
          <w:left w:w="70" w:type="dxa"/>
          <w:bottom w:w="0" w:type="dxa"/>
          <w:right w:w="70" w:type="dxa"/>
        </w:tblCellMar>
        <w:tblLook w:val="04a0" w:noHBand="0" w:noVBand="1" w:firstColumn="1" w:lastRow="0" w:lastColumn="0" w:firstRow="1"/>
      </w:tblPr>
      <w:tblGrid>
        <w:gridCol w:w="995"/>
        <w:gridCol w:w="991"/>
        <w:gridCol w:w="1300"/>
        <w:gridCol w:w="653"/>
        <w:gridCol w:w="5138"/>
      </w:tblGrid>
      <w:tr>
        <w:trPr>
          <w:trHeight w:val="600" w:hRule="atLeast"/>
        </w:trPr>
        <w:tc>
          <w:tcPr>
            <w:tcW w:w="995" w:type="dxa"/>
            <w:tcBorders>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T5.1 </w:t>
            </w:r>
          </w:p>
        </w:tc>
        <w:tc>
          <w:tcPr>
            <w:tcW w:w="991"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 xml:space="preserve">PM </w:t>
              <w:br/>
              <w:t xml:space="preserve">formerly </w:t>
            </w:r>
          </w:p>
        </w:tc>
        <w:tc>
          <w:tcPr>
            <w:tcW w:w="1300"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color w:val="0000FF"/>
                <w:lang w:val="de-DE" w:eastAsia="de-DE"/>
              </w:rPr>
              <w:t>PM modification</w:t>
            </w:r>
          </w:p>
        </w:tc>
        <w:tc>
          <w:tcPr>
            <w:tcW w:w="653"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Final PM</w:t>
            </w:r>
          </w:p>
        </w:tc>
        <w:tc>
          <w:tcPr>
            <w:tcW w:w="5138" w:type="dxa"/>
            <w:tcBorders>
              <w:left w:val="single" w:sz="4" w:space="0" w:color="000000"/>
              <w:bottom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Comments</w:t>
            </w:r>
          </w:p>
        </w:tc>
      </w:tr>
      <w:tr>
        <w:trPr>
          <w:trHeight w:val="300" w:hRule="atLeast"/>
        </w:trPr>
        <w:tc>
          <w:tcPr>
            <w:tcW w:w="99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UEFISCDI (lead)</w:t>
            </w:r>
          </w:p>
        </w:tc>
        <w:tc>
          <w:tcPr>
            <w:tcW w:w="9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3,5</w:t>
            </w:r>
          </w:p>
        </w:tc>
        <w:tc>
          <w:tcPr>
            <w:tcW w:w="130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de-DE" w:eastAsia="de-DE"/>
              </w:rPr>
              <w:t>0</w:t>
            </w:r>
          </w:p>
        </w:tc>
        <w:tc>
          <w:tcPr>
            <w:tcW w:w="65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3,5</w:t>
            </w:r>
          </w:p>
        </w:tc>
        <w:tc>
          <w:tcPr>
            <w:tcW w:w="5138"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UEFISCDI, together with SU, will conceptualise and conduct the MEL activities together with T5.1 colleagues</w:t>
            </w:r>
          </w:p>
        </w:tc>
      </w:tr>
      <w:tr>
        <w:trPr>
          <w:trHeight w:val="300" w:hRule="atLeast"/>
        </w:trPr>
        <w:tc>
          <w:tcPr>
            <w:tcW w:w="99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SU (lead)</w:t>
            </w:r>
          </w:p>
        </w:tc>
        <w:tc>
          <w:tcPr>
            <w:tcW w:w="9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3</w:t>
            </w:r>
          </w:p>
        </w:tc>
        <w:tc>
          <w:tcPr>
            <w:tcW w:w="130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de-DE" w:eastAsia="de-DE"/>
              </w:rPr>
              <w:t>0</w:t>
            </w:r>
          </w:p>
        </w:tc>
        <w:tc>
          <w:tcPr>
            <w:tcW w:w="65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3</w:t>
            </w:r>
          </w:p>
        </w:tc>
        <w:tc>
          <w:tcPr>
            <w:tcW w:w="5138"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SU, together with UEFISCDI, will conceptualise and conduct the MEL activities together with T5.1 colleagues</w:t>
            </w:r>
          </w:p>
        </w:tc>
      </w:tr>
      <w:tr>
        <w:trPr>
          <w:trHeight w:val="300" w:hRule="atLeast"/>
        </w:trPr>
        <w:tc>
          <w:tcPr>
            <w:tcW w:w="99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DLR</w:t>
            </w:r>
          </w:p>
        </w:tc>
        <w:tc>
          <w:tcPr>
            <w:tcW w:w="9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2</w:t>
            </w:r>
          </w:p>
        </w:tc>
        <w:tc>
          <w:tcPr>
            <w:tcW w:w="130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lang w:val="de-DE" w:eastAsia="de-DE"/>
              </w:rPr>
            </w:pPr>
            <w:r>
              <w:rPr>
                <w:rFonts w:cs="Calibri"/>
                <w:b/>
                <w:color w:val="0000FF"/>
                <w:lang w:val="de-DE" w:eastAsia="de-DE"/>
              </w:rPr>
              <w:t>-1</w:t>
            </w:r>
          </w:p>
        </w:tc>
        <w:tc>
          <w:tcPr>
            <w:tcW w:w="65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1</w:t>
            </w:r>
          </w:p>
        </w:tc>
        <w:tc>
          <w:tcPr>
            <w:tcW w:w="5138"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val="en-GB" w:eastAsia="de-DE"/>
              </w:rPr>
              <w:t>DLR will contribute to the aspect of a long-term MEL approach</w:t>
            </w:r>
          </w:p>
        </w:tc>
      </w:tr>
      <w:tr>
        <w:trPr>
          <w:trHeight w:val="300" w:hRule="atLeast"/>
        </w:trPr>
        <w:tc>
          <w:tcPr>
            <w:tcW w:w="995" w:type="dxa"/>
            <w:tcBorders>
              <w:top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PAUWES</w:t>
            </w:r>
          </w:p>
        </w:tc>
        <w:tc>
          <w:tcPr>
            <w:tcW w:w="99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de-DE" w:eastAsia="de-DE"/>
              </w:rPr>
              <w:t>0</w:t>
            </w:r>
          </w:p>
        </w:tc>
        <w:tc>
          <w:tcPr>
            <w:tcW w:w="65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0</w:t>
            </w:r>
          </w:p>
        </w:tc>
        <w:tc>
          <w:tcPr>
            <w:tcW w:w="5138"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r>
          </w:p>
        </w:tc>
      </w:tr>
      <w:tr>
        <w:trPr>
          <w:trHeight w:val="300" w:hRule="atLeast"/>
        </w:trPr>
        <w:tc>
          <w:tcPr>
            <w:tcW w:w="99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MESRS</w:t>
            </w:r>
          </w:p>
        </w:tc>
        <w:tc>
          <w:tcPr>
            <w:tcW w:w="9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b/>
                <w:bCs/>
                <w:color w:val="0000FF"/>
                <w:lang w:val="de-DE" w:eastAsia="de-DE"/>
              </w:rPr>
              <w:t>1</w:t>
            </w:r>
          </w:p>
        </w:tc>
        <w:tc>
          <w:tcPr>
            <w:tcW w:w="65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1</w:t>
            </w:r>
          </w:p>
        </w:tc>
        <w:tc>
          <w:tcPr>
            <w:tcW w:w="5138"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MESRS will contribute to the monitoring report Pillar 1</w:t>
            </w:r>
          </w:p>
        </w:tc>
      </w:tr>
      <w:tr>
        <w:trPr>
          <w:trHeight w:val="300" w:hRule="atLeast"/>
        </w:trPr>
        <w:tc>
          <w:tcPr>
            <w:tcW w:w="995" w:type="dxa"/>
            <w:tcBorders>
              <w:top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en-GB" w:eastAsia="de-DE"/>
              </w:rPr>
            </w:pPr>
            <w:commentRangeStart w:id="2"/>
            <w:r>
              <w:rPr>
                <w:rFonts w:cs="Calibri"/>
                <w:b/>
                <w:bCs/>
                <w:lang w:val="en-GB" w:eastAsia="de-DE"/>
              </w:rPr>
              <w:t>ZSI</w:t>
            </w:r>
          </w:p>
        </w:tc>
        <w:tc>
          <w:tcPr>
            <w:tcW w:w="99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en-GB" w:eastAsia="de-DE"/>
              </w:rPr>
            </w:pPr>
            <w:del w:id="0" w:author="ED" w:date="2021-04-01T11:39:00Z">
              <w:r>
                <w:rPr>
                  <w:rFonts w:cs="Calibri"/>
                  <w:lang w:val="en-GB" w:eastAsia="de-DE"/>
                </w:rPr>
                <w:delText>2</w:delText>
              </w:r>
            </w:del>
            <w:ins w:id="1" w:author="ED" w:date="2021-04-01T11:39:00Z">
              <w:r>
                <w:rPr>
                  <w:rFonts w:cs="Calibri"/>
                  <w:lang w:val="en-GB" w:eastAsia="de-DE"/>
                </w:rPr>
                <w:t>0</w:t>
              </w:r>
            </w:ins>
          </w:p>
        </w:tc>
        <w:tc>
          <w:tcPr>
            <w:tcW w:w="130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color w:val="0000FF"/>
                <w:lang w:val="de-DE" w:eastAsia="de-DE"/>
              </w:rPr>
            </w:pPr>
            <w:ins w:id="2" w:author="ED" w:date="2021-04-01T11:39:00Z">
              <w:r>
                <w:rPr>
                  <w:rFonts w:cs="Calibri"/>
                  <w:b/>
                  <w:bCs/>
                  <w:color w:val="0000FF"/>
                  <w:lang w:val="de-DE" w:eastAsia="de-DE"/>
                </w:rPr>
                <w:t>+</w:t>
              </w:r>
            </w:ins>
            <w:del w:id="3" w:author="ED" w:date="2021-04-01T11:39:00Z">
              <w:r>
                <w:rPr>
                  <w:rFonts w:cs="Calibri"/>
                  <w:b/>
                  <w:bCs/>
                  <w:color w:val="0000FF"/>
                  <w:lang w:val="de-DE" w:eastAsia="de-DE"/>
                </w:rPr>
                <w:delText>-</w:delText>
              </w:r>
            </w:del>
            <w:r>
              <w:rPr>
                <w:rFonts w:cs="Calibri"/>
                <w:b/>
                <w:bCs/>
                <w:color w:val="0000FF"/>
                <w:lang w:val="de-DE" w:eastAsia="de-DE"/>
              </w:rPr>
              <w:t>1</w:t>
            </w:r>
          </w:p>
        </w:tc>
        <w:tc>
          <w:tcPr>
            <w:tcW w:w="65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1</w:t>
            </w:r>
            <w:commentRangeEnd w:id="2"/>
            <w:r>
              <w:commentReference w:id="2"/>
            </w:r>
            <w:r>
              <w:rPr>
                <w:rFonts w:cs="Calibri"/>
                <w:b/>
                <w:bCs/>
                <w:lang w:val="en-GB" w:eastAsia="de-DE"/>
              </w:rPr>
            </w:r>
          </w:p>
        </w:tc>
        <w:tc>
          <w:tcPr>
            <w:tcW w:w="5138" w:type="dxa"/>
            <w:tcBorders>
              <w:top w:val="single" w:sz="4" w:space="0" w:color="000000"/>
              <w:left w:val="single" w:sz="4" w:space="0" w:color="000000"/>
              <w:bottom w:val="single" w:sz="4" w:space="0" w:color="000000"/>
            </w:tcBorders>
            <w:shd w:color="auto" w:fill="F2F2F2" w:themeFill="background1" w:themeFillShade="f2" w:val="clear"/>
          </w:tcPr>
          <w:p>
            <w:pPr>
              <w:pStyle w:val="Normal"/>
              <w:widowControl w:val="false"/>
              <w:spacing w:before="0" w:after="0"/>
              <w:jc w:val="left"/>
              <w:rPr>
                <w:rFonts w:ascii="Calibri" w:hAnsi="Calibri" w:cs="Calibri"/>
                <w:lang w:eastAsia="de-DE"/>
              </w:rPr>
            </w:pPr>
            <w:ins w:id="4" w:author="ED" w:date="2021-04-01T11:39:00Z">
              <w:commentRangeStart w:id="3"/>
              <w:r>
                <w:rPr>
                  <w:rFonts w:cs="Calibri"/>
                  <w:lang w:eastAsia="de-DE"/>
                </w:rPr>
                <w:t xml:space="preserve">ZSI will contribute to </w:t>
              </w:r>
            </w:ins>
            <w:ins w:id="5" w:author="ED" w:date="2021-04-01T11:44:00Z">
              <w:r>
                <w:rPr>
                  <w:rFonts w:cs="Calibri"/>
                  <w:lang w:eastAsia="de-DE"/>
                </w:rPr>
                <w:t>the</w:t>
              </w:r>
            </w:ins>
            <w:ins w:id="6" w:author="ED" w:date="2021-04-01T11:42:00Z">
              <w:r>
                <w:rPr>
                  <w:rFonts w:cs="Calibri"/>
                  <w:lang w:eastAsia="de-DE"/>
                </w:rPr>
                <w:t xml:space="preserve"> baseline study</w:t>
              </w:r>
            </w:ins>
            <w:commentRangeEnd w:id="3"/>
            <w:r>
              <w:commentReference w:id="3"/>
            </w:r>
            <w:r>
              <w:rPr>
                <w:rFonts w:cs="Calibri"/>
                <w:lang w:eastAsia="de-DE"/>
              </w:rPr>
            </w:r>
          </w:p>
        </w:tc>
      </w:tr>
      <w:tr>
        <w:trPr>
          <w:trHeight w:val="300" w:hRule="atLeast"/>
        </w:trPr>
        <w:tc>
          <w:tcPr>
            <w:tcW w:w="995" w:type="dxa"/>
            <w:tcBorders>
              <w:top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UNU</w:t>
            </w:r>
          </w:p>
        </w:tc>
        <w:tc>
          <w:tcPr>
            <w:tcW w:w="99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t>1,5</w:t>
            </w:r>
          </w:p>
        </w:tc>
        <w:tc>
          <w:tcPr>
            <w:tcW w:w="13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lang w:val="de-DE" w:eastAsia="de-DE"/>
              </w:rPr>
            </w:pPr>
            <w:r>
              <w:rPr>
                <w:rFonts w:cs="Calibri"/>
                <w:b/>
                <w:color w:val="0000FF"/>
                <w:lang w:val="de-DE" w:eastAsia="de-DE"/>
              </w:rPr>
              <w:t>0</w:t>
            </w:r>
          </w:p>
        </w:tc>
        <w:tc>
          <w:tcPr>
            <w:tcW w:w="653"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0</w:t>
            </w:r>
          </w:p>
        </w:tc>
        <w:tc>
          <w:tcPr>
            <w:tcW w:w="5138" w:type="dxa"/>
            <w:tcBorders>
              <w:top w:val="single" w:sz="4" w:space="0" w:color="000000"/>
              <w:left w:val="single" w:sz="4" w:space="0" w:color="000000"/>
              <w:bottom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r>
          </w:p>
        </w:tc>
      </w:tr>
      <w:tr>
        <w:trPr>
          <w:trHeight w:val="300" w:hRule="atLeast"/>
        </w:trPr>
        <w:tc>
          <w:tcPr>
            <w:tcW w:w="995" w:type="dxa"/>
            <w:tcBorders>
              <w:top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r>
          </w:p>
        </w:tc>
        <w:tc>
          <w:tcPr>
            <w:tcW w:w="991"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r>
          </w:p>
        </w:tc>
        <w:tc>
          <w:tcPr>
            <w:tcW w:w="1300"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r>
          </w:p>
        </w:tc>
        <w:tc>
          <w:tcPr>
            <w:tcW w:w="653"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9,5</w:t>
            </w:r>
          </w:p>
        </w:tc>
        <w:tc>
          <w:tcPr>
            <w:tcW w:w="5138" w:type="dxa"/>
            <w:tcBorders>
              <w:top w:val="single" w:sz="4" w:space="0" w:color="000000"/>
              <w:left w:val="single" w:sz="4" w:space="0" w:color="000000"/>
            </w:tcBorders>
            <w:shd w:color="auto" w:fill="FFFFFF" w:themeFill="background1" w:val="clear"/>
            <w:vAlign w:val="center"/>
          </w:tcPr>
          <w:p>
            <w:pPr>
              <w:pStyle w:val="Normal"/>
              <w:widowControl w:val="false"/>
              <w:spacing w:before="0" w:after="0"/>
              <w:jc w:val="left"/>
              <w:rPr>
                <w:rFonts w:ascii="Calibri" w:hAnsi="Calibri" w:cs="Calibri"/>
                <w:b/>
                <w:b/>
                <w:lang w:val="en-GB" w:eastAsia="de-DE"/>
              </w:rPr>
            </w:pPr>
            <w:r>
              <w:rPr>
                <w:rFonts w:cs="Calibri"/>
                <w:b/>
                <w:lang w:val="en-GB" w:eastAsia="de-DE"/>
              </w:rPr>
              <w:t>Total - T5.1</w:t>
            </w:r>
            <w:bookmarkStart w:id="19" w:name="_Hlk67311535"/>
            <w:bookmarkEnd w:id="19"/>
          </w:p>
        </w:tc>
      </w:tr>
    </w:tbl>
    <w:p>
      <w:pPr>
        <w:pStyle w:val="Normal"/>
        <w:rPr>
          <w:rFonts w:cs="Arial"/>
          <w:szCs w:val="20"/>
          <w:lang w:val="en-GB"/>
        </w:rPr>
      </w:pPr>
      <w:r>
        <w:rPr>
          <w:rFonts w:cs="Arial"/>
          <w:szCs w:val="20"/>
          <w:lang w:val="en-GB"/>
        </w:rPr>
      </w:r>
    </w:p>
    <w:p>
      <w:pPr>
        <w:pStyle w:val="Normal"/>
        <w:rPr>
          <w:rFonts w:cs="Arial"/>
          <w:szCs w:val="20"/>
          <w:lang w:val="en-GB"/>
        </w:rPr>
      </w:pPr>
      <w:r>
        <w:rPr>
          <w:rFonts w:cs="Arial"/>
          <w:szCs w:val="20"/>
          <w:lang w:val="en-GB"/>
        </w:rPr>
        <w:t xml:space="preserve">The aim of this task is to assess the long-term impact of LEAP-RE which will be developed in the frame of a long-term AU-EU collaboration model in STI. At the global and high levels, the LEAP-RE programme impact will be measured to assess its compliance with the most relevant policy roadmaps at the international and regional level including the CCSE roadmap, Agenda 2030, and Agenda 2063. At the specific and intermediate levels, all assessment will be guided by the progress achieved based on developed metrics including LEAP-RE agendas, and the progression of the MARs. At the operational level, assessment will be based on activity contribution to the research and innovation agenda as guided by the MARs, the capacity building agenda as guided by the MARs and the agenda for partnerships as per task 5.3 and WP4. </w:t>
      </w:r>
    </w:p>
    <w:p>
      <w:pPr>
        <w:pStyle w:val="ListParagraph"/>
        <w:numPr>
          <w:ilvl w:val="0"/>
          <w:numId w:val="8"/>
        </w:numPr>
        <w:rPr>
          <w:rFonts w:cs="Arial"/>
          <w:b/>
          <w:b/>
          <w:szCs w:val="20"/>
          <w:lang w:val="en-GB"/>
        </w:rPr>
      </w:pPr>
      <w:r>
        <w:rPr>
          <w:rFonts w:cs="Arial"/>
          <w:b/>
          <w:szCs w:val="20"/>
          <w:lang w:val="en-GB"/>
        </w:rPr>
        <w:t>Baseline study</w:t>
      </w:r>
    </w:p>
    <w:p>
      <w:pPr>
        <w:pStyle w:val="Normal"/>
        <w:ind w:left="708" w:hanging="0"/>
        <w:rPr/>
      </w:pPr>
      <w:r>
        <w:rPr>
          <w:rFonts w:cs="Arial"/>
          <w:szCs w:val="20"/>
          <w:lang w:val="en-GB"/>
        </w:rPr>
        <w:t>To launch this task, a</w:t>
      </w:r>
      <w:r>
        <w:rPr/>
        <w:t xml:space="preserve"> baseline study will be conducted to collect feedback from all partners to establish core indicators, their respective values (qualitative and quantitative) and their baseline status. Information on time intervals at which these indicators can be measured and the progress expected to be achieved at different time intervals will also be collected. The baseline will be the point of reference and comparison for this task at every point of measurement thus will form part of the overall M&amp;E framework.  </w:t>
      </w:r>
    </w:p>
    <w:p>
      <w:pPr>
        <w:pStyle w:val="ListParagraph"/>
        <w:numPr>
          <w:ilvl w:val="0"/>
          <w:numId w:val="8"/>
        </w:numPr>
        <w:rPr>
          <w:rFonts w:cs="Arial"/>
          <w:b/>
          <w:b/>
          <w:szCs w:val="20"/>
          <w:lang w:val="en-GB"/>
        </w:rPr>
      </w:pPr>
      <w:r>
        <w:rPr>
          <w:rFonts w:cs="Arial"/>
          <w:b/>
          <w:szCs w:val="20"/>
          <w:lang w:val="en-GB"/>
        </w:rPr>
        <w:t>Theoretical framework development</w:t>
      </w:r>
    </w:p>
    <w:p>
      <w:pPr>
        <w:pStyle w:val="Normal"/>
        <w:ind w:left="708" w:hanging="0"/>
        <w:rPr>
          <w:rFonts w:cs="Arial"/>
          <w:szCs w:val="20"/>
          <w:lang w:val="en-GB"/>
        </w:rPr>
      </w:pPr>
      <w:r>
        <w:rPr>
          <w:rFonts w:cs="Arial"/>
          <w:szCs w:val="20"/>
          <w:lang w:val="en-GB"/>
        </w:rPr>
        <w:t xml:space="preserve">A general framework of reference will be developed to enable assessment at each objective level and will include a set of potential indicators to enable the tracking of Pillar 1, 2 and 3 activities. The framework will also act as a reference upon which the monitoring and evaluation requirements of Pillar 1 and 2 projects will be formulated and implemented. The framework will therefore take into account funding agencies’ expectations, and priorities in Pillar I, and research and innovation activities in Pillar II. </w:t>
      </w:r>
    </w:p>
    <w:p>
      <w:pPr>
        <w:pStyle w:val="ListParagraph"/>
        <w:numPr>
          <w:ilvl w:val="0"/>
          <w:numId w:val="8"/>
        </w:numPr>
        <w:rPr>
          <w:rFonts w:cs="Arial"/>
          <w:b/>
          <w:b/>
          <w:szCs w:val="20"/>
          <w:lang w:val="en-GB"/>
        </w:rPr>
      </w:pPr>
      <w:r>
        <w:rPr>
          <w:rFonts w:cs="Arial"/>
          <w:b/>
          <w:szCs w:val="20"/>
          <w:lang w:val="en-GB"/>
        </w:rPr>
        <w:t>MEL Plan</w:t>
      </w:r>
    </w:p>
    <w:p>
      <w:pPr>
        <w:pStyle w:val="Normal"/>
        <w:ind w:left="708" w:hanging="0"/>
        <w:rPr>
          <w:rFonts w:cs="Arial"/>
          <w:szCs w:val="20"/>
          <w:lang w:val="en-GB"/>
        </w:rPr>
      </w:pPr>
      <w:r>
        <w:rPr>
          <w:rFonts w:cs="Arial"/>
          <w:szCs w:val="20"/>
          <w:lang w:val="en-GB"/>
        </w:rPr>
        <w:t>A MEL plan will be developed to help operationalize the processes of monitoring, analysing, and evaluating progress, as well as the learning feedback. The MEL plan will translate theoretic concepts into operational practice, supporting timely collection of data by documenting the frequency and schedule of data collection as well as by assigning responsibilities of relevant LEAP-RE personnel. The MEL Plan will also include a description of the measurable indicators and the more qualitative processes of change and progress, arising from programme results, that contribute to LEAP-RE’s objectives.</w:t>
      </w:r>
    </w:p>
    <w:p>
      <w:pPr>
        <w:pStyle w:val="ListParagraph"/>
        <w:numPr>
          <w:ilvl w:val="0"/>
          <w:numId w:val="8"/>
        </w:numPr>
        <w:rPr>
          <w:rFonts w:cs="Arial"/>
          <w:b/>
          <w:b/>
          <w:szCs w:val="20"/>
          <w:lang w:val="en-GB"/>
        </w:rPr>
      </w:pPr>
      <w:r>
        <w:rPr>
          <w:rFonts w:cs="Arial"/>
          <w:b/>
          <w:szCs w:val="20"/>
          <w:lang w:val="en-GB"/>
        </w:rPr>
        <w:t>Monitoring</w:t>
      </w:r>
    </w:p>
    <w:p>
      <w:pPr>
        <w:pStyle w:val="Normal"/>
        <w:ind w:left="708" w:hanging="0"/>
        <w:rPr>
          <w:rFonts w:cs="Arial"/>
          <w:szCs w:val="20"/>
          <w:lang w:val="en-GB"/>
        </w:rPr>
      </w:pPr>
      <w:r>
        <w:rPr>
          <w:rFonts w:cs="Arial"/>
          <w:szCs w:val="20"/>
          <w:lang w:val="en-GB"/>
        </w:rPr>
        <w:t xml:space="preserve">Monitoring will focus on the routine collection, tracking and reporting of the full range of qualitative and quantitative indicators established for the hierarchy of intended results. This will illustrate progress towards achievement of the corresponding metrics based on the hierarchy of objectives. The process will provide ongoing progress reporting to LEAP-RE coordination and to CCSE governance, as well as providing data for periodic independent evaluation. For each indicator, the baseline study should define a baseline value from which to set indicator milestones and a feasible indicator target to be achieved. </w:t>
      </w:r>
    </w:p>
    <w:p>
      <w:pPr>
        <w:pStyle w:val="ListParagraph"/>
        <w:numPr>
          <w:ilvl w:val="0"/>
          <w:numId w:val="8"/>
        </w:numPr>
        <w:rPr>
          <w:rFonts w:cs="Arial"/>
          <w:b/>
          <w:b/>
          <w:szCs w:val="20"/>
          <w:lang w:val="en-GB"/>
        </w:rPr>
      </w:pPr>
      <w:r>
        <w:rPr>
          <w:rFonts w:cs="Arial"/>
          <w:b/>
          <w:szCs w:val="20"/>
          <w:lang w:val="en-GB"/>
        </w:rPr>
        <w:t>Evaluation</w:t>
      </w:r>
    </w:p>
    <w:p>
      <w:pPr>
        <w:pStyle w:val="Normal"/>
        <w:ind w:left="708" w:hanging="0"/>
        <w:rPr>
          <w:rFonts w:cs="Arial"/>
          <w:szCs w:val="20"/>
          <w:lang w:val="en-GB"/>
        </w:rPr>
      </w:pPr>
      <w:r>
        <w:rPr>
          <w:rFonts w:cs="Arial"/>
          <w:szCs w:val="20"/>
          <w:lang w:val="en-GB"/>
        </w:rPr>
        <w:t xml:space="preserve">Evaluation will provide periodic, independent assessments of the collected indicator data against agreed criteria. Evaluations will systematically and objectively assess progress towards and achievement of LEAP-RE’s intended results and contribution to eventual impact. This will provide the basis for feedback and lesson learning, inform decision making, thus will be conducted at strategically important points in the LEAP-RE timeline. Evaluations will be participatory processes, involving input from all programme partners, key LEAP-RE actors, and stakeholders in the LEAP-RE ecosystem. They will be conducted independently of routine monitoring and may require subcontracting to an expert team, external to LEAP-RE, for which terms of reference would be established. </w:t>
      </w:r>
    </w:p>
    <w:p>
      <w:pPr>
        <w:pStyle w:val="ListParagraph"/>
        <w:numPr>
          <w:ilvl w:val="0"/>
          <w:numId w:val="8"/>
        </w:numPr>
        <w:rPr>
          <w:rFonts w:cs="Arial"/>
          <w:b/>
          <w:b/>
          <w:szCs w:val="20"/>
          <w:lang w:val="en-GB"/>
        </w:rPr>
      </w:pPr>
      <w:r>
        <w:rPr>
          <w:rFonts w:cs="Arial"/>
          <w:b/>
          <w:szCs w:val="20"/>
          <w:lang w:val="en-GB"/>
        </w:rPr>
        <w:t>Learning</w:t>
      </w:r>
    </w:p>
    <w:p>
      <w:pPr>
        <w:pStyle w:val="Normal"/>
        <w:ind w:left="708" w:hanging="0"/>
        <w:rPr>
          <w:rFonts w:cs="Arial"/>
          <w:szCs w:val="20"/>
          <w:lang w:val="en-GB"/>
        </w:rPr>
      </w:pPr>
      <w:r>
        <w:rPr>
          <w:rFonts w:cs="Arial"/>
          <w:szCs w:val="20"/>
          <w:lang w:val="en-GB"/>
        </w:rPr>
        <w:t xml:space="preserve">The LEAP-RE M&amp;E framework is more than a results’ monitoring tool and has a core additional purpose of ensuring that the lessons learned through the process are able, where relevant, to influence decision making within and beyond LEAP-RE. A tool will be designed and operationalized to provide the framework for feedback loops from the M&amp;E process to (i) LEAP-RE’s own activities and processes, which could include further R&amp;I calls; and (ii) future programs operating in the same space. Through the feedback loops, the LEAP-RE M&amp;E process will be able to encourage adoption of best practices and interventions, in order to progressively enhance efficacy and efficiency.  </w:t>
      </w:r>
    </w:p>
    <w:p>
      <w:pPr>
        <w:pStyle w:val="Normal"/>
        <w:spacing w:lineRule="auto" w:line="259" w:before="0" w:after="160"/>
        <w:jc w:val="left"/>
        <w:rPr>
          <w:rFonts w:cs="Arial"/>
          <w:szCs w:val="20"/>
          <w:lang w:val="en-GB"/>
        </w:rPr>
      </w:pPr>
      <w:r>
        <w:rPr>
          <w:rFonts w:cs="Arial"/>
          <w:szCs w:val="20"/>
          <w:lang w:val="en-GB"/>
        </w:rPr>
      </w:r>
      <w:r>
        <w:br w:type="page"/>
      </w:r>
    </w:p>
    <w:p>
      <w:pPr>
        <w:pStyle w:val="Normal"/>
        <w:jc w:val="left"/>
        <w:rPr>
          <w:color w:val="0000FF"/>
          <w:szCs w:val="20"/>
          <w:lang w:val="en-GB"/>
        </w:rPr>
      </w:pPr>
      <w:r>
        <w:rPr>
          <w:color w:val="0000FF"/>
          <w:szCs w:val="20"/>
          <w:lang w:val="en-GB"/>
        </w:rPr>
      </w:r>
    </w:p>
    <w:tbl>
      <w:tblPr>
        <w:tblW w:w="9498"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4677"/>
        <w:gridCol w:w="1418"/>
        <w:gridCol w:w="1276"/>
        <w:gridCol w:w="2126"/>
      </w:tblGrid>
      <w:tr>
        <w:trPr>
          <w:tblHeader w:val="true"/>
        </w:trPr>
        <w:tc>
          <w:tcPr>
            <w:tcW w:w="4677"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Actions</w:t>
            </w:r>
          </w:p>
        </w:tc>
        <w:tc>
          <w:tcPr>
            <w:tcW w:w="1418"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center"/>
              <w:rPr>
                <w:rFonts w:cs="Arial"/>
                <w:b/>
                <w:b/>
                <w:bCs/>
                <w:szCs w:val="20"/>
                <w:lang w:val="en-GB"/>
              </w:rPr>
            </w:pPr>
            <w:r>
              <w:rPr>
                <w:rFonts w:cs="Arial"/>
                <w:b/>
                <w:bCs/>
                <w:szCs w:val="20"/>
                <w:lang w:val="en-GB"/>
              </w:rPr>
              <w:t>Start Date</w:t>
            </w:r>
          </w:p>
        </w:tc>
        <w:tc>
          <w:tcPr>
            <w:tcW w:w="1276"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center"/>
              <w:rPr>
                <w:rFonts w:cs="Arial"/>
                <w:b/>
                <w:b/>
                <w:bCs/>
                <w:szCs w:val="20"/>
                <w:lang w:val="en-GB"/>
              </w:rPr>
            </w:pPr>
            <w:r>
              <w:rPr>
                <w:rFonts w:cs="Arial"/>
                <w:b/>
                <w:bCs/>
                <w:szCs w:val="20"/>
                <w:lang w:val="en-GB"/>
              </w:rPr>
              <w:t>Due Date</w:t>
            </w:r>
          </w:p>
        </w:tc>
        <w:tc>
          <w:tcPr>
            <w:tcW w:w="2126"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Responsible</w:t>
            </w:r>
          </w:p>
        </w:tc>
      </w:tr>
      <w:tr>
        <w:trPr/>
        <w:tc>
          <w:tcPr>
            <w:tcW w:w="4677" w:type="dxa"/>
            <w:tcBorders>
              <w:top w:val="single" w:sz="4" w:space="0" w:color="4472C4"/>
              <w:bottom w:val="single" w:sz="4" w:space="0" w:color="4472C4"/>
            </w:tcBorders>
          </w:tcPr>
          <w:p>
            <w:pPr>
              <w:pStyle w:val="ListParagraph"/>
              <w:widowControl w:val="false"/>
              <w:numPr>
                <w:ilvl w:val="0"/>
                <w:numId w:val="7"/>
              </w:numPr>
              <w:spacing w:before="0" w:after="0"/>
              <w:ind w:left="462" w:hanging="283"/>
              <w:contextualSpacing/>
              <w:jc w:val="left"/>
              <w:rPr>
                <w:rFonts w:cs="Arial"/>
                <w:bCs/>
                <w:szCs w:val="20"/>
                <w:lang w:val="en-GB"/>
              </w:rPr>
            </w:pPr>
            <w:r>
              <w:rPr>
                <w:rFonts w:cs="Arial"/>
                <w:bCs/>
                <w:szCs w:val="20"/>
                <w:lang w:val="en-GB"/>
              </w:rPr>
              <w:t>Theoretical Framework from Baseline Study</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t>Apr 2021</w:t>
            </w:r>
          </w:p>
        </w:tc>
        <w:tc>
          <w:tcPr>
            <w:tcW w:w="1276"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t>Jul 2021</w:t>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UEFISCDI/SU</w:t>
            </w:r>
          </w:p>
        </w:tc>
      </w:tr>
      <w:tr>
        <w:trPr/>
        <w:tc>
          <w:tcPr>
            <w:tcW w:w="4677" w:type="dxa"/>
            <w:tcBorders>
              <w:top w:val="single" w:sz="4" w:space="0" w:color="4472C4"/>
              <w:bottom w:val="single" w:sz="4" w:space="0" w:color="4472C4"/>
            </w:tcBorders>
          </w:tcPr>
          <w:p>
            <w:pPr>
              <w:pStyle w:val="ListParagraph"/>
              <w:widowControl w:val="false"/>
              <w:numPr>
                <w:ilvl w:val="0"/>
                <w:numId w:val="7"/>
              </w:numPr>
              <w:spacing w:before="0" w:after="0"/>
              <w:ind w:left="462" w:hanging="283"/>
              <w:contextualSpacing/>
              <w:jc w:val="left"/>
              <w:rPr>
                <w:rFonts w:cs="Arial"/>
                <w:bCs/>
                <w:szCs w:val="20"/>
                <w:lang w:val="en-GB"/>
              </w:rPr>
            </w:pPr>
            <w:commentRangeStart w:id="4"/>
            <w:r>
              <w:rPr>
                <w:rFonts w:cs="Arial"/>
                <w:bCs/>
                <w:szCs w:val="20"/>
                <w:lang w:val="en-GB"/>
              </w:rPr>
              <w:t>MEL Plan</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t>Aug 2021</w:t>
            </w:r>
          </w:p>
        </w:tc>
        <w:tc>
          <w:tcPr>
            <w:tcW w:w="1276"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t>Dec 2021</w:t>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s-ES"/>
              </w:rPr>
            </w:pPr>
            <w:r>
              <w:rPr>
                <w:rFonts w:cs="Arial"/>
                <w:bCs/>
                <w:szCs w:val="20"/>
                <w:lang w:val="en-GB"/>
              </w:rPr>
              <w:t>UEFISCDI/SU</w:t>
            </w:r>
            <w:commentRangeEnd w:id="4"/>
            <w:r>
              <w:commentReference w:id="4"/>
            </w:r>
            <w:r>
              <w:rPr>
                <w:rFonts w:cs="Arial"/>
                <w:bCs/>
                <w:szCs w:val="20"/>
                <w:lang w:val="en-GB"/>
              </w:rPr>
            </w:r>
          </w:p>
        </w:tc>
      </w:tr>
      <w:tr>
        <w:trPr/>
        <w:tc>
          <w:tcPr>
            <w:tcW w:w="4677" w:type="dxa"/>
            <w:tcBorders>
              <w:top w:val="single" w:sz="4" w:space="0" w:color="4472C4"/>
              <w:bottom w:val="single" w:sz="4" w:space="0" w:color="4472C4"/>
            </w:tcBorders>
          </w:tcPr>
          <w:p>
            <w:pPr>
              <w:pStyle w:val="ListParagraph"/>
              <w:widowControl w:val="false"/>
              <w:numPr>
                <w:ilvl w:val="0"/>
                <w:numId w:val="7"/>
              </w:numPr>
              <w:spacing w:before="0" w:after="0"/>
              <w:ind w:left="462" w:hanging="283"/>
              <w:contextualSpacing/>
              <w:jc w:val="left"/>
              <w:rPr>
                <w:rFonts w:cs="Arial"/>
                <w:bCs/>
                <w:szCs w:val="20"/>
                <w:lang w:val="en-GB"/>
              </w:rPr>
            </w:pPr>
            <w:r>
              <w:rPr>
                <w:rFonts w:cs="Arial"/>
                <w:bCs/>
                <w:szCs w:val="20"/>
                <w:lang w:val="en-GB"/>
              </w:rPr>
              <w:t>Monitoring Report: Pillar 1</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lang w:val="en-GB"/>
              </w:rPr>
            </w:pPr>
            <w:r>
              <w:rPr>
                <w:rFonts w:cs="Arial"/>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lang w:val="en-GB"/>
              </w:rPr>
            </w:pPr>
            <w:r>
              <w:rPr>
                <w:rFonts w:cs="Arial"/>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lang w:val="es-ES"/>
              </w:rPr>
            </w:pPr>
            <w:r>
              <w:rPr>
                <w:rFonts w:cs="Arial"/>
                <w:bCs/>
                <w:szCs w:val="20"/>
                <w:lang w:val="en-GB"/>
              </w:rPr>
              <w:t>UEFISCDI/MESRS</w:t>
            </w:r>
          </w:p>
        </w:tc>
      </w:tr>
      <w:tr>
        <w:trPr/>
        <w:tc>
          <w:tcPr>
            <w:tcW w:w="4677" w:type="dxa"/>
            <w:tcBorders>
              <w:top w:val="single" w:sz="4" w:space="0" w:color="4472C4"/>
              <w:bottom w:val="single" w:sz="4" w:space="0" w:color="4472C4"/>
            </w:tcBorders>
          </w:tcPr>
          <w:p>
            <w:pPr>
              <w:pStyle w:val="ListParagraph"/>
              <w:widowControl w:val="false"/>
              <w:numPr>
                <w:ilvl w:val="0"/>
                <w:numId w:val="7"/>
              </w:numPr>
              <w:spacing w:before="0" w:after="0"/>
              <w:ind w:left="462" w:hanging="283"/>
              <w:contextualSpacing/>
              <w:jc w:val="left"/>
              <w:rPr>
                <w:rFonts w:cs="Arial"/>
                <w:bCs/>
                <w:szCs w:val="20"/>
                <w:lang w:val="en-GB"/>
              </w:rPr>
            </w:pPr>
            <w:r>
              <w:rPr>
                <w:rFonts w:cs="Arial"/>
                <w:bCs/>
                <w:szCs w:val="20"/>
                <w:lang w:val="en-GB"/>
              </w:rPr>
              <w:t>Monitoring Report: Pillar 2</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POLIMI/SU</w:t>
            </w:r>
          </w:p>
        </w:tc>
      </w:tr>
      <w:tr>
        <w:trPr/>
        <w:tc>
          <w:tcPr>
            <w:tcW w:w="4677" w:type="dxa"/>
            <w:tcBorders>
              <w:top w:val="single" w:sz="4" w:space="0" w:color="4472C4"/>
              <w:bottom w:val="single" w:sz="4" w:space="0" w:color="4472C4"/>
            </w:tcBorders>
          </w:tcPr>
          <w:p>
            <w:pPr>
              <w:pStyle w:val="ListParagraph"/>
              <w:widowControl w:val="false"/>
              <w:numPr>
                <w:ilvl w:val="0"/>
                <w:numId w:val="7"/>
              </w:numPr>
              <w:spacing w:before="0" w:after="0"/>
              <w:ind w:left="462" w:hanging="283"/>
              <w:contextualSpacing/>
              <w:jc w:val="left"/>
              <w:rPr>
                <w:rFonts w:cs="Arial"/>
                <w:bCs/>
                <w:szCs w:val="20"/>
                <w:lang w:val="en-GB"/>
              </w:rPr>
            </w:pPr>
            <w:r>
              <w:rPr>
                <w:rFonts w:cs="Arial"/>
                <w:bCs/>
                <w:szCs w:val="20"/>
                <w:lang w:val="en-GB"/>
              </w:rPr>
              <w:t>Monitoring Report: Pillar 3</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LGI/DSI</w:t>
            </w:r>
          </w:p>
        </w:tc>
      </w:tr>
      <w:tr>
        <w:trPr/>
        <w:tc>
          <w:tcPr>
            <w:tcW w:w="4677" w:type="dxa"/>
            <w:tcBorders>
              <w:top w:val="single" w:sz="4" w:space="0" w:color="4472C4"/>
              <w:bottom w:val="single" w:sz="4" w:space="0" w:color="4472C4"/>
            </w:tcBorders>
          </w:tcPr>
          <w:p>
            <w:pPr>
              <w:pStyle w:val="ListParagraph"/>
              <w:widowControl w:val="false"/>
              <w:numPr>
                <w:ilvl w:val="0"/>
                <w:numId w:val="7"/>
              </w:numPr>
              <w:spacing w:before="0" w:after="0"/>
              <w:ind w:left="462" w:hanging="283"/>
              <w:contextualSpacing/>
              <w:jc w:val="left"/>
              <w:rPr>
                <w:rFonts w:cs="Arial"/>
                <w:bCs/>
                <w:szCs w:val="20"/>
                <w:lang w:val="en-GB"/>
              </w:rPr>
            </w:pPr>
            <w:r>
              <w:rPr>
                <w:rFonts w:cs="Arial"/>
                <w:bCs/>
                <w:szCs w:val="20"/>
                <w:lang w:val="en-GB"/>
              </w:rPr>
              <w:t>Evaluation Report: Pillar 1</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del w:id="7" w:author="ED" w:date="2021-04-01T11:41:00Z">
              <w:r>
                <w:rPr>
                  <w:rFonts w:cs="Arial"/>
                  <w:bCs/>
                  <w:szCs w:val="20"/>
                  <w:lang w:val="en-GB"/>
                </w:rPr>
                <w:delText>ZSI/</w:delText>
              </w:r>
            </w:del>
            <w:r>
              <w:rPr>
                <w:rFonts w:cs="Arial"/>
                <w:bCs/>
                <w:szCs w:val="20"/>
                <w:lang w:val="en-GB"/>
              </w:rPr>
              <w:t>PAUWES</w:t>
            </w:r>
          </w:p>
        </w:tc>
      </w:tr>
      <w:tr>
        <w:trPr/>
        <w:tc>
          <w:tcPr>
            <w:tcW w:w="4677" w:type="dxa"/>
            <w:tcBorders>
              <w:top w:val="single" w:sz="4" w:space="0" w:color="4472C4"/>
              <w:bottom w:val="single" w:sz="4" w:space="0" w:color="4472C4"/>
            </w:tcBorders>
          </w:tcPr>
          <w:p>
            <w:pPr>
              <w:pStyle w:val="ListParagraph"/>
              <w:widowControl w:val="false"/>
              <w:numPr>
                <w:ilvl w:val="0"/>
                <w:numId w:val="7"/>
              </w:numPr>
              <w:spacing w:before="0" w:after="0"/>
              <w:ind w:left="462" w:hanging="283"/>
              <w:contextualSpacing/>
              <w:jc w:val="left"/>
              <w:rPr>
                <w:rFonts w:cs="Arial"/>
                <w:bCs/>
                <w:szCs w:val="20"/>
                <w:lang w:val="en-GB"/>
              </w:rPr>
            </w:pPr>
            <w:r>
              <w:rPr>
                <w:rFonts w:cs="Arial"/>
                <w:bCs/>
                <w:szCs w:val="20"/>
                <w:lang w:val="en-GB"/>
              </w:rPr>
              <w:t>Evaluation Report: Pillar 2</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del w:id="8" w:author="ED" w:date="2021-04-01T11:41:00Z">
              <w:r>
                <w:rPr>
                  <w:rFonts w:cs="Arial"/>
                  <w:bCs/>
                  <w:szCs w:val="20"/>
                  <w:lang w:val="en-GB"/>
                </w:rPr>
                <w:delText>ZSI/</w:delText>
              </w:r>
            </w:del>
            <w:r>
              <w:rPr>
                <w:rFonts w:cs="Arial"/>
                <w:bCs/>
                <w:szCs w:val="20"/>
                <w:lang w:val="en-GB"/>
              </w:rPr>
              <w:t>PAUWES</w:t>
            </w:r>
          </w:p>
        </w:tc>
      </w:tr>
      <w:tr>
        <w:trPr/>
        <w:tc>
          <w:tcPr>
            <w:tcW w:w="4677" w:type="dxa"/>
            <w:tcBorders>
              <w:top w:val="single" w:sz="4" w:space="0" w:color="4472C4"/>
              <w:bottom w:val="single" w:sz="4" w:space="0" w:color="4472C4"/>
            </w:tcBorders>
          </w:tcPr>
          <w:p>
            <w:pPr>
              <w:pStyle w:val="ListParagraph"/>
              <w:widowControl w:val="false"/>
              <w:numPr>
                <w:ilvl w:val="0"/>
                <w:numId w:val="7"/>
              </w:numPr>
              <w:spacing w:before="0" w:after="0"/>
              <w:ind w:left="462" w:hanging="283"/>
              <w:contextualSpacing/>
              <w:jc w:val="left"/>
              <w:rPr>
                <w:rFonts w:cs="Arial"/>
                <w:bCs/>
                <w:szCs w:val="20"/>
                <w:lang w:val="en-GB"/>
              </w:rPr>
            </w:pPr>
            <w:commentRangeStart w:id="5"/>
            <w:r>
              <w:rPr>
                <w:rFonts w:cs="Arial"/>
                <w:bCs/>
                <w:szCs w:val="20"/>
                <w:lang w:val="en-GB"/>
              </w:rPr>
              <w:t>Evaluation Report: Pillar 3</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del w:id="9" w:author="ED" w:date="2021-04-01T11:41:00Z">
              <w:r>
                <w:rPr>
                  <w:rFonts w:cs="Arial"/>
                  <w:bCs/>
                  <w:szCs w:val="20"/>
                  <w:lang w:val="en-GB"/>
                </w:rPr>
                <w:delText>ZSI/</w:delText>
              </w:r>
            </w:del>
            <w:r>
              <w:rPr>
                <w:rFonts w:cs="Arial"/>
                <w:bCs/>
                <w:szCs w:val="20"/>
                <w:lang w:val="en-GB"/>
              </w:rPr>
              <w:t>PAUWES</w:t>
            </w:r>
            <w:commentRangeEnd w:id="5"/>
            <w:r>
              <w:commentReference w:id="5"/>
            </w:r>
            <w:r>
              <w:rPr>
                <w:rFonts w:cs="Arial"/>
                <w:bCs/>
                <w:szCs w:val="20"/>
                <w:lang w:val="en-GB"/>
              </w:rPr>
            </w:r>
          </w:p>
        </w:tc>
      </w:tr>
      <w:tr>
        <w:trPr/>
        <w:tc>
          <w:tcPr>
            <w:tcW w:w="4677" w:type="dxa"/>
            <w:tcBorders>
              <w:top w:val="single" w:sz="4" w:space="0" w:color="4472C4"/>
              <w:bottom w:val="single" w:sz="4" w:space="0" w:color="4472C4"/>
            </w:tcBorders>
          </w:tcPr>
          <w:p>
            <w:pPr>
              <w:pStyle w:val="ListParagraph"/>
              <w:widowControl w:val="false"/>
              <w:numPr>
                <w:ilvl w:val="0"/>
                <w:numId w:val="7"/>
              </w:numPr>
              <w:spacing w:before="0" w:after="0"/>
              <w:ind w:left="462" w:hanging="283"/>
              <w:contextualSpacing/>
              <w:jc w:val="left"/>
              <w:rPr>
                <w:rFonts w:cs="Arial"/>
                <w:bCs/>
                <w:szCs w:val="20"/>
                <w:lang w:val="en-GB"/>
              </w:rPr>
            </w:pPr>
            <w:r>
              <w:rPr>
                <w:rFonts w:cs="Arial"/>
                <w:bCs/>
                <w:szCs w:val="20"/>
                <w:lang w:val="en-GB"/>
              </w:rPr>
              <w:t>Learning Report: Pillar 1</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UEFISCDI/MESSRS</w:t>
            </w:r>
          </w:p>
        </w:tc>
      </w:tr>
      <w:tr>
        <w:trPr/>
        <w:tc>
          <w:tcPr>
            <w:tcW w:w="4677" w:type="dxa"/>
            <w:tcBorders>
              <w:top w:val="single" w:sz="4" w:space="0" w:color="4472C4"/>
              <w:bottom w:val="single" w:sz="4" w:space="0" w:color="4472C4"/>
            </w:tcBorders>
          </w:tcPr>
          <w:p>
            <w:pPr>
              <w:pStyle w:val="ListParagraph"/>
              <w:widowControl w:val="false"/>
              <w:numPr>
                <w:ilvl w:val="0"/>
                <w:numId w:val="7"/>
              </w:numPr>
              <w:spacing w:before="0" w:after="0"/>
              <w:ind w:left="462" w:hanging="283"/>
              <w:contextualSpacing/>
              <w:jc w:val="left"/>
              <w:rPr>
                <w:rFonts w:cs="Arial"/>
                <w:bCs/>
                <w:szCs w:val="20"/>
                <w:lang w:val="en-GB"/>
              </w:rPr>
            </w:pPr>
            <w:r>
              <w:rPr>
                <w:rFonts w:cs="Arial"/>
                <w:bCs/>
                <w:szCs w:val="20"/>
                <w:lang w:val="en-GB"/>
              </w:rPr>
              <w:t>Learning Report: Pillar 2</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POLIMI/SU</w:t>
            </w:r>
          </w:p>
        </w:tc>
      </w:tr>
      <w:tr>
        <w:trPr/>
        <w:tc>
          <w:tcPr>
            <w:tcW w:w="4677" w:type="dxa"/>
            <w:tcBorders>
              <w:top w:val="single" w:sz="4" w:space="0" w:color="4472C4"/>
              <w:bottom w:val="single" w:sz="4" w:space="0" w:color="4472C4"/>
            </w:tcBorders>
          </w:tcPr>
          <w:p>
            <w:pPr>
              <w:pStyle w:val="ListParagraph"/>
              <w:widowControl w:val="false"/>
              <w:numPr>
                <w:ilvl w:val="0"/>
                <w:numId w:val="7"/>
              </w:numPr>
              <w:spacing w:before="0" w:after="0"/>
              <w:ind w:left="462" w:hanging="283"/>
              <w:contextualSpacing/>
              <w:jc w:val="left"/>
              <w:rPr>
                <w:rFonts w:cs="Arial"/>
                <w:bCs/>
                <w:szCs w:val="20"/>
                <w:lang w:val="en-GB"/>
              </w:rPr>
            </w:pPr>
            <w:r>
              <w:rPr>
                <w:rFonts w:cs="Arial"/>
                <w:bCs/>
                <w:szCs w:val="20"/>
                <w:lang w:val="en-GB"/>
              </w:rPr>
              <w:t>Learning Report: Pillar 3</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LGI/DSI</w:t>
            </w:r>
          </w:p>
        </w:tc>
      </w:tr>
      <w:tr>
        <w:trPr/>
        <w:tc>
          <w:tcPr>
            <w:tcW w:w="4677" w:type="dxa"/>
            <w:tcBorders>
              <w:top w:val="single" w:sz="4" w:space="0" w:color="4472C4"/>
              <w:bottom w:val="single" w:sz="4" w:space="0" w:color="4472C4"/>
            </w:tcBorders>
          </w:tcPr>
          <w:p>
            <w:pPr>
              <w:pStyle w:val="ListParagraph"/>
              <w:widowControl w:val="false"/>
              <w:numPr>
                <w:ilvl w:val="0"/>
                <w:numId w:val="7"/>
              </w:numPr>
              <w:spacing w:before="0" w:after="0"/>
              <w:ind w:left="462" w:hanging="283"/>
              <w:contextualSpacing/>
              <w:jc w:val="left"/>
              <w:rPr>
                <w:rFonts w:cs="Arial"/>
                <w:bCs/>
                <w:szCs w:val="20"/>
                <w:lang w:val="en-GB"/>
              </w:rPr>
            </w:pPr>
            <w:r>
              <w:rPr>
                <w:rFonts w:cs="Arial"/>
                <w:bCs/>
                <w:szCs w:val="20"/>
                <w:lang w:val="en-GB"/>
              </w:rPr>
              <w:t>Monitoring Report: LEAP-RE</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SU/UEFISCDI</w:t>
            </w:r>
          </w:p>
        </w:tc>
      </w:tr>
      <w:tr>
        <w:trPr/>
        <w:tc>
          <w:tcPr>
            <w:tcW w:w="4677" w:type="dxa"/>
            <w:tcBorders>
              <w:top w:val="single" w:sz="4" w:space="0" w:color="4472C4"/>
              <w:bottom w:val="single" w:sz="4" w:space="0" w:color="4472C4"/>
            </w:tcBorders>
          </w:tcPr>
          <w:p>
            <w:pPr>
              <w:pStyle w:val="ListParagraph"/>
              <w:widowControl w:val="false"/>
              <w:numPr>
                <w:ilvl w:val="0"/>
                <w:numId w:val="7"/>
              </w:numPr>
              <w:spacing w:before="0" w:after="0"/>
              <w:ind w:left="462" w:hanging="283"/>
              <w:contextualSpacing/>
              <w:jc w:val="left"/>
              <w:rPr>
                <w:rFonts w:cs="Arial"/>
                <w:bCs/>
                <w:szCs w:val="20"/>
                <w:lang w:val="en-GB"/>
              </w:rPr>
            </w:pPr>
            <w:r>
              <w:rPr>
                <w:rFonts w:cs="Arial"/>
                <w:bCs/>
                <w:szCs w:val="20"/>
                <w:lang w:val="en-GB"/>
              </w:rPr>
              <w:t>Evaluation Report: LEAP-RE</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SU/UEFISCDI</w:t>
            </w:r>
          </w:p>
        </w:tc>
      </w:tr>
      <w:tr>
        <w:trPr/>
        <w:tc>
          <w:tcPr>
            <w:tcW w:w="4677" w:type="dxa"/>
            <w:tcBorders>
              <w:top w:val="single" w:sz="4" w:space="0" w:color="4472C4"/>
              <w:bottom w:val="single" w:sz="4" w:space="0" w:color="000000"/>
            </w:tcBorders>
          </w:tcPr>
          <w:p>
            <w:pPr>
              <w:pStyle w:val="ListParagraph"/>
              <w:widowControl w:val="false"/>
              <w:numPr>
                <w:ilvl w:val="0"/>
                <w:numId w:val="7"/>
              </w:numPr>
              <w:spacing w:before="0" w:after="0"/>
              <w:ind w:left="462" w:hanging="283"/>
              <w:contextualSpacing/>
              <w:jc w:val="left"/>
              <w:rPr>
                <w:rFonts w:cs="Arial"/>
                <w:bCs/>
                <w:szCs w:val="20"/>
                <w:lang w:val="en-GB"/>
              </w:rPr>
            </w:pPr>
            <w:r>
              <w:rPr>
                <w:rFonts w:cs="Arial"/>
                <w:bCs/>
                <w:szCs w:val="20"/>
                <w:lang w:val="en-GB"/>
              </w:rPr>
              <w:t>Learning Report: LEAP-RE</w:t>
            </w:r>
          </w:p>
        </w:tc>
        <w:tc>
          <w:tcPr>
            <w:tcW w:w="1418" w:type="dxa"/>
            <w:tcBorders>
              <w:top w:val="single" w:sz="4" w:space="0" w:color="4472C4"/>
              <w:bottom w:val="single" w:sz="4" w:space="0" w:color="000000"/>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000000"/>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000000"/>
            </w:tcBorders>
          </w:tcPr>
          <w:p>
            <w:pPr>
              <w:pStyle w:val="Normal"/>
              <w:widowControl w:val="false"/>
              <w:spacing w:lineRule="atLeast" w:line="260" w:before="60" w:after="60"/>
              <w:jc w:val="left"/>
              <w:rPr>
                <w:rFonts w:cs="Arial"/>
                <w:bCs/>
                <w:szCs w:val="20"/>
                <w:lang w:val="en-GB"/>
              </w:rPr>
            </w:pPr>
            <w:r>
              <w:rPr>
                <w:rFonts w:cs="Arial"/>
                <w:bCs/>
                <w:szCs w:val="20"/>
                <w:lang w:val="en-GB"/>
              </w:rPr>
              <w:t>SU/UEFISCDI</w:t>
            </w:r>
          </w:p>
        </w:tc>
      </w:tr>
    </w:tbl>
    <w:p>
      <w:pPr>
        <w:pStyle w:val="Normal"/>
        <w:rPr>
          <w:sz w:val="2"/>
          <w:szCs w:val="2"/>
          <w:highlight w:val="lightGray"/>
        </w:rPr>
      </w:pPr>
      <w:r>
        <w:rPr>
          <w:sz w:val="2"/>
          <w:szCs w:val="2"/>
          <w:highlight w:val="lightGray"/>
        </w:rPr>
      </w:r>
    </w:p>
    <w:p>
      <w:pPr>
        <w:pStyle w:val="Normal"/>
        <w:spacing w:lineRule="auto" w:line="259" w:before="0" w:after="160"/>
        <w:jc w:val="left"/>
        <w:rPr>
          <w:highlight w:val="lightGray"/>
        </w:rPr>
      </w:pPr>
      <w:r>
        <w:rPr>
          <w:highlight w:val="lightGray"/>
        </w:rPr>
      </w:r>
    </w:p>
    <w:p>
      <w:pPr>
        <w:pStyle w:val="Normal"/>
        <w:spacing w:lineRule="auto" w:line="259" w:before="0" w:after="160"/>
        <w:jc w:val="left"/>
        <w:rPr>
          <w:highlight w:val="lightGray"/>
        </w:rPr>
      </w:pPr>
      <w:r>
        <w:rPr>
          <w:highlight w:val="lightGray"/>
        </w:rPr>
      </w:r>
    </w:p>
    <w:p>
      <w:pPr>
        <w:pStyle w:val="Normal"/>
        <w:spacing w:lineRule="auto" w:line="259" w:before="0" w:after="160"/>
        <w:jc w:val="left"/>
        <w:rPr>
          <w:b/>
          <w:b/>
          <w:bCs/>
          <w:color w:val="7F7F7F" w:themeColor="text1" w:themeTint="80"/>
          <w:sz w:val="24"/>
          <w:highlight w:val="lightGray"/>
          <w:lang w:val="en-GB"/>
        </w:rPr>
      </w:pPr>
      <w:r>
        <w:rPr>
          <w:b/>
          <w:bCs/>
          <w:color w:val="7F7F7F" w:themeColor="text1" w:themeTint="80"/>
          <w:sz w:val="24"/>
          <w:highlight w:val="lightGray"/>
          <w:lang w:val="en-GB"/>
        </w:rPr>
      </w:r>
      <w:r>
        <w:br w:type="page"/>
      </w:r>
    </w:p>
    <w:p>
      <w:pPr>
        <w:pStyle w:val="Heading3"/>
        <w:rPr>
          <w:i w:val="false"/>
          <w:i w:val="false"/>
        </w:rPr>
      </w:pPr>
      <w:r>
        <w:rPr>
          <w:i w:val="false"/>
        </w:rPr>
        <w:t>Task 5.2: Dialogue with Policymakers and other Stakeholders for Research Uptake</w:t>
      </w:r>
    </w:p>
    <w:p>
      <w:pPr>
        <w:pStyle w:val="Normal"/>
        <w:jc w:val="left"/>
        <w:rPr>
          <w:szCs w:val="20"/>
          <w:lang w:val="en-GB"/>
        </w:rPr>
      </w:pPr>
      <w:r>
        <w:rPr>
          <w:szCs w:val="20"/>
          <w:lang w:val="en-GB"/>
        </w:rPr>
        <w:t xml:space="preserve">Start date: </w:t>
      </w:r>
      <w:r>
        <w:rPr>
          <w:rFonts w:cs="Arial"/>
          <w:szCs w:val="20"/>
          <w:lang w:val="en-GB"/>
        </w:rPr>
        <w:t>M3 (Dec. 2020); E</w:t>
      </w:r>
      <w:r>
        <w:rPr>
          <w:szCs w:val="20"/>
          <w:lang w:val="en-GB"/>
        </w:rPr>
        <w:t>nd date: M63 (Dec. 2025)</w:t>
      </w:r>
    </w:p>
    <w:p>
      <w:pPr>
        <w:pStyle w:val="Normal"/>
        <w:jc w:val="left"/>
        <w:rPr>
          <w:b/>
          <w:b/>
          <w:szCs w:val="20"/>
          <w:lang w:val="en-GB"/>
        </w:rPr>
      </w:pPr>
      <w:r>
        <w:rPr>
          <w:b/>
          <w:szCs w:val="20"/>
          <w:lang w:val="en-GB"/>
        </w:rPr>
        <w:t xml:space="preserve">Task Leaders: </w:t>
      </w:r>
    </w:p>
    <w:p>
      <w:pPr>
        <w:pStyle w:val="ListParagraph"/>
        <w:numPr>
          <w:ilvl w:val="0"/>
          <w:numId w:val="3"/>
        </w:numPr>
        <w:jc w:val="left"/>
        <w:rPr>
          <w:color w:val="000000" w:themeColor="text1"/>
          <w:szCs w:val="20"/>
          <w:lang w:val="en-GB"/>
        </w:rPr>
      </w:pPr>
      <w:r>
        <w:rPr>
          <w:color w:val="000000" w:themeColor="text1"/>
          <w:szCs w:val="20"/>
          <w:lang w:val="en-GB"/>
        </w:rPr>
        <w:t>Mr Abdellatif Zerga &amp; Mr Erick Tambo | Pan African University Water and Energy Science (</w:t>
      </w:r>
      <w:r>
        <w:rPr>
          <w:b/>
          <w:color w:val="000000" w:themeColor="text1"/>
          <w:szCs w:val="20"/>
          <w:lang w:val="en-GB"/>
        </w:rPr>
        <w:t>PAUWES</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Mr Stefan A. Haffner | German Aerospace Center (</w:t>
      </w:r>
      <w:r>
        <w:rPr>
          <w:b/>
          <w:color w:val="000000" w:themeColor="text1"/>
          <w:szCs w:val="20"/>
          <w:lang w:val="en-GB"/>
        </w:rPr>
        <w:t>DLR</w:t>
      </w:r>
      <w:r>
        <w:rPr>
          <w:color w:val="000000" w:themeColor="text1"/>
          <w:szCs w:val="20"/>
          <w:lang w:val="en-GB"/>
        </w:rPr>
        <w:t>)</w:t>
      </w:r>
    </w:p>
    <w:p>
      <w:pPr>
        <w:pStyle w:val="Normal"/>
        <w:jc w:val="left"/>
        <w:rPr>
          <w:b/>
          <w:b/>
          <w:lang w:val="en-GB"/>
        </w:rPr>
      </w:pPr>
      <w:r>
        <w:rPr>
          <w:b/>
          <w:szCs w:val="20"/>
          <w:lang w:val="en-GB"/>
        </w:rPr>
        <w:t>Contributors:</w:t>
      </w:r>
      <w:r>
        <w:rPr>
          <w:b/>
          <w:lang w:val="en-GB"/>
        </w:rPr>
        <w:t xml:space="preserve"> </w:t>
      </w:r>
    </w:p>
    <w:p>
      <w:pPr>
        <w:pStyle w:val="ListParagraph"/>
        <w:numPr>
          <w:ilvl w:val="0"/>
          <w:numId w:val="3"/>
        </w:numPr>
        <w:rPr>
          <w:color w:val="000000" w:themeColor="text1"/>
          <w:szCs w:val="20"/>
          <w:lang w:val="en-GB"/>
        </w:rPr>
      </w:pPr>
      <w:r>
        <w:rPr>
          <w:color w:val="000000" w:themeColor="text1"/>
          <w:szCs w:val="20"/>
          <w:lang w:val="en-GB"/>
        </w:rPr>
        <w:t>Mr Mokthar Sellami &amp; Mr Lassassi Moundir &amp; Ms Souami Feriel | Ministere de l'enseignement Superieur et de la Recherche Scientifique (</w:t>
      </w:r>
      <w:r>
        <w:rPr>
          <w:b/>
          <w:color w:val="000000" w:themeColor="text1"/>
          <w:szCs w:val="20"/>
          <w:lang w:val="en-GB"/>
        </w:rPr>
        <w:t>MESRS</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Ms Emanuela Colombo &amp; Mr Riccardo Mereu | POLITECNICO DI MILANO (</w:t>
      </w:r>
      <w:r>
        <w:rPr>
          <w:b/>
          <w:color w:val="000000" w:themeColor="text1"/>
          <w:szCs w:val="20"/>
          <w:lang w:val="en-GB"/>
        </w:rPr>
        <w:t>POLIMI</w:t>
      </w:r>
      <w:r>
        <w:rPr>
          <w:color w:val="000000" w:themeColor="text1"/>
          <w:szCs w:val="20"/>
          <w:lang w:val="en-GB"/>
        </w:rPr>
        <w:t>)</w:t>
      </w:r>
    </w:p>
    <w:p>
      <w:pPr>
        <w:pStyle w:val="ListParagraph"/>
        <w:numPr>
          <w:ilvl w:val="0"/>
          <w:numId w:val="3"/>
        </w:numPr>
        <w:jc w:val="left"/>
        <w:rPr>
          <w:color w:val="000000" w:themeColor="text1"/>
          <w:szCs w:val="20"/>
          <w:lang w:val="de-DE"/>
        </w:rPr>
      </w:pPr>
      <w:r>
        <w:rPr>
          <w:color w:val="000000" w:themeColor="text1"/>
          <w:szCs w:val="20"/>
          <w:lang w:val="de-DE"/>
        </w:rPr>
        <w:t>Ms Niclette Bukasa Kampata (</w:t>
      </w:r>
      <w:r>
        <w:rPr>
          <w:b/>
          <w:color w:val="000000" w:themeColor="text1"/>
          <w:szCs w:val="20"/>
          <w:lang w:val="de-DE"/>
        </w:rPr>
        <w:t>LGI</w:t>
      </w:r>
      <w:r>
        <w:rPr>
          <w:color w:val="000000" w:themeColor="text1"/>
          <w:szCs w:val="20"/>
          <w:lang w:val="de-DE"/>
        </w:rPr>
        <w:t>)</w:t>
      </w:r>
      <w:bookmarkStart w:id="20" w:name="_Hlk67003723"/>
      <w:bookmarkEnd w:id="20"/>
    </w:p>
    <w:p>
      <w:pPr>
        <w:pStyle w:val="Normal"/>
        <w:ind w:left="360" w:hanging="0"/>
        <w:jc w:val="left"/>
        <w:rPr>
          <w:color w:val="000000" w:themeColor="text1"/>
          <w:szCs w:val="20"/>
          <w:lang w:val="de-DE"/>
        </w:rPr>
      </w:pPr>
      <w:r>
        <w:rPr>
          <w:color w:val="000000" w:themeColor="text1"/>
          <w:szCs w:val="20"/>
          <w:lang w:val="de-DE"/>
        </w:rPr>
      </w:r>
    </w:p>
    <w:tbl>
      <w:tblPr>
        <w:tblW w:w="8936" w:type="dxa"/>
        <w:jc w:val="left"/>
        <w:tblInd w:w="-5" w:type="dxa"/>
        <w:tblLayout w:type="fixed"/>
        <w:tblCellMar>
          <w:top w:w="0" w:type="dxa"/>
          <w:left w:w="70" w:type="dxa"/>
          <w:bottom w:w="0" w:type="dxa"/>
          <w:right w:w="70" w:type="dxa"/>
        </w:tblCellMar>
        <w:tblLook w:val="04a0" w:noHBand="0" w:noVBand="1" w:firstColumn="1" w:lastRow="0" w:lastColumn="0" w:firstRow="1"/>
      </w:tblPr>
      <w:tblGrid>
        <w:gridCol w:w="998"/>
        <w:gridCol w:w="933"/>
        <w:gridCol w:w="1301"/>
        <w:gridCol w:w="741"/>
        <w:gridCol w:w="4963"/>
      </w:tblGrid>
      <w:tr>
        <w:trPr>
          <w:trHeight w:val="600" w:hRule="atLeast"/>
        </w:trPr>
        <w:tc>
          <w:tcPr>
            <w:tcW w:w="998" w:type="dxa"/>
            <w:tcBorders>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T5.2</w:t>
            </w:r>
            <w:r>
              <w:rPr>
                <w:rFonts w:cs="Calibri"/>
                <w:b/>
                <w:bCs/>
                <w:lang w:val="de-DE" w:eastAsia="de-DE"/>
              </w:rPr>
              <w:t> </w:t>
            </w:r>
          </w:p>
        </w:tc>
        <w:tc>
          <w:tcPr>
            <w:tcW w:w="933"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 xml:space="preserve">PM </w:t>
              <w:br/>
              <w:t xml:space="preserve">formerly </w:t>
            </w:r>
          </w:p>
        </w:tc>
        <w:tc>
          <w:tcPr>
            <w:tcW w:w="1301"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color w:val="0000FF"/>
                <w:lang w:val="de-DE" w:eastAsia="de-DE"/>
              </w:rPr>
              <w:t>PM modification</w:t>
            </w:r>
          </w:p>
        </w:tc>
        <w:tc>
          <w:tcPr>
            <w:tcW w:w="741"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Final PM</w:t>
            </w:r>
          </w:p>
        </w:tc>
        <w:tc>
          <w:tcPr>
            <w:tcW w:w="4963" w:type="dxa"/>
            <w:tcBorders>
              <w:left w:val="single" w:sz="4" w:space="0" w:color="000000"/>
              <w:bottom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Comments</w:t>
            </w:r>
          </w:p>
        </w:tc>
      </w:tr>
      <w:tr>
        <w:trPr>
          <w:trHeight w:val="300" w:hRule="atLeast"/>
        </w:trPr>
        <w:tc>
          <w:tcPr>
            <w:tcW w:w="99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PAUWES (lead)</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3</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b/>
                <w:color w:val="0000FF"/>
                <w:lang w:val="de-DE" w:eastAsia="de-DE"/>
              </w:rPr>
              <w:t>1</w:t>
            </w:r>
          </w:p>
        </w:tc>
        <w:tc>
          <w:tcPr>
            <w:tcW w:w="74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4</w:t>
            </w:r>
          </w:p>
        </w:tc>
        <w:tc>
          <w:tcPr>
            <w:tcW w:w="4963" w:type="dxa"/>
            <w:tcBorders>
              <w:top w:val="single" w:sz="4" w:space="0" w:color="000000"/>
              <w:left w:val="single" w:sz="4" w:space="0" w:color="000000"/>
              <w:bottom w:val="single" w:sz="4" w:space="0" w:color="000000"/>
            </w:tcBorders>
            <w:shd w:color="auto" w:fill="FFFFFF" w:themeFill="background1" w:val="clear"/>
            <w:vAlign w:val="center"/>
          </w:tcPr>
          <w:p>
            <w:pPr>
              <w:pStyle w:val="Normal"/>
              <w:widowControl w:val="false"/>
              <w:spacing w:before="0" w:after="0"/>
              <w:jc w:val="left"/>
              <w:rPr>
                <w:rFonts w:ascii="Calibri" w:hAnsi="Calibri" w:cs="Calibri"/>
                <w:lang w:eastAsia="de-DE"/>
              </w:rPr>
            </w:pPr>
            <w:r>
              <w:rPr>
                <w:rFonts w:cs="Calibri"/>
                <w:lang w:val="en-GB" w:eastAsia="de-DE"/>
              </w:rPr>
              <w:t>PAUWES, together with DLR, will conceptualise and coordinate the organisation of the four planned round tables, with contributions from T5.2 colleagues</w:t>
            </w:r>
          </w:p>
        </w:tc>
      </w:tr>
      <w:tr>
        <w:trPr>
          <w:trHeight w:val="300" w:hRule="atLeast"/>
        </w:trPr>
        <w:tc>
          <w:tcPr>
            <w:tcW w:w="99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DLR (lead)</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3</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lang w:val="de-DE" w:eastAsia="de-DE"/>
              </w:rPr>
            </w:pPr>
            <w:r>
              <w:rPr>
                <w:rFonts w:cs="Calibri"/>
                <w:b/>
                <w:color w:val="0000FF"/>
                <w:lang w:val="de-DE" w:eastAsia="de-DE"/>
              </w:rPr>
              <w:t>2,4</w:t>
            </w:r>
          </w:p>
        </w:tc>
        <w:tc>
          <w:tcPr>
            <w:tcW w:w="74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5,4</w:t>
            </w:r>
          </w:p>
        </w:tc>
        <w:tc>
          <w:tcPr>
            <w:tcW w:w="4963" w:type="dxa"/>
            <w:tcBorders>
              <w:top w:val="single" w:sz="4" w:space="0" w:color="000000"/>
              <w:left w:val="single" w:sz="4" w:space="0" w:color="000000"/>
              <w:bottom w:val="single" w:sz="4" w:space="0" w:color="000000"/>
            </w:tcBorders>
            <w:shd w:color="auto" w:fill="FFFFFF" w:themeFill="background1" w:val="clear"/>
            <w:vAlign w:val="center"/>
          </w:tcPr>
          <w:p>
            <w:pPr>
              <w:pStyle w:val="Normal"/>
              <w:widowControl w:val="false"/>
              <w:spacing w:before="0" w:after="0"/>
              <w:jc w:val="left"/>
              <w:rPr>
                <w:rFonts w:ascii="Calibri" w:hAnsi="Calibri" w:cs="Calibri"/>
                <w:lang w:eastAsia="de-DE"/>
              </w:rPr>
            </w:pPr>
            <w:r>
              <w:rPr>
                <w:rFonts w:cs="Calibri"/>
                <w:lang w:val="en-GB" w:eastAsia="de-DE"/>
              </w:rPr>
              <w:t>DLR, together with PAUWES, will conceptualise and coordinate the organisation of the four planned round tables, with contributions from T5.2 colleagues</w:t>
            </w:r>
          </w:p>
        </w:tc>
      </w:tr>
      <w:tr>
        <w:trPr>
          <w:trHeight w:val="300" w:hRule="atLeast"/>
        </w:trPr>
        <w:tc>
          <w:tcPr>
            <w:tcW w:w="99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MESRS</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t>1</w:t>
            </w:r>
          </w:p>
        </w:tc>
        <w:tc>
          <w:tcPr>
            <w:tcW w:w="74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1</w:t>
            </w:r>
          </w:p>
        </w:tc>
        <w:tc>
          <w:tcPr>
            <w:tcW w:w="4963" w:type="dxa"/>
            <w:tcBorders>
              <w:top w:val="single" w:sz="4" w:space="0" w:color="000000"/>
              <w:left w:val="single" w:sz="4" w:space="0" w:color="000000"/>
              <w:bottom w:val="single" w:sz="4" w:space="0" w:color="000000"/>
            </w:tcBorders>
            <w:shd w:color="auto" w:fill="FFFFFF" w:themeFill="background1" w:val="clear"/>
            <w:vAlign w:val="center"/>
          </w:tcPr>
          <w:p>
            <w:pPr>
              <w:pStyle w:val="Normal"/>
              <w:widowControl w:val="false"/>
              <w:spacing w:before="0" w:after="0"/>
              <w:jc w:val="left"/>
              <w:rPr>
                <w:rFonts w:ascii="Calibri" w:hAnsi="Calibri" w:cs="Calibri"/>
                <w:lang w:eastAsia="de-DE"/>
              </w:rPr>
            </w:pPr>
            <w:r>
              <w:rPr>
                <w:rFonts w:cs="Calibri"/>
                <w:lang w:val="en-GB" w:eastAsia="de-DE"/>
              </w:rPr>
              <w:t>MESRS will contribute to the four round tables with around 0,25 PM per event</w:t>
            </w:r>
          </w:p>
        </w:tc>
      </w:tr>
      <w:tr>
        <w:trPr>
          <w:trHeight w:val="300" w:hRule="atLeast"/>
        </w:trPr>
        <w:tc>
          <w:tcPr>
            <w:tcW w:w="99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POLIMI</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t>1</w:t>
            </w:r>
          </w:p>
        </w:tc>
        <w:tc>
          <w:tcPr>
            <w:tcW w:w="74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1</w:t>
            </w:r>
          </w:p>
        </w:tc>
        <w:tc>
          <w:tcPr>
            <w:tcW w:w="4963" w:type="dxa"/>
            <w:tcBorders>
              <w:top w:val="single" w:sz="4" w:space="0" w:color="000000"/>
              <w:left w:val="single" w:sz="4" w:space="0" w:color="000000"/>
              <w:bottom w:val="single" w:sz="4" w:space="0" w:color="000000"/>
            </w:tcBorders>
            <w:shd w:color="auto" w:fill="FFFFFF" w:themeFill="background1" w:val="clear"/>
            <w:vAlign w:val="center"/>
          </w:tcPr>
          <w:p>
            <w:pPr>
              <w:pStyle w:val="Normal"/>
              <w:widowControl w:val="false"/>
              <w:spacing w:before="0" w:after="0"/>
              <w:jc w:val="left"/>
              <w:rPr>
                <w:rFonts w:ascii="Calibri" w:hAnsi="Calibri" w:cs="Calibri"/>
                <w:lang w:eastAsia="de-DE"/>
              </w:rPr>
            </w:pPr>
            <w:r>
              <w:rPr>
                <w:rFonts w:cs="Calibri"/>
                <w:lang w:val="en-GB" w:eastAsia="de-DE"/>
              </w:rPr>
              <w:t>POLIMI will contribute to the four roundtables with around 0,25 PM per event</w:t>
            </w:r>
          </w:p>
        </w:tc>
      </w:tr>
      <w:tr>
        <w:trPr>
          <w:trHeight w:val="300" w:hRule="atLeast"/>
        </w:trPr>
        <w:tc>
          <w:tcPr>
            <w:tcW w:w="998" w:type="dxa"/>
            <w:tcBorders>
              <w:top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LGI</w:t>
            </w:r>
          </w:p>
        </w:tc>
        <w:tc>
          <w:tcPr>
            <w:tcW w:w="93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de-DE" w:eastAsia="de-DE"/>
              </w:rPr>
              <w:t>0</w:t>
            </w:r>
          </w:p>
        </w:tc>
        <w:tc>
          <w:tcPr>
            <w:tcW w:w="74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0</w:t>
            </w:r>
          </w:p>
        </w:tc>
        <w:tc>
          <w:tcPr>
            <w:tcW w:w="4963"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0" w:after="0"/>
              <w:jc w:val="left"/>
              <w:rPr>
                <w:rFonts w:ascii="Calibri" w:hAnsi="Calibri" w:cs="Calibri"/>
                <w:lang w:eastAsia="de-DE"/>
              </w:rPr>
            </w:pPr>
            <w:r>
              <w:rPr>
                <w:rFonts w:cs="Calibri"/>
                <w:lang w:eastAsia="de-DE"/>
              </w:rPr>
            </w:r>
          </w:p>
        </w:tc>
      </w:tr>
      <w:tr>
        <w:trPr>
          <w:trHeight w:val="300" w:hRule="atLeast"/>
        </w:trPr>
        <w:tc>
          <w:tcPr>
            <w:tcW w:w="998" w:type="dxa"/>
            <w:tcBorders>
              <w:top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UNU</w:t>
            </w:r>
          </w:p>
        </w:tc>
        <w:tc>
          <w:tcPr>
            <w:tcW w:w="933"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t>2</w:t>
            </w:r>
          </w:p>
        </w:tc>
        <w:tc>
          <w:tcPr>
            <w:tcW w:w="130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lang w:val="de-DE" w:eastAsia="de-DE"/>
              </w:rPr>
            </w:pPr>
            <w:r>
              <w:rPr>
                <w:rFonts w:cs="Calibri"/>
                <w:b/>
                <w:color w:val="0000FF"/>
                <w:lang w:val="de-DE" w:eastAsia="de-DE"/>
              </w:rPr>
              <w:t>0</w:t>
            </w:r>
          </w:p>
        </w:tc>
        <w:tc>
          <w:tcPr>
            <w:tcW w:w="74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0</w:t>
            </w:r>
          </w:p>
        </w:tc>
        <w:tc>
          <w:tcPr>
            <w:tcW w:w="4963" w:type="dxa"/>
            <w:tcBorders>
              <w:top w:val="single" w:sz="4" w:space="0" w:color="000000"/>
              <w:left w:val="single" w:sz="4" w:space="0" w:color="000000"/>
              <w:bottom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r>
          </w:p>
        </w:tc>
      </w:tr>
      <w:tr>
        <w:trPr>
          <w:trHeight w:val="300" w:hRule="atLeast"/>
        </w:trPr>
        <w:tc>
          <w:tcPr>
            <w:tcW w:w="998" w:type="dxa"/>
            <w:tcBorders>
              <w:top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r>
          </w:p>
        </w:tc>
        <w:tc>
          <w:tcPr>
            <w:tcW w:w="933"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r>
          </w:p>
        </w:tc>
        <w:tc>
          <w:tcPr>
            <w:tcW w:w="1301"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r>
          </w:p>
        </w:tc>
        <w:tc>
          <w:tcPr>
            <w:tcW w:w="741"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11,4</w:t>
            </w:r>
          </w:p>
        </w:tc>
        <w:tc>
          <w:tcPr>
            <w:tcW w:w="4963" w:type="dxa"/>
            <w:tcBorders>
              <w:top w:val="single" w:sz="4" w:space="0" w:color="000000"/>
              <w:left w:val="single" w:sz="4" w:space="0" w:color="000000"/>
            </w:tcBorders>
            <w:shd w:color="auto" w:fill="FFFFFF" w:themeFill="background1" w:val="clear"/>
            <w:vAlign w:val="center"/>
          </w:tcPr>
          <w:p>
            <w:pPr>
              <w:pStyle w:val="Normal"/>
              <w:widowControl w:val="false"/>
              <w:spacing w:before="0" w:after="0"/>
              <w:jc w:val="left"/>
              <w:rPr>
                <w:rFonts w:ascii="Calibri" w:hAnsi="Calibri" w:cs="Calibri"/>
                <w:b/>
                <w:b/>
                <w:lang w:val="en-GB" w:eastAsia="de-DE"/>
              </w:rPr>
            </w:pPr>
            <w:r>
              <w:rPr>
                <w:rFonts w:cs="Calibri"/>
                <w:b/>
                <w:lang w:val="en-GB" w:eastAsia="de-DE"/>
              </w:rPr>
              <w:t>Total - T.2</w:t>
            </w:r>
          </w:p>
        </w:tc>
      </w:tr>
    </w:tbl>
    <w:p>
      <w:pPr>
        <w:pStyle w:val="Normal"/>
        <w:rPr>
          <w:rFonts w:cs="Arial"/>
          <w:szCs w:val="20"/>
          <w:lang w:val="en-GB"/>
        </w:rPr>
      </w:pPr>
      <w:r>
        <w:rPr>
          <w:rFonts w:cs="Arial"/>
          <w:szCs w:val="20"/>
          <w:lang w:val="en-GB"/>
        </w:rPr>
      </w:r>
    </w:p>
    <w:p>
      <w:pPr>
        <w:pStyle w:val="Normal"/>
        <w:rPr>
          <w:rFonts w:cs="Arial"/>
          <w:b/>
          <w:b/>
          <w:szCs w:val="20"/>
          <w:lang w:val="en-GB"/>
        </w:rPr>
      </w:pPr>
      <w:r>
        <w:rPr>
          <w:rFonts w:cs="Arial"/>
          <w:b/>
          <w:szCs w:val="20"/>
          <w:lang w:val="en-GB"/>
        </w:rPr>
        <w:t>Dialogues</w:t>
      </w:r>
    </w:p>
    <w:p>
      <w:pPr>
        <w:pStyle w:val="Normal"/>
        <w:rPr>
          <w:rFonts w:cs="Arial"/>
          <w:szCs w:val="20"/>
          <w:lang w:val="en-GB"/>
        </w:rPr>
      </w:pPr>
      <w:r>
        <w:rPr>
          <w:rFonts w:cs="Arial"/>
          <w:szCs w:val="20"/>
          <w:lang w:val="en-GB"/>
        </w:rPr>
        <w:t>LEAP-RE promotes institutional dialogue as a feedback mechanism for the uptake of research results and informed policy making. For contributing to the design of the envisaged AU-EU Platform for R&amp;I and capacity building in RE, this task intends to develop mechanism addressing multi-stakeholder cooperations in general and research uptake in particular, which are starting already at the stage of priority setting for funding R&amp;I activities and takes effect, when research outputs are available and have to be communicated with end-users in different sectors and geographical level.</w:t>
      </w:r>
    </w:p>
    <w:p>
      <w:pPr>
        <w:pStyle w:val="Normal"/>
        <w:rPr>
          <w:rFonts w:cs="Arial"/>
          <w:szCs w:val="20"/>
          <w:lang w:val="en-GB"/>
        </w:rPr>
      </w:pPr>
      <w:r>
        <w:rPr>
          <w:rFonts w:cs="Arial"/>
          <w:szCs w:val="20"/>
          <w:lang w:val="en-GB"/>
        </w:rPr>
        <w:t>Therefore, in the course of the project, dialogues with different stakeholder institutions will be organised to establish the Theory of Change and Impact Pathway (TCIP) instrument as a general tool for cooperation, and as already applied in the project. As a substantial element of the TCIP approach, the outputs of the project’s Monitoring, Evaluation and Learning (MEL) mechanism will have to be related to international, EU and Pan-African frameworks (SGDs, Agenda 2063, CfTA, etc.). Therefore T5.1’s contributions to the discourse, about collaboration mechanism, will be included. Together with WP4, joint positions will have to be developed for also promoting collaborative knowledge management and communication, and identifying gaps and existing approaches that could be linked.</w:t>
      </w:r>
    </w:p>
    <w:p>
      <w:pPr>
        <w:pStyle w:val="Normal"/>
        <w:rPr>
          <w:rFonts w:cs="Arial"/>
          <w:szCs w:val="20"/>
          <w:lang w:val="en-GB"/>
        </w:rPr>
      </w:pPr>
      <w:r>
        <w:rPr>
          <w:rFonts w:cs="Arial"/>
          <w:szCs w:val="20"/>
          <w:lang w:val="en-GB"/>
        </w:rPr>
        <w:t>The governments of the member states of the AU-EU HLPD are key addressees of these dialogues towards bringing the co-development of cooperation mechanisms in a) priority setting, b) MEL, c) the development of a Knowledge Management and Communication Frame (KMCF) into the collaboration discourse. The goal is to discuss key infrastructure elements which might be needed for the collaboration.</w:t>
      </w:r>
    </w:p>
    <w:p>
      <w:pPr>
        <w:pStyle w:val="Normal"/>
        <w:rPr>
          <w:rFonts w:cs="Arial"/>
          <w:szCs w:val="20"/>
          <w:lang w:val="en-GB"/>
        </w:rPr>
      </w:pPr>
      <w:r>
        <w:rPr>
          <w:rFonts w:cs="Arial"/>
          <w:szCs w:val="20"/>
          <w:lang w:val="en-GB"/>
        </w:rPr>
      </w:r>
    </w:p>
    <w:p>
      <w:pPr>
        <w:pStyle w:val="Normal"/>
        <w:ind w:left="708" w:hanging="0"/>
        <w:rPr>
          <w:rFonts w:cs="Arial"/>
          <w:b/>
          <w:b/>
          <w:szCs w:val="20"/>
          <w:lang w:val="en-GB"/>
        </w:rPr>
      </w:pPr>
      <w:r>
        <w:rPr>
          <w:rFonts w:cs="Arial"/>
          <w:b/>
          <w:szCs w:val="20"/>
          <w:lang w:val="en-GB"/>
        </w:rPr>
        <w:t xml:space="preserve">Dialogue Action | Organisation of two Rounds Tables </w:t>
      </w:r>
    </w:p>
    <w:p>
      <w:pPr>
        <w:pStyle w:val="Normal"/>
        <w:ind w:left="708" w:hanging="0"/>
        <w:rPr>
          <w:rFonts w:cs="Arial"/>
          <w:b/>
          <w:b/>
          <w:szCs w:val="20"/>
          <w:lang w:val="en-GB"/>
        </w:rPr>
      </w:pPr>
      <w:r>
        <w:rPr>
          <w:rFonts w:cs="Arial"/>
          <w:b/>
          <w:szCs w:val="20"/>
          <w:lang w:val="en-GB"/>
        </w:rPr>
      </w:r>
    </w:p>
    <w:p>
      <w:pPr>
        <w:pStyle w:val="Normal"/>
        <w:ind w:left="708" w:hanging="0"/>
        <w:rPr>
          <w:rFonts w:cs="Arial"/>
          <w:szCs w:val="20"/>
          <w:lang w:val="en-GB"/>
        </w:rPr>
      </w:pPr>
      <w:r>
        <w:rPr>
          <w:rFonts w:cs="Arial"/>
          <w:b/>
          <w:szCs w:val="20"/>
          <w:lang w:val="en-GB"/>
        </w:rPr>
        <w:t>Dialogue #1 LEAP-RE Round Table</w:t>
      </w:r>
    </w:p>
    <w:p>
      <w:pPr>
        <w:pStyle w:val="Normal"/>
        <w:ind w:left="708" w:hanging="0"/>
        <w:rPr>
          <w:rFonts w:cs="Arial"/>
          <w:szCs w:val="20"/>
          <w:lang w:val="en-GB"/>
        </w:rPr>
      </w:pPr>
      <w:r>
        <w:rPr>
          <w:rFonts w:cs="Arial"/>
          <w:szCs w:val="20"/>
          <w:lang w:val="en-GB"/>
        </w:rPr>
        <w:t>Title: “Theory of Change and Impact Pathway in Multi-lateral Cooperations?”</w:t>
      </w:r>
    </w:p>
    <w:p>
      <w:pPr>
        <w:pStyle w:val="Normal"/>
        <w:ind w:left="708" w:hanging="0"/>
        <w:rPr>
          <w:rFonts w:cs="Arial"/>
          <w:szCs w:val="20"/>
          <w:lang w:val="en-GB"/>
        </w:rPr>
      </w:pPr>
      <w:r>
        <w:rPr>
          <w:rFonts w:cs="Arial"/>
          <w:szCs w:val="20"/>
          <w:lang w:val="en-GB"/>
        </w:rPr>
        <w:t>This roundtable could be organised in the context of an AU-EU HLPD Senior Officials Meeting with representatives of ministries and other funding institutions around M24 (Sep. 2022).</w:t>
      </w:r>
    </w:p>
    <w:p>
      <w:pPr>
        <w:pStyle w:val="Normal"/>
        <w:ind w:left="708" w:hanging="0"/>
        <w:rPr>
          <w:rFonts w:cs="Arial"/>
          <w:szCs w:val="20"/>
          <w:lang w:val="en-GB"/>
        </w:rPr>
      </w:pPr>
      <w:r>
        <w:rPr>
          <w:rFonts w:cs="Arial"/>
          <w:szCs w:val="20"/>
          <w:lang w:val="en-GB"/>
        </w:rPr>
      </w:r>
    </w:p>
    <w:p>
      <w:pPr>
        <w:pStyle w:val="Normal"/>
        <w:ind w:left="708" w:hanging="0"/>
        <w:rPr>
          <w:rFonts w:cs="Arial"/>
          <w:szCs w:val="20"/>
          <w:lang w:val="en-GB"/>
        </w:rPr>
      </w:pPr>
      <w:r>
        <w:rPr>
          <w:rFonts w:cs="Arial"/>
          <w:b/>
          <w:szCs w:val="20"/>
          <w:lang w:val="en-GB"/>
        </w:rPr>
        <w:t>Dialogue #2 LEAP-RE Round Table</w:t>
      </w:r>
      <w:r>
        <w:rPr>
          <w:rFonts w:cs="Arial"/>
          <w:szCs w:val="20"/>
          <w:lang w:val="en-GB"/>
        </w:rPr>
        <w:t xml:space="preserve"> </w:t>
      </w:r>
    </w:p>
    <w:p>
      <w:pPr>
        <w:pStyle w:val="Normal"/>
        <w:ind w:left="708" w:hanging="0"/>
        <w:rPr>
          <w:rFonts w:cs="Arial"/>
          <w:szCs w:val="20"/>
          <w:lang w:val="en-GB"/>
        </w:rPr>
      </w:pPr>
      <w:r>
        <w:rPr>
          <w:rFonts w:cs="Arial"/>
          <w:szCs w:val="20"/>
          <w:lang w:val="en-GB"/>
        </w:rPr>
        <w:t>Title: “Monitoring, Evaluation and Learning in an AU-EU Knowledge Management and Communication Framework”</w:t>
      </w:r>
    </w:p>
    <w:p>
      <w:pPr>
        <w:pStyle w:val="Normal"/>
        <w:ind w:left="708" w:hanging="0"/>
        <w:rPr>
          <w:rFonts w:cs="Arial"/>
          <w:szCs w:val="20"/>
          <w:lang w:val="en-GB"/>
        </w:rPr>
      </w:pPr>
      <w:r>
        <w:rPr>
          <w:rFonts w:cs="Arial"/>
          <w:szCs w:val="20"/>
          <w:lang w:val="en-GB"/>
        </w:rPr>
        <w:t>This roundtable could be organised in the context of an AU-EU HLPD Senior Officials Meeting with representatives of ministries and knowledge managers around M45 (Jun. 2024).</w:t>
      </w:r>
    </w:p>
    <w:p>
      <w:pPr>
        <w:pStyle w:val="Normal"/>
        <w:rPr>
          <w:rFonts w:cs="Arial"/>
          <w:szCs w:val="20"/>
          <w:lang w:val="en-GB"/>
        </w:rPr>
      </w:pPr>
      <w:r>
        <w:rPr>
          <w:rFonts w:cs="Arial"/>
          <w:szCs w:val="20"/>
          <w:lang w:val="en-GB"/>
        </w:rPr>
      </w:r>
    </w:p>
    <w:p>
      <w:pPr>
        <w:pStyle w:val="Normal"/>
        <w:jc w:val="left"/>
        <w:rPr>
          <w:rFonts w:cs="Arial"/>
          <w:b/>
          <w:b/>
          <w:szCs w:val="20"/>
          <w:lang w:val="en-GB"/>
        </w:rPr>
      </w:pPr>
      <w:r>
        <w:rPr>
          <w:rFonts w:cs="Arial"/>
          <w:b/>
          <w:szCs w:val="20"/>
          <w:lang w:val="en-GB"/>
        </w:rPr>
        <w:t>Empowerment for research uptake</w:t>
      </w:r>
    </w:p>
    <w:p>
      <w:pPr>
        <w:pStyle w:val="Normal"/>
        <w:jc w:val="left"/>
        <w:rPr>
          <w:rFonts w:cs="Arial"/>
          <w:szCs w:val="20"/>
          <w:lang w:val="en-GB"/>
        </w:rPr>
      </w:pPr>
      <w:r>
        <w:rPr>
          <w:rFonts w:cs="Arial"/>
          <w:szCs w:val="20"/>
          <w:lang w:val="en-GB"/>
        </w:rPr>
        <w:t xml:space="preserve">LEAP-RE outputs shall be used towards the design of new empowerment actions towards decisionmakers through already existing networks of European and pan-African universities, R&amp;I labs, and research to practice convening. </w:t>
      </w:r>
    </w:p>
    <w:p>
      <w:pPr>
        <w:pStyle w:val="Normal"/>
        <w:jc w:val="left"/>
        <w:rPr>
          <w:rFonts w:cs="Arial"/>
          <w:szCs w:val="20"/>
          <w:lang w:val="en-GB"/>
        </w:rPr>
      </w:pPr>
      <w:r>
        <w:rPr>
          <w:rFonts w:cs="Arial"/>
          <w:szCs w:val="20"/>
          <w:lang w:val="en-GB"/>
        </w:rPr>
        <w:t xml:space="preserve">The formulation of recommendations for different stakeholder groups (quadruple helix) as the entrance to a dialogue between science and end-users of knowledge seems to be a key for research uptake and feedback loops. With regard to the quantity and diversity of actors in the AU-EU-Region, smart solutions need to be developed to ensure an efficient and effective science end-user dialogue. Therefore, a coordinated network of actors could be considered as a part of the solution together with new formats and methods as a pilot contribution to the LEAP-RE Knowledge Management and Communication Framework (KMCF). </w:t>
      </w:r>
    </w:p>
    <w:p>
      <w:pPr>
        <w:pStyle w:val="Normal"/>
        <w:jc w:val="left"/>
        <w:rPr>
          <w:rFonts w:cs="Arial"/>
          <w:szCs w:val="20"/>
          <w:lang w:val="en-GB"/>
        </w:rPr>
      </w:pPr>
      <w:r>
        <w:rPr>
          <w:rFonts w:cs="Arial"/>
          <w:szCs w:val="20"/>
          <w:lang w:val="en-GB"/>
        </w:rPr>
      </w:r>
    </w:p>
    <w:p>
      <w:pPr>
        <w:pStyle w:val="Normal"/>
        <w:ind w:left="708" w:hanging="0"/>
        <w:jc w:val="left"/>
        <w:rPr>
          <w:rFonts w:cs="Arial"/>
          <w:b/>
          <w:b/>
          <w:szCs w:val="20"/>
          <w:lang w:val="en-GB"/>
        </w:rPr>
      </w:pPr>
      <w:r>
        <w:rPr>
          <w:rFonts w:cs="Arial"/>
          <w:b/>
          <w:szCs w:val="20"/>
          <w:lang w:val="en-GB"/>
        </w:rPr>
        <w:t xml:space="preserve">Empowerment Action | Organisation of two Rounds Tables </w:t>
      </w:r>
    </w:p>
    <w:p>
      <w:pPr>
        <w:pStyle w:val="Normal"/>
        <w:jc w:val="left"/>
        <w:rPr>
          <w:rFonts w:cs="Arial"/>
          <w:b/>
          <w:b/>
          <w:szCs w:val="20"/>
          <w:lang w:val="en-GB"/>
        </w:rPr>
      </w:pPr>
      <w:r>
        <w:rPr>
          <w:rFonts w:cs="Arial"/>
          <w:b/>
          <w:szCs w:val="20"/>
          <w:lang w:val="en-GB"/>
        </w:rPr>
      </w:r>
    </w:p>
    <w:p>
      <w:pPr>
        <w:pStyle w:val="Normal"/>
        <w:ind w:left="708" w:hanging="0"/>
        <w:jc w:val="left"/>
        <w:rPr>
          <w:rFonts w:cs="Arial"/>
          <w:b/>
          <w:b/>
          <w:szCs w:val="20"/>
          <w:lang w:val="en-GB"/>
        </w:rPr>
      </w:pPr>
      <w:r>
        <w:rPr>
          <w:rFonts w:cs="Arial"/>
          <w:b/>
          <w:szCs w:val="20"/>
          <w:lang w:val="en-GB"/>
        </w:rPr>
        <w:t>Empowerment #1 LEAP-RE Round Table</w:t>
      </w:r>
    </w:p>
    <w:p>
      <w:pPr>
        <w:pStyle w:val="Normal"/>
        <w:ind w:left="708" w:hanging="0"/>
        <w:jc w:val="left"/>
        <w:rPr>
          <w:rFonts w:cs="Arial"/>
          <w:szCs w:val="20"/>
          <w:lang w:val="en-GB"/>
        </w:rPr>
      </w:pPr>
      <w:r>
        <w:rPr>
          <w:rFonts w:cs="Arial"/>
          <w:szCs w:val="20"/>
          <w:lang w:val="en-GB"/>
        </w:rPr>
        <w:t>Title: “Coordinated Communication in the Stakeholder’s Network Labyrinth”</w:t>
      </w:r>
    </w:p>
    <w:p>
      <w:pPr>
        <w:pStyle w:val="Normal"/>
        <w:ind w:left="708" w:hanging="0"/>
        <w:jc w:val="left"/>
        <w:rPr>
          <w:rFonts w:cs="Arial"/>
          <w:szCs w:val="20"/>
          <w:lang w:val="en-GB"/>
        </w:rPr>
      </w:pPr>
      <w:r>
        <w:rPr>
          <w:rFonts w:cs="Arial"/>
          <w:szCs w:val="20"/>
          <w:lang w:val="en-GB"/>
        </w:rPr>
        <w:t xml:space="preserve">This round table could be organised as a lone standing event around M20 (May 2022) with knowledge managers in innovation-hub-like institutions. The focus would be methods, technologies, and channels for the science-end-user dialogue. </w:t>
      </w:r>
    </w:p>
    <w:p>
      <w:pPr>
        <w:pStyle w:val="Normal"/>
        <w:ind w:left="708" w:hanging="0"/>
        <w:jc w:val="left"/>
        <w:rPr>
          <w:rFonts w:cs="Arial"/>
          <w:szCs w:val="20"/>
          <w:lang w:val="en-GB"/>
        </w:rPr>
      </w:pPr>
      <w:r>
        <w:rPr>
          <w:rFonts w:cs="Arial"/>
          <w:szCs w:val="20"/>
          <w:lang w:val="en-GB"/>
        </w:rPr>
        <w:t xml:space="preserve"> </w:t>
      </w:r>
    </w:p>
    <w:p>
      <w:pPr>
        <w:pStyle w:val="Normal"/>
        <w:ind w:left="708" w:hanging="0"/>
        <w:jc w:val="left"/>
        <w:rPr>
          <w:rFonts w:cs="Arial"/>
          <w:b/>
          <w:b/>
          <w:szCs w:val="20"/>
          <w:lang w:val="en-GB"/>
        </w:rPr>
      </w:pPr>
      <w:r>
        <w:rPr>
          <w:rFonts w:cs="Arial"/>
          <w:b/>
          <w:szCs w:val="20"/>
          <w:lang w:val="en-GB"/>
        </w:rPr>
        <w:t>Empowerment #1 LEAP-RE Round Table</w:t>
      </w:r>
    </w:p>
    <w:p>
      <w:pPr>
        <w:pStyle w:val="Normal"/>
        <w:ind w:left="708" w:hanging="0"/>
        <w:jc w:val="left"/>
        <w:rPr>
          <w:rFonts w:cs="Arial"/>
          <w:szCs w:val="20"/>
          <w:lang w:val="en-GB"/>
        </w:rPr>
      </w:pPr>
      <w:r>
        <w:rPr>
          <w:rFonts w:cs="Arial"/>
          <w:szCs w:val="20"/>
          <w:lang w:val="en-GB"/>
        </w:rPr>
        <w:t xml:space="preserve">Title: “AU-EU Knowledge Hubs System” </w:t>
      </w:r>
    </w:p>
    <w:p>
      <w:pPr>
        <w:pStyle w:val="Normal"/>
        <w:ind w:left="708" w:hanging="0"/>
        <w:jc w:val="left"/>
        <w:rPr>
          <w:rFonts w:cs="Arial"/>
          <w:szCs w:val="20"/>
          <w:lang w:val="en-GB"/>
        </w:rPr>
      </w:pPr>
      <w:r>
        <w:rPr>
          <w:rFonts w:cs="Arial"/>
          <w:szCs w:val="20"/>
          <w:lang w:val="en-GB"/>
        </w:rPr>
        <w:t>This round table could be organised around M41 (Feb. 2024) with knowledge managers and ministries of the AU-EU HLPD, which are related to Science, Education, Development and Energy.</w:t>
      </w:r>
    </w:p>
    <w:p>
      <w:pPr>
        <w:pStyle w:val="Normal"/>
        <w:ind w:left="708" w:hanging="0"/>
        <w:jc w:val="left"/>
        <w:rPr>
          <w:rFonts w:cs="Arial"/>
          <w:szCs w:val="20"/>
          <w:lang w:val="en-GB"/>
        </w:rPr>
      </w:pPr>
      <w:r>
        <w:rPr>
          <w:rFonts w:cs="Arial"/>
          <w:szCs w:val="20"/>
          <w:lang w:val="en-GB"/>
        </w:rPr>
      </w:r>
    </w:p>
    <w:p>
      <w:pPr>
        <w:pStyle w:val="Normal"/>
        <w:ind w:left="708" w:hanging="0"/>
        <w:jc w:val="left"/>
        <w:rPr>
          <w:b/>
          <w:b/>
          <w:bCs/>
          <w:color w:val="7F7F7F" w:themeColor="text1" w:themeTint="80"/>
          <w:sz w:val="24"/>
          <w:lang w:val="en-GB"/>
        </w:rPr>
      </w:pPr>
      <w:r>
        <w:rPr>
          <w:rFonts w:cs="Arial"/>
          <w:szCs w:val="20"/>
          <w:lang w:val="en-GB"/>
        </w:rPr>
        <w:t xml:space="preserve">In all four round tables, the LEAP-RE community will be promoted, and the participants will be encouraged to visit the LEAP-RE website for registering. </w:t>
      </w:r>
      <w:r>
        <w:br w:type="page"/>
      </w:r>
    </w:p>
    <w:p>
      <w:pPr>
        <w:pStyle w:val="Heading3"/>
        <w:rPr>
          <w:i w:val="false"/>
          <w:i w:val="false"/>
        </w:rPr>
      </w:pPr>
      <w:r>
        <w:rPr>
          <w:i w:val="false"/>
        </w:rPr>
        <w:t>Task 5.3: Strategy for RE research-capacity in Africa</w:t>
      </w:r>
    </w:p>
    <w:p>
      <w:pPr>
        <w:pStyle w:val="Normal"/>
        <w:jc w:val="left"/>
        <w:rPr>
          <w:szCs w:val="20"/>
          <w:lang w:val="en-GB"/>
        </w:rPr>
      </w:pPr>
      <w:r>
        <w:rPr>
          <w:szCs w:val="20"/>
          <w:lang w:val="en-GB"/>
        </w:rPr>
        <w:t xml:space="preserve">Start date: </w:t>
      </w:r>
      <w:r>
        <w:rPr>
          <w:rFonts w:cs="Arial"/>
          <w:szCs w:val="20"/>
          <w:lang w:val="en-GB"/>
        </w:rPr>
        <w:t xml:space="preserve">M3 (Dec. 2020); </w:t>
      </w:r>
      <w:r>
        <w:rPr>
          <w:szCs w:val="20"/>
          <w:lang w:val="en-GB"/>
        </w:rPr>
        <w:t>End date: M63 (Dec. 2025)</w:t>
      </w:r>
    </w:p>
    <w:p>
      <w:pPr>
        <w:pStyle w:val="Normal"/>
        <w:jc w:val="left"/>
        <w:rPr>
          <w:b/>
          <w:b/>
          <w:szCs w:val="20"/>
          <w:lang w:val="en-GB"/>
        </w:rPr>
      </w:pPr>
      <w:commentRangeStart w:id="6"/>
      <w:r>
        <w:rPr>
          <w:b/>
          <w:szCs w:val="20"/>
          <w:lang w:val="en-GB"/>
        </w:rPr>
        <w:t xml:space="preserve">Task Leaders: </w:t>
      </w:r>
    </w:p>
    <w:p>
      <w:pPr>
        <w:pStyle w:val="ListParagraph"/>
        <w:numPr>
          <w:ilvl w:val="0"/>
          <w:numId w:val="3"/>
        </w:numPr>
        <w:rPr>
          <w:color w:val="000000" w:themeColor="text1"/>
          <w:szCs w:val="20"/>
          <w:lang w:val="en-GB"/>
        </w:rPr>
      </w:pPr>
      <w:r>
        <w:rPr>
          <w:color w:val="000000" w:themeColor="text1"/>
          <w:szCs w:val="20"/>
          <w:lang w:val="en-GB"/>
        </w:rPr>
        <w:t>Mr Mokthar Sellami &amp; Mr Benyoussef El-Hadi &amp; Ms Souami Feriel | Ministere de 'Enseignement Superieur et de la Recherche Scientifique (</w:t>
      </w:r>
      <w:r>
        <w:rPr>
          <w:b/>
          <w:color w:val="000000" w:themeColor="text1"/>
          <w:szCs w:val="20"/>
          <w:lang w:val="en-GB"/>
        </w:rPr>
        <w:t>MESRS</w:t>
      </w:r>
      <w:r>
        <w:rPr>
          <w:color w:val="000000" w:themeColor="text1"/>
          <w:szCs w:val="20"/>
          <w:lang w:val="en-GB"/>
        </w:rPr>
        <w:t>)</w:t>
      </w:r>
    </w:p>
    <w:p>
      <w:pPr>
        <w:pStyle w:val="ListParagraph"/>
        <w:numPr>
          <w:ilvl w:val="0"/>
          <w:numId w:val="3"/>
        </w:numPr>
        <w:jc w:val="left"/>
        <w:rPr>
          <w:color w:val="000000" w:themeColor="text1"/>
          <w:szCs w:val="20"/>
          <w:lang w:val="de-DE"/>
        </w:rPr>
      </w:pPr>
      <w:r>
        <w:rPr>
          <w:color w:val="000000" w:themeColor="text1"/>
          <w:szCs w:val="20"/>
          <w:lang w:val="de-DE"/>
        </w:rPr>
        <w:t>Ms Elke Dall &amp; Mr Dietmar Lampert &amp; Mr Utku Demir | Zentrum für Soziale Innovation (</w:t>
      </w:r>
      <w:r>
        <w:rPr>
          <w:b/>
          <w:color w:val="000000" w:themeColor="text1"/>
          <w:szCs w:val="20"/>
          <w:lang w:val="de-DE"/>
        </w:rPr>
        <w:t>ZSI</w:t>
      </w:r>
      <w:r>
        <w:rPr>
          <w:color w:val="000000" w:themeColor="text1"/>
          <w:szCs w:val="20"/>
          <w:lang w:val="de-DE"/>
        </w:rPr>
        <w:t>)</w:t>
      </w:r>
      <w:commentRangeEnd w:id="6"/>
      <w:r>
        <w:commentReference w:id="6"/>
      </w:r>
      <w:r>
        <w:rPr>
          <w:color w:val="000000" w:themeColor="text1"/>
          <w:szCs w:val="20"/>
          <w:lang w:val="de-DE"/>
        </w:rPr>
      </w:r>
    </w:p>
    <w:p>
      <w:pPr>
        <w:pStyle w:val="Normal"/>
        <w:jc w:val="left"/>
        <w:rPr>
          <w:b/>
          <w:b/>
          <w:lang w:val="en-GB"/>
        </w:rPr>
      </w:pPr>
      <w:r>
        <w:rPr>
          <w:b/>
          <w:szCs w:val="20"/>
          <w:lang w:val="en-GB"/>
        </w:rPr>
        <w:t>Contributors:</w:t>
      </w:r>
      <w:r>
        <w:rPr>
          <w:b/>
          <w:lang w:val="en-GB"/>
        </w:rPr>
        <w:t xml:space="preserve"> </w:t>
      </w:r>
    </w:p>
    <w:p>
      <w:pPr>
        <w:pStyle w:val="ListParagraph"/>
        <w:numPr>
          <w:ilvl w:val="0"/>
          <w:numId w:val="3"/>
        </w:numPr>
        <w:jc w:val="left"/>
        <w:rPr>
          <w:color w:val="000000" w:themeColor="text1"/>
          <w:szCs w:val="20"/>
          <w:lang w:val="en-GB"/>
        </w:rPr>
      </w:pPr>
      <w:r>
        <w:rPr>
          <w:color w:val="000000" w:themeColor="text1"/>
          <w:szCs w:val="20"/>
          <w:lang w:val="en-GB"/>
        </w:rPr>
        <w:t>Ms Tinyiko Ntshongwana &amp; Ms Refilwe Mashigo |Department of Science and Innovation (</w:t>
      </w:r>
      <w:r>
        <w:rPr>
          <w:b/>
          <w:color w:val="000000" w:themeColor="text1"/>
          <w:szCs w:val="20"/>
          <w:lang w:val="en-GB"/>
        </w:rPr>
        <w:t>DSI</w:t>
      </w:r>
      <w:r>
        <w:rPr>
          <w:color w:val="000000" w:themeColor="text1"/>
          <w:szCs w:val="20"/>
          <w:lang w:val="en-GB"/>
        </w:rPr>
        <w:t>)</w:t>
      </w:r>
    </w:p>
    <w:p>
      <w:pPr>
        <w:pStyle w:val="ListParagraph"/>
        <w:numPr>
          <w:ilvl w:val="0"/>
          <w:numId w:val="3"/>
        </w:numPr>
        <w:jc w:val="left"/>
        <w:rPr>
          <w:rFonts w:cs="Arial"/>
          <w:szCs w:val="20"/>
          <w:lang w:val="en-GB"/>
        </w:rPr>
      </w:pPr>
      <w:r>
        <w:rPr>
          <w:color w:val="000000" w:themeColor="text1"/>
          <w:szCs w:val="20"/>
          <w:lang w:val="en-GB"/>
        </w:rPr>
        <w:t>Ms Anne W. Wambugu &amp; Ms Hope N Njoroge | Strathmore University (</w:t>
      </w:r>
      <w:r>
        <w:rPr>
          <w:b/>
          <w:color w:val="000000" w:themeColor="text1"/>
          <w:szCs w:val="20"/>
          <w:lang w:val="en-GB"/>
        </w:rPr>
        <w:t>SU</w:t>
      </w:r>
      <w:r>
        <w:rPr>
          <w:color w:val="000000" w:themeColor="text1"/>
          <w:szCs w:val="20"/>
          <w:lang w:val="en-GB"/>
        </w:rPr>
        <w:t>)</w:t>
      </w:r>
      <w:bookmarkStart w:id="21" w:name="_Hlk67004514"/>
      <w:bookmarkEnd w:id="21"/>
    </w:p>
    <w:p>
      <w:pPr>
        <w:pStyle w:val="Normal"/>
        <w:rPr>
          <w:rFonts w:cs="Arial"/>
          <w:szCs w:val="20"/>
          <w:lang w:val="en-GB"/>
        </w:rPr>
      </w:pPr>
      <w:r>
        <w:rPr>
          <w:rFonts w:cs="Arial"/>
          <w:szCs w:val="20"/>
          <w:lang w:val="en-GB"/>
        </w:rPr>
      </w:r>
    </w:p>
    <w:tbl>
      <w:tblPr>
        <w:tblW w:w="9219" w:type="dxa"/>
        <w:jc w:val="left"/>
        <w:tblInd w:w="-5" w:type="dxa"/>
        <w:tblLayout w:type="fixed"/>
        <w:tblCellMar>
          <w:top w:w="0" w:type="dxa"/>
          <w:left w:w="70" w:type="dxa"/>
          <w:bottom w:w="0" w:type="dxa"/>
          <w:right w:w="70" w:type="dxa"/>
        </w:tblCellMar>
        <w:tblLook w:val="04a0" w:noHBand="0" w:noVBand="1" w:firstColumn="1" w:lastRow="0" w:lastColumn="0" w:firstRow="1"/>
      </w:tblPr>
      <w:tblGrid>
        <w:gridCol w:w="856"/>
        <w:gridCol w:w="992"/>
        <w:gridCol w:w="1418"/>
        <w:gridCol w:w="708"/>
        <w:gridCol w:w="5245"/>
      </w:tblGrid>
      <w:tr>
        <w:trPr>
          <w:trHeight w:val="600" w:hRule="atLeast"/>
        </w:trPr>
        <w:tc>
          <w:tcPr>
            <w:tcW w:w="856" w:type="dxa"/>
            <w:tcBorders>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T5.3 </w:t>
            </w:r>
          </w:p>
        </w:tc>
        <w:tc>
          <w:tcPr>
            <w:tcW w:w="992"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 xml:space="preserve">PM </w:t>
              <w:br/>
              <w:t xml:space="preserve">formerly </w:t>
            </w:r>
          </w:p>
        </w:tc>
        <w:tc>
          <w:tcPr>
            <w:tcW w:w="1418"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color w:val="0000FF"/>
                <w:lang w:val="en-GB" w:eastAsia="de-DE"/>
              </w:rPr>
              <w:t>PM modification</w:t>
            </w:r>
          </w:p>
        </w:tc>
        <w:tc>
          <w:tcPr>
            <w:tcW w:w="708"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Final PM</w:t>
            </w:r>
          </w:p>
        </w:tc>
        <w:tc>
          <w:tcPr>
            <w:tcW w:w="5245" w:type="dxa"/>
            <w:tcBorders>
              <w:left w:val="single" w:sz="4" w:space="0" w:color="000000"/>
              <w:bottom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Comments</w:t>
            </w:r>
          </w:p>
        </w:tc>
      </w:tr>
      <w:tr>
        <w:trPr>
          <w:trHeight w:val="300" w:hRule="atLeast"/>
        </w:trPr>
        <w:tc>
          <w:tcPr>
            <w:tcW w:w="85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MESRS (lead)</w:t>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3</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lang w:val="en-GB" w:eastAsia="de-DE"/>
              </w:rPr>
            </w:pPr>
            <w:r>
              <w:rPr>
                <w:rFonts w:cs="Calibri"/>
                <w:b/>
                <w:color w:val="0000FF"/>
                <w:lang w:val="en-GB" w:eastAsia="de-DE"/>
              </w:rPr>
              <w:t>2</w:t>
            </w:r>
          </w:p>
        </w:tc>
        <w:tc>
          <w:tcPr>
            <w:tcW w:w="7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5</w:t>
            </w:r>
          </w:p>
        </w:tc>
        <w:tc>
          <w:tcPr>
            <w:tcW w:w="5245" w:type="dxa"/>
            <w:tcBorders>
              <w:top w:val="single" w:sz="4" w:space="0" w:color="000000"/>
              <w:left w:val="single" w:sz="4" w:space="0" w:color="000000"/>
              <w:bottom w:val="single" w:sz="4" w:space="0" w:color="000000"/>
            </w:tcBorders>
            <w:shd w:color="auto" w:fill="F2F2F2" w:themeFill="background1" w:themeFillShade="f2" w:val="clear"/>
          </w:tcPr>
          <w:p>
            <w:pPr>
              <w:pStyle w:val="Normal"/>
              <w:widowControl w:val="false"/>
              <w:suppressAutoHyphens w:val="true"/>
              <w:spacing w:before="60" w:after="60"/>
              <w:jc w:val="left"/>
              <w:rPr>
                <w:lang w:val="en-GB"/>
              </w:rPr>
            </w:pPr>
            <w:r>
              <w:rPr>
                <w:rFonts w:cs="Calibri"/>
                <w:lang w:val="en-GB" w:eastAsia="de-DE"/>
              </w:rPr>
              <w:t xml:space="preserve">MESRS, </w:t>
            </w:r>
            <w:r>
              <w:rPr>
                <w:lang w:val="en-GB"/>
              </w:rPr>
              <w:t>(1) Analysing African strategic agendas in RE , [Areas or research and innovation, research programs, keywords]</w:t>
            </w:r>
            <w:ins w:id="10" w:author="ED" w:date="2021-04-01T12:18:00Z">
              <w:r>
                <w:rPr>
                  <w:lang w:val="en-GB"/>
                </w:rPr>
                <w:t xml:space="preserve"> (1.1 and 1.2)</w:t>
              </w:r>
            </w:ins>
            <w:ins w:id="11" w:author="ED" w:date="2021-04-01T12:20:00Z">
              <w:r>
                <w:rPr>
                  <w:lang w:val="en-GB"/>
                </w:rPr>
                <w:t>;</w:t>
              </w:r>
            </w:ins>
            <w:r>
              <w:rPr>
                <w:lang w:val="en-GB"/>
              </w:rPr>
              <w:t xml:space="preserve"> (2) Benchmarking AU-EU R&amp;I in RE [by domain and by African regions based on bilateral scientific cooperation] </w:t>
            </w:r>
            <w:ins w:id="12" w:author="ED" w:date="2021-04-01T12:19:00Z">
              <w:r>
                <w:rPr>
                  <w:lang w:val="en-GB"/>
                </w:rPr>
                <w:t>(2.1 and 2.2)</w:t>
              </w:r>
            </w:ins>
            <w:ins w:id="13" w:author="ED" w:date="2021-04-01T12:20:00Z">
              <w:r>
                <w:rPr>
                  <w:lang w:val="en-GB"/>
                </w:rPr>
                <w:t>;</w:t>
              </w:r>
            </w:ins>
            <w:ins w:id="14" w:author="ED" w:date="2021-04-01T12:19:00Z">
              <w:r>
                <w:rPr>
                  <w:lang w:val="en-GB"/>
                </w:rPr>
                <w:t xml:space="preserve"> </w:t>
              </w:r>
            </w:ins>
            <w:r>
              <w:rPr>
                <w:lang w:val="en-GB"/>
              </w:rPr>
              <w:t>(3) Mapping and visualising results of networks [nodes are countries, institutions]</w:t>
            </w:r>
            <w:ins w:id="15" w:author="ED" w:date="2021-04-01T12:19:00Z">
              <w:r>
                <w:rPr>
                  <w:lang w:val="en-GB"/>
                </w:rPr>
                <w:t xml:space="preserve"> (3.1)</w:t>
              </w:r>
            </w:ins>
            <w:ins w:id="16" w:author="ED" w:date="2021-04-01T12:23:00Z">
              <w:r>
                <w:rPr>
                  <w:lang w:val="en-GB"/>
                </w:rPr>
                <w:t xml:space="preserve"> and support conceptualisation of scientometric study (3.2)</w:t>
              </w:r>
            </w:ins>
            <w:ins w:id="17" w:author="ED" w:date="2021-04-01T12:20:00Z">
              <w:r>
                <w:rPr>
                  <w:lang w:val="en-GB"/>
                </w:rPr>
                <w:t>;</w:t>
              </w:r>
            </w:ins>
            <w:r>
              <w:rPr>
                <w:lang w:val="en-GB"/>
              </w:rPr>
              <w:t xml:space="preserve"> </w:t>
            </w:r>
            <w:del w:id="18" w:author="ED" w:date="2021-04-01T12:19:00Z">
              <w:commentRangeStart w:id="7"/>
              <w:r>
                <w:rPr>
                  <w:lang w:val="en-GB"/>
                </w:rPr>
                <w:delText xml:space="preserve">(4) </w:delText>
              </w:r>
            </w:del>
            <w:del w:id="19" w:author="ED" w:date="2021-04-01T11:50:00Z">
              <w:r>
                <w:rPr>
                  <w:lang w:val="en-GB"/>
                </w:rPr>
                <w:delText xml:space="preserve">MESRS  and ZSI </w:delText>
              </w:r>
            </w:del>
            <w:del w:id="20" w:author="ED" w:date="2021-04-01T11:50:00Z">
              <w:r>
                <w:rPr>
                  <w:rFonts w:cs="Calibri"/>
                  <w:lang w:val="en-GB" w:eastAsia="de-DE"/>
                </w:rPr>
                <w:delText xml:space="preserve"> will </w:delText>
              </w:r>
            </w:del>
            <w:r>
              <w:rPr>
                <w:rFonts w:cs="Calibri"/>
                <w:lang w:val="en-GB" w:eastAsia="de-DE"/>
              </w:rPr>
              <w:t>conceptualise and coordinate the development of the T5.3 working document, with contributions from T5.3 colleagues</w:t>
            </w:r>
            <w:ins w:id="21" w:author="ED" w:date="2021-04-01T12:23:00Z">
              <w:r>
                <w:rPr>
                  <w:lang w:val="en-GB"/>
                </w:rPr>
                <w:t xml:space="preserve"> and draft deliverable D5.8 with inputs from co-partners</w:t>
              </w:r>
            </w:ins>
            <w:ins w:id="22" w:author="ED" w:date="2021-04-01T12:20:00Z">
              <w:r>
                <w:rPr>
                  <w:rFonts w:cs="Calibri"/>
                  <w:lang w:val="en-GB" w:eastAsia="de-DE"/>
                </w:rPr>
                <w:t>;</w:t>
              </w:r>
            </w:ins>
            <w:r>
              <w:rPr>
                <w:lang w:val="en-GB"/>
              </w:rPr>
              <w:t xml:space="preserve"> </w:t>
            </w:r>
            <w:del w:id="23" w:author="ED" w:date="2021-04-01T12:21:00Z">
              <w:r>
                <w:rPr>
                  <w:lang w:val="en-GB"/>
                </w:rPr>
                <w:delText xml:space="preserve">(5) </w:delText>
              </w:r>
            </w:del>
            <w:del w:id="24" w:author="ED" w:date="2021-04-01T11:50:00Z">
              <w:r>
                <w:rPr>
                  <w:lang w:val="en-GB"/>
                </w:rPr>
                <w:delText>ZSI and MESRS will -work on</w:delText>
              </w:r>
            </w:del>
            <w:ins w:id="25" w:author="ED" w:date="2021-04-01T12:24:00Z">
              <w:r>
                <w:rPr>
                  <w:lang w:val="en-GB"/>
                </w:rPr>
                <w:t xml:space="preserve"> </w:t>
              </w:r>
            </w:ins>
            <w:ins w:id="26" w:author="ED" w:date="2021-04-01T11:50:00Z">
              <w:r>
                <w:rPr>
                  <w:lang w:val="en-GB"/>
                </w:rPr>
                <w:t>develop</w:t>
              </w:r>
            </w:ins>
            <w:r>
              <w:rPr>
                <w:lang w:val="en-GB"/>
              </w:rPr>
              <w:t xml:space="preserve"> a questionnaire to evaluate </w:t>
            </w:r>
            <w:del w:id="27" w:author="ED" w:date="2021-04-01T12:20:00Z">
              <w:r>
                <w:rPr>
                  <w:lang w:val="en-GB"/>
                </w:rPr>
                <w:delText xml:space="preserve"> </w:delText>
              </w:r>
            </w:del>
            <w:r>
              <w:rPr>
                <w:lang w:val="en-GB"/>
              </w:rPr>
              <w:t>level of AU-EU cooperation in RE and how could be designed  the long term partnership through the instruments of teaming and twinning and access to infrastructures of research</w:t>
            </w:r>
            <w:ins w:id="28" w:author="ED" w:date="2021-04-01T12:22:00Z">
              <w:r>
                <w:rPr>
                  <w:lang w:val="en-GB"/>
                </w:rPr>
                <w:t xml:space="preserve"> (4.1) </w:t>
              </w:r>
            </w:ins>
            <w:r>
              <w:rPr>
                <w:lang w:val="en-GB"/>
              </w:rPr>
            </w:r>
            <w:ins w:id="29" w:author="ED" w:date="2021-04-01T12:22:00Z">
              <w:commentRangeEnd w:id="7"/>
              <w:r>
                <w:commentReference w:id="7"/>
              </w:r>
              <w:r>
                <w:rPr>
                  <w:lang w:val="en-GB"/>
                </w:rPr>
                <w:t>and overall</w:t>
              </w:r>
            </w:ins>
            <w:r>
              <w:rPr>
                <w:lang w:val="en-GB"/>
              </w:rPr>
              <w:t xml:space="preserve"> </w:t>
            </w:r>
            <w:del w:id="30" w:author="ED" w:date="2021-04-01T12:22:00Z">
              <w:r>
                <w:rPr>
                  <w:lang w:val="en-GB"/>
                </w:rPr>
                <w:delText xml:space="preserve">(6) </w:delText>
              </w:r>
            </w:del>
            <w:del w:id="31" w:author="ED" w:date="2021-04-01T11:51:00Z">
              <w:r>
                <w:rPr>
                  <w:lang w:val="en-GB"/>
                </w:rPr>
                <w:delText>ZSI and MESRS will -</w:delText>
              </w:r>
            </w:del>
            <w:del w:id="32" w:author="ED" w:date="2021-04-01T12:23:00Z">
              <w:r>
                <w:rPr>
                  <w:lang w:val="en-GB"/>
                </w:rPr>
                <w:delText>draft deliverable D5.8 with inputs from co-partners</w:delText>
              </w:r>
            </w:del>
            <w:ins w:id="33" w:author="ED" w:date="2021-04-01T12:22:00Z">
              <w:r>
                <w:rPr>
                  <w:lang w:val="en-GB"/>
                </w:rPr>
                <w:t>.</w:t>
              </w:r>
            </w:ins>
          </w:p>
        </w:tc>
      </w:tr>
      <w:tr>
        <w:trPr>
          <w:trHeight w:val="300" w:hRule="atLeast"/>
        </w:trPr>
        <w:tc>
          <w:tcPr>
            <w:tcW w:w="85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ZSI (</w:t>
            </w:r>
            <w:ins w:id="34" w:author="ED" w:date="2021-04-01T11:49:00Z">
              <w:r>
                <w:rPr>
                  <w:rFonts w:cs="Calibri"/>
                  <w:b/>
                  <w:bCs/>
                  <w:lang w:val="en-GB" w:eastAsia="de-DE"/>
                </w:rPr>
                <w:t>co-</w:t>
              </w:r>
            </w:ins>
            <w:r>
              <w:rPr>
                <w:rFonts w:cs="Calibri"/>
                <w:b/>
                <w:bCs/>
                <w:lang w:val="en-GB" w:eastAsia="de-DE"/>
              </w:rPr>
              <w:t>lead)</w:t>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2</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0</w:t>
            </w:r>
          </w:p>
        </w:tc>
        <w:tc>
          <w:tcPr>
            <w:tcW w:w="7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2</w:t>
            </w:r>
          </w:p>
        </w:tc>
        <w:tc>
          <w:tcPr>
            <w:tcW w:w="5245" w:type="dxa"/>
            <w:tcBorders>
              <w:top w:val="single" w:sz="4" w:space="0" w:color="000000"/>
              <w:left w:val="single" w:sz="4" w:space="0" w:color="000000"/>
              <w:bottom w:val="single" w:sz="4" w:space="0" w:color="000000"/>
            </w:tcBorders>
            <w:shd w:color="auto" w:fill="F2F2F2" w:themeFill="background1" w:themeFillShade="f2" w:val="clear"/>
          </w:tcPr>
          <w:p>
            <w:pPr>
              <w:pStyle w:val="Normal"/>
              <w:widowControl w:val="false"/>
              <w:suppressAutoHyphens w:val="true"/>
              <w:spacing w:before="0" w:after="0"/>
              <w:jc w:val="left"/>
              <w:rPr>
                <w:rFonts w:ascii="Calibri" w:hAnsi="Calibri" w:cs="Calibri"/>
                <w:lang w:val="en-GB" w:eastAsia="de-DE"/>
              </w:rPr>
            </w:pPr>
            <w:r>
              <w:rPr>
                <w:rFonts w:cs="Calibri"/>
                <w:lang w:val="en-GB" w:eastAsia="de-DE"/>
              </w:rPr>
              <w:t xml:space="preserve">In addition to the </w:t>
            </w:r>
            <w:del w:id="35" w:author="ED" w:date="2021-04-01T11:49:00Z">
              <w:r>
                <w:rPr>
                  <w:rFonts w:cs="Calibri"/>
                  <w:lang w:val="en-GB" w:eastAsia="de-DE"/>
                </w:rPr>
                <w:delText>work jointly done</w:delText>
              </w:r>
            </w:del>
            <w:ins w:id="36" w:author="ED" w:date="2021-04-01T11:49:00Z">
              <w:r>
                <w:rPr>
                  <w:rFonts w:cs="Calibri"/>
                  <w:lang w:val="en-GB" w:eastAsia="de-DE"/>
                </w:rPr>
                <w:t>support given to</w:t>
              </w:r>
            </w:ins>
            <w:r>
              <w:rPr>
                <w:rFonts w:cs="Calibri"/>
                <w:lang w:val="en-GB" w:eastAsia="de-DE"/>
              </w:rPr>
              <w:t xml:space="preserve"> </w:t>
            </w:r>
            <w:del w:id="37" w:author="ED" w:date="2021-04-01T11:49:00Z">
              <w:r>
                <w:rPr>
                  <w:rFonts w:cs="Calibri"/>
                  <w:lang w:val="en-GB" w:eastAsia="de-DE"/>
                </w:rPr>
                <w:delText xml:space="preserve">with </w:delText>
              </w:r>
            </w:del>
            <w:r>
              <w:rPr>
                <w:rFonts w:cs="Calibri"/>
                <w:lang w:val="en-GB" w:eastAsia="de-DE"/>
              </w:rPr>
              <w:t xml:space="preserve">MESRS </w:t>
            </w:r>
            <w:ins w:id="38" w:author="ED" w:date="2021-04-01T11:49:00Z">
              <w:r>
                <w:rPr>
                  <w:rFonts w:cs="Calibri"/>
                  <w:lang w:val="en-GB" w:eastAsia="de-DE"/>
                </w:rPr>
                <w:t xml:space="preserve">with the leadership </w:t>
              </w:r>
            </w:ins>
            <w:ins w:id="39" w:author="ED" w:date="2021-04-01T12:08:00Z">
              <w:r>
                <w:rPr>
                  <w:rFonts w:cs="Calibri"/>
                  <w:lang w:val="en-GB" w:eastAsia="de-DE"/>
                </w:rPr>
                <w:t xml:space="preserve">of </w:t>
              </w:r>
            </w:ins>
            <w:ins w:id="40" w:author="ED" w:date="2021-04-01T11:49:00Z">
              <w:r>
                <w:rPr>
                  <w:rFonts w:cs="Calibri"/>
                  <w:lang w:val="en-GB" w:eastAsia="de-DE"/>
                </w:rPr>
                <w:t xml:space="preserve">tasks </w:t>
              </w:r>
            </w:ins>
            <w:r>
              <w:rPr>
                <w:rFonts w:cs="Calibri"/>
                <w:lang w:val="en-GB" w:eastAsia="de-DE"/>
              </w:rPr>
              <w:t>(see above), ZSI will dedicate it</w:t>
            </w:r>
            <w:bookmarkStart w:id="22" w:name="_GoBack"/>
            <w:bookmarkEnd w:id="22"/>
            <w:r>
              <w:rPr>
                <w:rFonts w:cs="Calibri"/>
                <w:lang w:val="en-GB" w:eastAsia="de-DE"/>
              </w:rPr>
              <w:t>s limited resources to conceptualising (together with MESRS</w:t>
            </w:r>
            <w:ins w:id="41" w:author="ED" w:date="2021-04-01T11:56:00Z">
              <w:r>
                <w:rPr>
                  <w:rFonts w:cs="Calibri"/>
                  <w:lang w:val="en-GB" w:eastAsia="de-DE"/>
                </w:rPr>
                <w:t xml:space="preserve"> and DSI</w:t>
              </w:r>
            </w:ins>
            <w:r>
              <w:rPr>
                <w:rFonts w:cs="Calibri"/>
                <w:lang w:val="en-GB" w:eastAsia="de-DE"/>
              </w:rPr>
              <w:t>) and conducting</w:t>
            </w:r>
            <w:ins w:id="42" w:author="ED" w:date="2021-04-01T12:24:00Z">
              <w:r>
                <w:rPr>
                  <w:rFonts w:cs="Calibri"/>
                  <w:lang w:val="en-GB" w:eastAsia="de-DE"/>
                </w:rPr>
                <w:t>/implementing</w:t>
              </w:r>
            </w:ins>
            <w:r>
              <w:rPr>
                <w:rFonts w:cs="Calibri"/>
                <w:lang w:val="en-GB" w:eastAsia="de-DE"/>
              </w:rPr>
              <w:t xml:space="preserve"> the scientometric analysis (</w:t>
            </w:r>
            <w:del w:id="43" w:author="ED" w:date="2021-04-01T12:16:00Z">
              <w:r>
                <w:rPr>
                  <w:rFonts w:cs="Calibri"/>
                  <w:lang w:val="en-GB" w:eastAsia="de-DE"/>
                </w:rPr>
                <w:delText xml:space="preserve">currently </w:delText>
              </w:r>
            </w:del>
            <w:r>
              <w:rPr>
                <w:rFonts w:cs="Calibri"/>
                <w:lang w:val="en-GB" w:eastAsia="de-DE"/>
              </w:rPr>
              <w:t>3.2)</w:t>
            </w:r>
            <w:ins w:id="44" w:author="ED" w:date="2021-04-01T11:51:00Z">
              <w:r>
                <w:rPr>
                  <w:rFonts w:cs="Calibri"/>
                  <w:lang w:val="en-GB" w:eastAsia="de-DE"/>
                </w:rPr>
                <w:t>.</w:t>
              </w:r>
            </w:ins>
          </w:p>
        </w:tc>
      </w:tr>
      <w:tr>
        <w:trPr>
          <w:trHeight w:val="300" w:hRule="atLeast"/>
        </w:trPr>
        <w:tc>
          <w:tcPr>
            <w:tcW w:w="856" w:type="dxa"/>
            <w:tcBorders>
              <w:top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PAUWES</w:t>
            </w:r>
          </w:p>
        </w:tc>
        <w:tc>
          <w:tcPr>
            <w:tcW w:w="99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2</w:t>
            </w:r>
          </w:p>
        </w:tc>
        <w:tc>
          <w:tcPr>
            <w:tcW w:w="141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lang w:val="en-GB" w:eastAsia="de-DE"/>
              </w:rPr>
            </w:pPr>
            <w:r>
              <w:rPr>
                <w:rFonts w:cs="Calibri"/>
                <w:b/>
                <w:color w:val="0000FF"/>
                <w:lang w:val="en-GB" w:eastAsia="de-DE"/>
              </w:rPr>
              <w:t>-2</w:t>
            </w:r>
          </w:p>
        </w:tc>
        <w:tc>
          <w:tcPr>
            <w:tcW w:w="70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0</w:t>
            </w:r>
          </w:p>
        </w:tc>
        <w:tc>
          <w:tcPr>
            <w:tcW w:w="5245" w:type="dxa"/>
            <w:tcBorders>
              <w:top w:val="single" w:sz="4" w:space="0" w:color="000000"/>
              <w:left w:val="single" w:sz="4" w:space="0" w:color="000000"/>
              <w:bottom w:val="single" w:sz="4" w:space="0" w:color="000000"/>
            </w:tcBorders>
            <w:shd w:color="auto" w:fill="BFBFBF" w:themeFill="background1" w:themeFillShade="bf" w:val="clear"/>
          </w:tcPr>
          <w:p>
            <w:pPr>
              <w:pStyle w:val="Normal"/>
              <w:widowControl w:val="false"/>
              <w:suppressAutoHyphens w:val="true"/>
              <w:spacing w:before="0" w:after="0"/>
              <w:jc w:val="left"/>
              <w:rPr>
                <w:rFonts w:ascii="Calibri" w:hAnsi="Calibri" w:cs="Calibri"/>
                <w:lang w:val="en-GB" w:eastAsia="de-DE"/>
              </w:rPr>
            </w:pPr>
            <w:r>
              <w:rPr>
                <w:rFonts w:cs="Calibri"/>
                <w:lang w:val="en-GB" w:eastAsia="de-DE"/>
              </w:rPr>
              <w:t> </w:t>
            </w:r>
          </w:p>
        </w:tc>
      </w:tr>
      <w:tr>
        <w:trPr>
          <w:trHeight w:val="300" w:hRule="atLeast"/>
        </w:trPr>
        <w:tc>
          <w:tcPr>
            <w:tcW w:w="856" w:type="dxa"/>
            <w:tcBorders>
              <w:top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DLR</w:t>
            </w:r>
          </w:p>
        </w:tc>
        <w:tc>
          <w:tcPr>
            <w:tcW w:w="99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2</w:t>
            </w:r>
          </w:p>
        </w:tc>
        <w:tc>
          <w:tcPr>
            <w:tcW w:w="141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lang w:val="en-GB" w:eastAsia="de-DE"/>
              </w:rPr>
            </w:pPr>
            <w:r>
              <w:rPr>
                <w:rFonts w:cs="Calibri"/>
                <w:b/>
                <w:color w:val="0000FF"/>
                <w:lang w:val="en-GB" w:eastAsia="de-DE"/>
              </w:rPr>
              <w:t>-2</w:t>
            </w:r>
          </w:p>
        </w:tc>
        <w:tc>
          <w:tcPr>
            <w:tcW w:w="70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0</w:t>
            </w:r>
          </w:p>
        </w:tc>
        <w:tc>
          <w:tcPr>
            <w:tcW w:w="5245" w:type="dxa"/>
            <w:tcBorders>
              <w:top w:val="single" w:sz="4" w:space="0" w:color="000000"/>
              <w:left w:val="single" w:sz="4" w:space="0" w:color="000000"/>
              <w:bottom w:val="single" w:sz="4" w:space="0" w:color="000000"/>
            </w:tcBorders>
            <w:shd w:color="auto" w:fill="BFBFBF" w:themeFill="background1" w:themeFillShade="bf" w:val="clear"/>
          </w:tcPr>
          <w:p>
            <w:pPr>
              <w:pStyle w:val="Normal"/>
              <w:widowControl w:val="false"/>
              <w:suppressAutoHyphens w:val="true"/>
              <w:spacing w:before="0" w:after="0"/>
              <w:jc w:val="left"/>
              <w:rPr>
                <w:rFonts w:ascii="Calibri" w:hAnsi="Calibri" w:cs="Calibri"/>
                <w:lang w:val="en-GB" w:eastAsia="de-DE"/>
              </w:rPr>
            </w:pPr>
            <w:r>
              <w:rPr>
                <w:rFonts w:cs="Calibri"/>
                <w:lang w:val="en-GB" w:eastAsia="de-DE"/>
              </w:rPr>
            </w:r>
          </w:p>
        </w:tc>
      </w:tr>
      <w:tr>
        <w:trPr>
          <w:trHeight w:val="300" w:hRule="atLeast"/>
        </w:trPr>
        <w:tc>
          <w:tcPr>
            <w:tcW w:w="85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DSI</w:t>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0</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color w:val="0000FF"/>
                <w:lang w:val="en-GB" w:eastAsia="de-DE"/>
              </w:rPr>
            </w:pPr>
            <w:r>
              <w:rPr>
                <w:rFonts w:cs="Calibri"/>
                <w:b/>
                <w:color w:val="0000FF"/>
                <w:lang w:val="en-GB" w:eastAsia="de-DE"/>
              </w:rPr>
              <w:t>2</w:t>
            </w:r>
          </w:p>
        </w:tc>
        <w:tc>
          <w:tcPr>
            <w:tcW w:w="7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2</w:t>
            </w:r>
          </w:p>
        </w:tc>
        <w:tc>
          <w:tcPr>
            <w:tcW w:w="5245" w:type="dxa"/>
            <w:tcBorders>
              <w:top w:val="single" w:sz="4" w:space="0" w:color="000000"/>
              <w:left w:val="single" w:sz="4" w:space="0" w:color="000000"/>
              <w:bottom w:val="single" w:sz="4" w:space="0" w:color="000000"/>
            </w:tcBorders>
            <w:shd w:color="auto" w:fill="F2F2F2" w:themeFill="background1" w:themeFillShade="f2" w:val="clear"/>
          </w:tcPr>
          <w:p>
            <w:pPr>
              <w:pStyle w:val="Normal"/>
              <w:widowControl w:val="false"/>
              <w:suppressAutoHyphens w:val="true"/>
              <w:spacing w:before="0" w:after="0"/>
              <w:jc w:val="left"/>
              <w:rPr>
                <w:rFonts w:cs="Calibri"/>
                <w:color w:val="000000" w:themeColor="text1"/>
                <w:lang w:val="en-GB" w:eastAsia="de-DE"/>
              </w:rPr>
            </w:pPr>
            <w:r>
              <w:rPr>
                <w:rFonts w:cs="Calibri"/>
                <w:color w:val="000000" w:themeColor="text1"/>
                <w:lang w:val="en-GB" w:eastAsia="de-DE"/>
              </w:rPr>
              <w:t xml:space="preserve">DSI will contribute towards the scientometrics study on Africa’s capacities </w:t>
            </w:r>
            <w:ins w:id="45" w:author="ED" w:date="2021-04-01T12:16:00Z">
              <w:r>
                <w:rPr>
                  <w:rFonts w:cs="Calibri"/>
                  <w:color w:val="000000" w:themeColor="text1"/>
                  <w:lang w:val="en-GB" w:eastAsia="de-DE"/>
                </w:rPr>
                <w:t xml:space="preserve">(3.2) </w:t>
              </w:r>
            </w:ins>
            <w:r>
              <w:rPr>
                <w:rFonts w:cs="Calibri"/>
                <w:color w:val="000000" w:themeColor="text1"/>
                <w:lang w:val="en-GB" w:eastAsia="de-DE"/>
              </w:rPr>
              <w:t>as well as the conceptualisation of approaches to and implementation of Twinning, teaming of research and pooling of infrastructure and the twinning of post-doctoral programmes exercise</w:t>
            </w:r>
            <w:ins w:id="46" w:author="ED" w:date="2021-04-01T12:16:00Z">
              <w:r>
                <w:rPr>
                  <w:rFonts w:cs="Calibri"/>
                  <w:color w:val="000000" w:themeColor="text1"/>
                  <w:lang w:val="en-GB" w:eastAsia="de-DE"/>
                </w:rPr>
                <w:t xml:space="preserve"> (5)</w:t>
              </w:r>
            </w:ins>
            <w:r>
              <w:rPr>
                <w:rFonts w:cs="Calibri"/>
                <w:color w:val="000000" w:themeColor="text1"/>
                <w:lang w:val="en-GB" w:eastAsia="de-DE"/>
              </w:rPr>
              <w:t>.</w:t>
            </w:r>
          </w:p>
        </w:tc>
      </w:tr>
      <w:tr>
        <w:trPr>
          <w:trHeight w:val="300" w:hRule="atLeast"/>
        </w:trPr>
        <w:tc>
          <w:tcPr>
            <w:tcW w:w="85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SU</w:t>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0</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color w:val="0000FF"/>
                <w:lang w:val="en-GB" w:eastAsia="de-DE"/>
              </w:rPr>
            </w:pPr>
            <w:r>
              <w:rPr>
                <w:rFonts w:cs="Calibri"/>
                <w:b/>
                <w:color w:val="0000FF"/>
                <w:lang w:val="en-GB" w:eastAsia="de-DE"/>
              </w:rPr>
              <w:t>2</w:t>
            </w:r>
          </w:p>
        </w:tc>
        <w:tc>
          <w:tcPr>
            <w:tcW w:w="7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2</w:t>
            </w:r>
          </w:p>
        </w:tc>
        <w:tc>
          <w:tcPr>
            <w:tcW w:w="5245" w:type="dxa"/>
            <w:tcBorders>
              <w:top w:val="single" w:sz="4" w:space="0" w:color="000000"/>
              <w:left w:val="single" w:sz="4" w:space="0" w:color="000000"/>
              <w:bottom w:val="single" w:sz="4" w:space="0" w:color="000000"/>
            </w:tcBorders>
            <w:shd w:color="auto" w:fill="F2F2F2" w:themeFill="background1" w:themeFillShade="f2" w:val="clear"/>
          </w:tcPr>
          <w:p>
            <w:pPr>
              <w:pStyle w:val="Normal"/>
              <w:widowControl w:val="false"/>
              <w:suppressAutoHyphens w:val="true"/>
              <w:spacing w:before="0" w:after="0"/>
              <w:jc w:val="left"/>
              <w:rPr>
                <w:rFonts w:ascii="Calibri" w:hAnsi="Calibri" w:cs="Calibri"/>
                <w:color w:val="000000" w:themeColor="text1"/>
                <w:lang w:val="en-GB" w:eastAsia="de-DE"/>
              </w:rPr>
            </w:pPr>
            <w:r>
              <w:rPr>
                <w:rFonts w:cs="Calibri"/>
                <w:color w:val="000000" w:themeColor="text1"/>
                <w:lang w:val="en-GB" w:eastAsia="de-DE"/>
              </w:rPr>
              <w:t xml:space="preserve">Develop approaches to </w:t>
            </w:r>
            <w:r>
              <w:rPr>
                <w:color w:val="000000" w:themeColor="text1"/>
                <w:szCs w:val="20"/>
                <w:lang w:val="en-GB"/>
              </w:rPr>
              <w:t>Twinning, teaming of research and pooling of infrastructure</w:t>
            </w:r>
            <w:ins w:id="47" w:author="ED" w:date="2021-04-01T12:16:00Z">
              <w:r>
                <w:rPr>
                  <w:color w:val="000000" w:themeColor="text1"/>
                  <w:szCs w:val="20"/>
                  <w:lang w:val="en-GB"/>
                </w:rPr>
                <w:t xml:space="preserve"> (5)</w:t>
              </w:r>
            </w:ins>
          </w:p>
        </w:tc>
      </w:tr>
      <w:tr>
        <w:trPr>
          <w:trHeight w:val="300" w:hRule="atLeast"/>
        </w:trPr>
        <w:tc>
          <w:tcPr>
            <w:tcW w:w="856" w:type="dxa"/>
            <w:tcBorders>
              <w:top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bCs/>
                <w:color w:val="000000" w:themeColor="text1"/>
                <w:lang w:val="en-GB" w:eastAsia="de-DE"/>
              </w:rPr>
            </w:pPr>
            <w:r>
              <w:rPr>
                <w:rFonts w:cs="Calibri"/>
                <w:b/>
                <w:bCs/>
                <w:color w:val="000000" w:themeColor="text1"/>
                <w:lang w:val="en-GB" w:eastAsia="de-DE"/>
              </w:rPr>
              <w:t>UNU</w:t>
            </w:r>
          </w:p>
        </w:tc>
        <w:tc>
          <w:tcPr>
            <w:tcW w:w="99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color w:val="000000" w:themeColor="text1"/>
                <w:lang w:val="en-GB" w:eastAsia="de-DE"/>
              </w:rPr>
            </w:pPr>
            <w:r>
              <w:rPr>
                <w:rFonts w:cs="Calibri"/>
                <w:color w:val="000000" w:themeColor="text1"/>
                <w:lang w:val="en-GB" w:eastAsia="de-DE"/>
              </w:rPr>
              <w:t>2</w:t>
            </w:r>
          </w:p>
        </w:tc>
        <w:tc>
          <w:tcPr>
            <w:tcW w:w="141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color w:val="000000" w:themeColor="text1"/>
                <w:lang w:val="en-GB" w:eastAsia="de-DE"/>
              </w:rPr>
            </w:pPr>
            <w:r>
              <w:rPr>
                <w:rFonts w:cs="Calibri"/>
                <w:b/>
                <w:color w:val="0000FF"/>
                <w:lang w:val="en-GB" w:eastAsia="de-DE"/>
              </w:rPr>
              <w:t>0</w:t>
            </w:r>
          </w:p>
        </w:tc>
        <w:tc>
          <w:tcPr>
            <w:tcW w:w="70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bCs/>
                <w:color w:val="000000" w:themeColor="text1"/>
                <w:lang w:val="en-GB" w:eastAsia="de-DE"/>
              </w:rPr>
            </w:pPr>
            <w:r>
              <w:rPr>
                <w:rFonts w:cs="Calibri"/>
                <w:b/>
                <w:bCs/>
                <w:color w:val="000000" w:themeColor="text1"/>
                <w:lang w:val="en-GB" w:eastAsia="de-DE"/>
              </w:rPr>
              <w:t>0</w:t>
            </w:r>
          </w:p>
        </w:tc>
        <w:tc>
          <w:tcPr>
            <w:tcW w:w="5245" w:type="dxa"/>
            <w:tcBorders>
              <w:top w:val="single" w:sz="4" w:space="0" w:color="000000"/>
              <w:left w:val="single" w:sz="4" w:space="0" w:color="000000"/>
              <w:bottom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color w:val="000000" w:themeColor="text1"/>
                <w:lang w:val="en-GB" w:eastAsia="de-DE"/>
              </w:rPr>
            </w:pPr>
            <w:r>
              <w:rPr>
                <w:rFonts w:cs="Calibri"/>
                <w:color w:val="000000" w:themeColor="text1"/>
                <w:lang w:val="en-GB" w:eastAsia="de-DE"/>
              </w:rPr>
            </w:r>
          </w:p>
        </w:tc>
      </w:tr>
      <w:tr>
        <w:trPr>
          <w:trHeight w:val="300" w:hRule="atLeast"/>
        </w:trPr>
        <w:tc>
          <w:tcPr>
            <w:tcW w:w="856" w:type="dxa"/>
            <w:tcBorders>
              <w:top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rPr>
                <w:rFonts w:ascii="Calibri" w:hAnsi="Calibri" w:cs="Calibri"/>
                <w:b/>
                <w:b/>
                <w:bCs/>
                <w:color w:val="000000" w:themeColor="text1"/>
                <w:lang w:val="en-GB" w:eastAsia="de-DE"/>
              </w:rPr>
            </w:pPr>
            <w:r>
              <w:rPr>
                <w:rFonts w:cs="Calibri"/>
                <w:b/>
                <w:bCs/>
                <w:color w:val="000000" w:themeColor="text1"/>
                <w:lang w:val="en-GB" w:eastAsia="de-DE"/>
              </w:rPr>
            </w:r>
          </w:p>
        </w:tc>
        <w:tc>
          <w:tcPr>
            <w:tcW w:w="992"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color w:val="000000" w:themeColor="text1"/>
                <w:lang w:val="en-GB" w:eastAsia="de-DE"/>
              </w:rPr>
            </w:pPr>
            <w:r>
              <w:rPr>
                <w:rFonts w:cs="Calibri"/>
                <w:color w:val="000000" w:themeColor="text1"/>
                <w:lang w:val="en-GB" w:eastAsia="de-DE"/>
              </w:rPr>
            </w:r>
          </w:p>
        </w:tc>
        <w:tc>
          <w:tcPr>
            <w:tcW w:w="1418"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color w:val="0000FF"/>
                <w:lang w:val="en-GB" w:eastAsia="de-DE"/>
              </w:rPr>
            </w:pPr>
            <w:r>
              <w:rPr>
                <w:rFonts w:cs="Calibri"/>
                <w:b/>
                <w:color w:val="0000FF"/>
                <w:lang w:val="en-GB" w:eastAsia="de-DE"/>
              </w:rPr>
            </w:r>
          </w:p>
        </w:tc>
        <w:tc>
          <w:tcPr>
            <w:tcW w:w="708"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color w:val="000000" w:themeColor="text1"/>
                <w:lang w:val="en-GB" w:eastAsia="de-DE"/>
              </w:rPr>
            </w:pPr>
            <w:r>
              <w:rPr>
                <w:rFonts w:cs="Calibri"/>
                <w:b/>
                <w:bCs/>
                <w:color w:val="000000" w:themeColor="text1"/>
                <w:lang w:val="en-GB" w:eastAsia="de-DE"/>
              </w:rPr>
              <w:t>11</w:t>
            </w:r>
          </w:p>
        </w:tc>
        <w:tc>
          <w:tcPr>
            <w:tcW w:w="5245" w:type="dxa"/>
            <w:tcBorders>
              <w:top w:val="single" w:sz="4" w:space="0" w:color="000000"/>
              <w:left w:val="single" w:sz="4" w:space="0" w:color="000000"/>
            </w:tcBorders>
            <w:shd w:color="auto" w:fill="FFFFFF" w:themeFill="background1" w:val="clear"/>
            <w:vAlign w:val="center"/>
          </w:tcPr>
          <w:p>
            <w:pPr>
              <w:pStyle w:val="Normal"/>
              <w:widowControl w:val="false"/>
              <w:suppressAutoHyphens w:val="true"/>
              <w:spacing w:before="0" w:after="0"/>
              <w:jc w:val="left"/>
              <w:rPr>
                <w:rFonts w:ascii="Calibri" w:hAnsi="Calibri" w:cs="Calibri"/>
                <w:b/>
                <w:b/>
                <w:color w:val="000000" w:themeColor="text1"/>
                <w:lang w:val="en-GB" w:eastAsia="de-DE"/>
              </w:rPr>
            </w:pPr>
            <w:r>
              <w:rPr>
                <w:rFonts w:cs="Calibri"/>
                <w:b/>
                <w:color w:val="000000" w:themeColor="text1"/>
                <w:lang w:val="en-GB" w:eastAsia="de-DE"/>
              </w:rPr>
              <w:t>Total - T5.3</w:t>
            </w:r>
          </w:p>
        </w:tc>
      </w:tr>
    </w:tbl>
    <w:p>
      <w:pPr>
        <w:pStyle w:val="Normal"/>
        <w:suppressAutoHyphens w:val="true"/>
        <w:rPr>
          <w:rFonts w:cs="Arial"/>
          <w:szCs w:val="20"/>
          <w:lang w:val="en-GB"/>
        </w:rPr>
      </w:pPr>
      <w:r>
        <w:rPr>
          <w:rFonts w:cs="Arial"/>
          <w:szCs w:val="20"/>
          <w:lang w:val="en-GB"/>
        </w:rPr>
      </w:r>
    </w:p>
    <w:p>
      <w:pPr>
        <w:pStyle w:val="Normal"/>
        <w:suppressAutoHyphens w:val="true"/>
        <w:jc w:val="left"/>
        <w:rPr>
          <w:color w:val="000000" w:themeColor="text1"/>
          <w:szCs w:val="20"/>
          <w:lang w:val="en-GB"/>
        </w:rPr>
      </w:pPr>
      <w:r>
        <w:rPr>
          <w:color w:val="595959" w:themeColor="text1" w:themeTint="a6"/>
          <w:sz w:val="24"/>
          <w:lang w:val="en-GB"/>
        </w:rPr>
        <w:t xml:space="preserve">This task addresses innovative models of cooperation for R&amp;I capacity-building. African strategic agendas will be analysed and selected activities in the field of RE will be benchmarked. The target is to support new (or existing) mechanisms which may involve networking, teaming (by creating centres of excellence), twinning (institutional co supervision, post-doctoral programmes), and sharing infrastructures. The framework of such vision was declined in the new Africa-Europe Alliance for Sustainable Investment and Jobs, Horizon Europe and the new Research Framework Programme for the period 2021-2027 that </w:t>
      </w:r>
      <w:r>
        <w:rPr>
          <w:color w:val="000000" w:themeColor="text1"/>
          <w:sz w:val="24"/>
          <w:lang w:val="en-GB"/>
        </w:rPr>
        <w:t xml:space="preserve">open up new opportunities in the join AU-EU strategy (5th SOM, AU-EU HLPD on STI). This work will be undertaken </w:t>
      </w:r>
      <w:r>
        <w:rPr>
          <w:b/>
          <w:bCs/>
          <w:color w:val="000000" w:themeColor="text1"/>
          <w:sz w:val="24"/>
          <w:lang w:val="en-GB"/>
        </w:rPr>
        <w:t xml:space="preserve">Toward innovative models of cooperation for R&amp;I capacity-building in RE </w:t>
      </w:r>
      <w:r>
        <w:rPr>
          <w:color w:val="000000" w:themeColor="text1"/>
          <w:sz w:val="24"/>
          <w:lang w:val="en-GB"/>
        </w:rPr>
        <w:t>following the</w:t>
      </w:r>
      <w:r>
        <w:rPr>
          <w:b/>
          <w:bCs/>
          <w:color w:val="000000" w:themeColor="text1"/>
          <w:sz w:val="24"/>
          <w:lang w:val="en-GB"/>
        </w:rPr>
        <w:t xml:space="preserve"> </w:t>
      </w:r>
      <w:r>
        <w:rPr>
          <w:color w:val="000000" w:themeColor="text1"/>
          <w:sz w:val="24"/>
          <w:lang w:val="en-GB"/>
        </w:rPr>
        <w:t>five next steps:</w:t>
      </w:r>
    </w:p>
    <w:p>
      <w:pPr>
        <w:pStyle w:val="Normal"/>
        <w:suppressAutoHyphens w:val="true"/>
        <w:jc w:val="left"/>
        <w:rPr>
          <w:szCs w:val="20"/>
          <w:lang w:val="en-GB"/>
        </w:rPr>
      </w:pPr>
      <w:r>
        <w:rPr>
          <w:color w:val="000000" w:themeColor="text1"/>
          <w:szCs w:val="20"/>
          <w:lang w:val="en-GB"/>
        </w:rPr>
        <w:t xml:space="preserve">(1) Analysing African strategic agendas in RE [SDGs, Africa2063, STISA] and </w:t>
      </w:r>
      <w:ins w:id="48" w:author="ED" w:date="2021-04-01T11:56:00Z">
        <w:r>
          <w:rPr>
            <w:color w:val="000000" w:themeColor="text1"/>
            <w:szCs w:val="20"/>
            <w:lang w:val="en-GB"/>
          </w:rPr>
          <w:t>s</w:t>
        </w:r>
      </w:ins>
      <w:del w:id="49" w:author="ED" w:date="2021-04-01T11:56:00Z">
        <w:r>
          <w:rPr>
            <w:color w:val="000000" w:themeColor="text1"/>
            <w:szCs w:val="20"/>
            <w:lang w:val="en-GB"/>
          </w:rPr>
          <w:delText>S</w:delText>
        </w:r>
      </w:del>
      <w:r>
        <w:rPr>
          <w:color w:val="000000" w:themeColor="text1"/>
          <w:szCs w:val="20"/>
          <w:lang w:val="en-GB"/>
        </w:rPr>
        <w:t xml:space="preserve">electing activities in the field of RE [Areas or research </w:t>
      </w:r>
      <w:r>
        <w:rPr>
          <w:szCs w:val="20"/>
          <w:lang w:val="en-GB"/>
        </w:rPr>
        <w:t xml:space="preserve">and innovation, research programs, keywords] </w:t>
      </w:r>
    </w:p>
    <w:p>
      <w:pPr>
        <w:pStyle w:val="Normal"/>
        <w:suppressAutoHyphens w:val="true"/>
        <w:jc w:val="left"/>
        <w:rPr>
          <w:szCs w:val="20"/>
          <w:lang w:val="en-GB"/>
        </w:rPr>
      </w:pPr>
      <w:r>
        <w:rPr>
          <w:szCs w:val="20"/>
          <w:lang w:val="en-GB"/>
        </w:rPr>
        <w:t>(2) Benchmarking AU-EU R&amp;I in RE [by domain and by African regions based on bilateral scientific cooperation, identified keywords]</w:t>
      </w:r>
    </w:p>
    <w:p>
      <w:pPr>
        <w:pStyle w:val="Normal"/>
        <w:suppressAutoHyphens w:val="true"/>
        <w:jc w:val="left"/>
        <w:rPr>
          <w:szCs w:val="20"/>
          <w:lang w:val="en-GB"/>
        </w:rPr>
      </w:pPr>
      <w:r>
        <w:rPr>
          <w:szCs w:val="20"/>
          <w:lang w:val="en-GB"/>
        </w:rPr>
        <w:t>(3) Mapping and visualising results of networks [nodes are countries, institutions]</w:t>
      </w:r>
    </w:p>
    <w:p>
      <w:pPr>
        <w:pStyle w:val="Normal"/>
        <w:suppressAutoHyphens w:val="true"/>
        <w:jc w:val="left"/>
        <w:rPr>
          <w:szCs w:val="20"/>
          <w:lang w:val="en-GB"/>
        </w:rPr>
      </w:pPr>
      <w:r>
        <w:rPr>
          <w:szCs w:val="20"/>
          <w:lang w:val="en-GB"/>
        </w:rPr>
        <w:t>(4) Identifying R&amp;I partnership [Institutions, training programmes, pooling or access to Infrastructures].</w:t>
      </w:r>
    </w:p>
    <w:p>
      <w:pPr>
        <w:pStyle w:val="Normal"/>
        <w:suppressAutoHyphens w:val="true"/>
        <w:jc w:val="left"/>
        <w:rPr>
          <w:szCs w:val="20"/>
          <w:lang w:val="en-GB"/>
        </w:rPr>
      </w:pPr>
      <w:r>
        <w:rPr>
          <w:szCs w:val="20"/>
          <w:lang w:val="en-GB"/>
        </w:rPr>
        <w:t xml:space="preserve">(5) Strengthening existing mechanisms or launching new mechanisms for networking </w:t>
      </w:r>
    </w:p>
    <w:p>
      <w:pPr>
        <w:pStyle w:val="Normal"/>
        <w:suppressAutoHyphens w:val="true"/>
        <w:ind w:left="708" w:hanging="0"/>
        <w:jc w:val="left"/>
        <w:rPr>
          <w:szCs w:val="20"/>
          <w:lang w:val="en-GB"/>
        </w:rPr>
      </w:pPr>
      <w:r>
        <w:rPr>
          <w:szCs w:val="20"/>
          <w:lang w:val="en-GB"/>
        </w:rPr>
        <w:t xml:space="preserve">- teaming (by creating centres of excellence), </w:t>
      </w:r>
    </w:p>
    <w:p>
      <w:pPr>
        <w:pStyle w:val="Normal"/>
        <w:suppressAutoHyphens w:val="true"/>
        <w:ind w:left="708" w:hanging="0"/>
        <w:jc w:val="left"/>
        <w:rPr>
          <w:szCs w:val="20"/>
          <w:lang w:val="en-GB"/>
        </w:rPr>
      </w:pPr>
      <w:r>
        <w:rPr>
          <w:szCs w:val="20"/>
          <w:lang w:val="en-GB"/>
        </w:rPr>
        <w:t>- twinning (institutional co-supervision, post-doctoral programmes),</w:t>
      </w:r>
    </w:p>
    <w:p>
      <w:pPr>
        <w:pStyle w:val="Normal"/>
        <w:suppressAutoHyphens w:val="true"/>
        <w:ind w:left="708" w:hanging="0"/>
        <w:jc w:val="left"/>
        <w:rPr>
          <w:szCs w:val="20"/>
          <w:lang w:val="en-GB"/>
        </w:rPr>
      </w:pPr>
      <w:r>
        <w:rPr>
          <w:szCs w:val="20"/>
          <w:lang w:val="en-GB"/>
        </w:rPr>
        <w:t xml:space="preserve">- sharing infrastructures. </w:t>
      </w:r>
    </w:p>
    <w:p>
      <w:pPr>
        <w:pStyle w:val="Normal"/>
        <w:suppressAutoHyphens w:val="true"/>
        <w:jc w:val="left"/>
        <w:rPr>
          <w:szCs w:val="20"/>
          <w:lang w:val="en-GB"/>
        </w:rPr>
      </w:pPr>
      <w:r>
        <w:rPr>
          <w:szCs w:val="20"/>
          <w:lang w:val="en-GB"/>
        </w:rPr>
        <w:t>the new Africa-Europe Alliance for Sustainable Investment and Jobs, Horizon Europe and the new Research Framework Programme for the period 2021-2027 that open up new opportunities in the join AU-EU strategy (5th SOM, AU-EU HLPD on STI).</w:t>
      </w:r>
    </w:p>
    <w:p>
      <w:pPr>
        <w:pStyle w:val="Normal"/>
        <w:suppressAutoHyphens w:val="true"/>
        <w:spacing w:before="0" w:after="0"/>
        <w:jc w:val="left"/>
        <w:rPr>
          <w:rFonts w:ascii="RobotoCondensed-Regular" w:hAnsi="RobotoCondensed-Regular" w:eastAsia="Calibri" w:cs="RobotoCondensed-Regular" w:eastAsiaTheme="minorHAnsi"/>
          <w:sz w:val="19"/>
          <w:szCs w:val="19"/>
          <w:lang w:val="en-GB"/>
        </w:rPr>
      </w:pPr>
      <w:r>
        <w:rPr>
          <w:rFonts w:eastAsia="Calibri" w:cs="RobotoCondensed-Regular" w:eastAsiaTheme="minorHAnsi" w:ascii="RobotoCondensed-Regular" w:hAnsi="RobotoCondensed-Regular"/>
          <w:sz w:val="19"/>
          <w:szCs w:val="19"/>
          <w:lang w:val="en-GB"/>
        </w:rPr>
      </w:r>
    </w:p>
    <w:p>
      <w:pPr>
        <w:pStyle w:val="Normal"/>
        <w:suppressAutoHyphens w:val="true"/>
        <w:rPr>
          <w:b/>
          <w:b/>
          <w:bCs/>
          <w:color w:val="000000" w:themeColor="text1"/>
          <w:sz w:val="24"/>
          <w:lang w:val="en-GB"/>
        </w:rPr>
      </w:pPr>
      <w:r>
        <w:rPr>
          <w:b/>
          <w:bCs/>
          <w:color w:val="000000" w:themeColor="text1"/>
          <w:sz w:val="24"/>
          <w:lang w:val="en-GB"/>
        </w:rPr>
        <w:t xml:space="preserve">(1) Analysing African strategic agendas in RE [SDGs, Africa2063, STISA] and selecting activities in the field of RE [Areas or research and innovation, research programs, keywords] </w:t>
      </w:r>
    </w:p>
    <w:p>
      <w:pPr>
        <w:pStyle w:val="Normal"/>
        <w:widowControl w:val="false"/>
        <w:suppressAutoHyphens w:val="true"/>
        <w:spacing w:before="0" w:after="0"/>
        <w:ind w:right="72" w:hanging="0"/>
        <w:textAlignment w:val="baseline"/>
        <w:rPr>
          <w:color w:val="000000" w:themeColor="text1"/>
          <w:szCs w:val="20"/>
          <w:lang w:val="en-GB"/>
        </w:rPr>
      </w:pPr>
      <w:r>
        <w:rPr>
          <w:color w:val="000000" w:themeColor="text1"/>
          <w:szCs w:val="20"/>
          <w:lang w:val="en-GB"/>
        </w:rPr>
      </w:r>
    </w:p>
    <w:p>
      <w:pPr>
        <w:pStyle w:val="Normal"/>
        <w:widowControl w:val="false"/>
        <w:suppressAutoHyphens w:val="true"/>
        <w:spacing w:before="0" w:after="0"/>
        <w:ind w:right="72" w:hanging="0"/>
        <w:textAlignment w:val="baseline"/>
        <w:rPr>
          <w:lang w:val="en-GB"/>
        </w:rPr>
      </w:pPr>
      <w:r>
        <w:rPr>
          <w:b/>
          <w:bCs/>
          <w:lang w:val="en-GB"/>
        </w:rPr>
        <w:t>1.1] SDGs and African Agenda Analysis (</w:t>
      </w:r>
      <w:commentRangeStart w:id="8"/>
      <w:r>
        <w:rPr>
          <w:b/>
          <w:bCs/>
          <w:lang w:val="en-GB"/>
        </w:rPr>
        <w:t>M1 to M6</w:t>
      </w:r>
      <w:r>
        <w:rPr>
          <w:b/>
          <w:bCs/>
          <w:lang w:val="en-GB"/>
        </w:rPr>
      </w:r>
      <w:commentRangeEnd w:id="8"/>
      <w:r>
        <w:commentReference w:id="8"/>
      </w:r>
      <w:r>
        <w:rPr>
          <w:b/>
          <w:bCs/>
          <w:lang w:val="en-GB"/>
        </w:rPr>
        <w:t xml:space="preserve">): </w:t>
      </w:r>
      <w:r>
        <w:rPr>
          <w:lang w:val="en-GB"/>
        </w:rPr>
        <w:t>Comparison of the SDG Agenda 2030, the Agenda 2063 « Africa we want », including STISA (2014-2024) objectives in RE-related capacity</w:t>
      </w:r>
    </w:p>
    <w:p>
      <w:pPr>
        <w:pStyle w:val="Normal"/>
        <w:suppressAutoHyphens w:val="true"/>
        <w:spacing w:before="0" w:after="0"/>
        <w:rPr>
          <w:lang w:val="en-GB"/>
        </w:rPr>
      </w:pPr>
      <w:r>
        <w:rPr>
          <w:lang w:val="en-GB"/>
        </w:rPr>
        <w:t xml:space="preserve">Goal 7 of the SDGs aims at achieving universal access to affordable, reliable, sustainable and modern energy by 2030, while Agenda 2063 (including STISA objectives) has targets for an increase of 50% in electricity generation, 50% distribution and 70% of Africans having access to electricity by 2023. But the growth of Africa’s sustainable development is underpinned by a set of target categories connected to Renewable Energy, with strong level of relevance.  </w:t>
      </w:r>
    </w:p>
    <w:p>
      <w:pPr>
        <w:pStyle w:val="Normal"/>
        <w:suppressAutoHyphens w:val="true"/>
        <w:spacing w:before="0" w:after="0"/>
        <w:rPr>
          <w:lang w:val="en-GB"/>
        </w:rPr>
      </w:pPr>
      <w:r>
        <w:rPr>
          <w:lang w:val="en-GB"/>
        </w:rPr>
        <w:t>- SDG1: Poverty and Development</w:t>
      </w:r>
    </w:p>
    <w:p>
      <w:pPr>
        <w:pStyle w:val="Normal"/>
        <w:suppressAutoHyphens w:val="true"/>
        <w:spacing w:before="0" w:after="0"/>
        <w:rPr>
          <w:lang w:val="en-GB"/>
        </w:rPr>
      </w:pPr>
      <w:r>
        <w:rPr>
          <w:lang w:val="en-GB"/>
        </w:rPr>
        <w:t>- SDG3: Disease and Mortality</w:t>
      </w:r>
    </w:p>
    <w:p>
      <w:pPr>
        <w:pStyle w:val="Normal"/>
        <w:suppressAutoHyphens w:val="true"/>
        <w:spacing w:before="0" w:after="0"/>
        <w:rPr>
          <w:lang w:val="en-GB"/>
        </w:rPr>
      </w:pPr>
      <w:r>
        <w:rPr>
          <w:lang w:val="en-GB"/>
        </w:rPr>
        <w:t>- SDG4: Ensure inclusive and equitable quality education and promote lifelong learning opportunities for all</w:t>
      </w:r>
    </w:p>
    <w:p>
      <w:pPr>
        <w:pStyle w:val="Normal"/>
        <w:suppressAutoHyphens w:val="true"/>
        <w:spacing w:before="0" w:after="0"/>
        <w:rPr>
          <w:lang w:val="en-GB"/>
        </w:rPr>
      </w:pPr>
      <w:r>
        <w:rPr>
          <w:lang w:val="en-GB"/>
        </w:rPr>
        <w:t xml:space="preserve">- SDG5: Achieve gender equality and empower all women and girls </w:t>
      </w:r>
    </w:p>
    <w:p>
      <w:pPr>
        <w:pStyle w:val="Normal"/>
        <w:suppressAutoHyphens w:val="true"/>
        <w:spacing w:before="0" w:after="0"/>
        <w:rPr>
          <w:lang w:val="en-GB"/>
        </w:rPr>
      </w:pPr>
      <w:r>
        <w:rPr>
          <w:lang w:val="en-GB"/>
        </w:rPr>
        <w:t>- SDG6: Ensure access to water and sanitation for all</w:t>
      </w:r>
    </w:p>
    <w:p>
      <w:pPr>
        <w:pStyle w:val="Normal"/>
        <w:suppressAutoHyphens w:val="true"/>
        <w:spacing w:before="0" w:after="0"/>
        <w:rPr>
          <w:lang w:val="en-GB"/>
        </w:rPr>
      </w:pPr>
      <w:r>
        <w:rPr>
          <w:lang w:val="en-GB"/>
        </w:rPr>
        <w:t>- SDG7: Ensure access to affordable, reliable, sustainable and modern energy</w:t>
      </w:r>
    </w:p>
    <w:p>
      <w:pPr>
        <w:pStyle w:val="Normal"/>
        <w:suppressAutoHyphens w:val="true"/>
        <w:spacing w:before="0" w:after="0"/>
        <w:rPr>
          <w:lang w:val="en-GB"/>
        </w:rPr>
      </w:pPr>
      <w:r>
        <w:rPr>
          <w:lang w:val="en-GB"/>
        </w:rPr>
        <w:t>- SDG9: Inclusive and Sustainable Industrialization</w:t>
      </w:r>
    </w:p>
    <w:p>
      <w:pPr>
        <w:pStyle w:val="Normal"/>
        <w:suppressAutoHyphens w:val="true"/>
        <w:spacing w:before="0" w:after="0"/>
        <w:rPr>
          <w:lang w:val="en-GB"/>
        </w:rPr>
      </w:pPr>
      <w:r>
        <w:rPr>
          <w:lang w:val="en-GB"/>
        </w:rPr>
        <w:t>- SDG11: Make cities inclusive, safe, resilient and sustainable</w:t>
      </w:r>
    </w:p>
    <w:p>
      <w:pPr>
        <w:pStyle w:val="Normal"/>
        <w:suppressAutoHyphens w:val="true"/>
        <w:spacing w:before="0" w:after="0"/>
        <w:rPr>
          <w:lang w:val="en-GB"/>
        </w:rPr>
      </w:pPr>
      <w:r>
        <w:rPr>
          <w:lang w:val="en-GB"/>
        </w:rPr>
        <w:t>- SDG12: Ensure sustainable consumption and production patterns</w:t>
      </w:r>
    </w:p>
    <w:p>
      <w:pPr>
        <w:pStyle w:val="Normal"/>
        <w:suppressAutoHyphens w:val="true"/>
        <w:spacing w:before="0" w:after="0"/>
        <w:rPr>
          <w:lang w:val="en-GB"/>
        </w:rPr>
      </w:pPr>
      <w:r>
        <w:rPr>
          <w:lang w:val="en-GB"/>
        </w:rPr>
        <w:t>- SDG13: Take urgent action to combat climate and its impacts</w:t>
      </w:r>
    </w:p>
    <w:p>
      <w:pPr>
        <w:pStyle w:val="Normal"/>
        <w:suppressAutoHyphens w:val="true"/>
        <w:rPr>
          <w:lang w:val="en-GB"/>
        </w:rPr>
      </w:pPr>
      <w:r>
        <w:rPr>
          <w:lang w:val="en-GB"/>
        </w:rPr>
      </w:r>
    </w:p>
    <w:p>
      <w:pPr>
        <w:pStyle w:val="Normal"/>
        <w:suppressAutoHyphens w:val="true"/>
        <w:rPr>
          <w:b/>
          <w:b/>
          <w:bCs/>
          <w:lang w:val="en-GB"/>
        </w:rPr>
      </w:pPr>
      <w:r>
        <w:rPr>
          <w:b/>
          <w:bCs/>
          <w:lang w:val="en-GB"/>
        </w:rPr>
        <w:t>1.2] Selecting activities in the field of RE [Areas or research and innovation, research programs, initiatives, keywords]</w:t>
      </w:r>
    </w:p>
    <w:p>
      <w:pPr>
        <w:pStyle w:val="Normal"/>
        <w:suppressAutoHyphens w:val="true"/>
        <w:rPr>
          <w:lang w:val="en-GB"/>
        </w:rPr>
      </w:pPr>
      <w:r>
        <w:rPr>
          <w:lang w:val="en-GB"/>
        </w:rPr>
        <w:t>For each Agenda2030 SDGs AND/OR Africa2063 target an excel file is under construction including the following information’s:</w:t>
      </w:r>
    </w:p>
    <w:p>
      <w:pPr>
        <w:pStyle w:val="Normal"/>
        <w:numPr>
          <w:ilvl w:val="0"/>
          <w:numId w:val="13"/>
        </w:numPr>
        <w:tabs>
          <w:tab w:val="clear" w:pos="708"/>
          <w:tab w:val="left" w:pos="567" w:leader="none"/>
        </w:tabs>
        <w:suppressAutoHyphens w:val="true"/>
        <w:spacing w:before="60" w:after="60"/>
        <w:ind w:left="709" w:hanging="360"/>
        <w:contextualSpacing/>
        <w:rPr>
          <w:lang w:val="en-GB"/>
        </w:rPr>
      </w:pPr>
      <w:r>
        <w:rPr>
          <w:lang w:val="en-GB"/>
        </w:rPr>
        <w:t xml:space="preserve">Targets linked to renewable energy and its relevance [strong, high, weak] </w:t>
      </w:r>
    </w:p>
    <w:p>
      <w:pPr>
        <w:pStyle w:val="Normal"/>
        <w:numPr>
          <w:ilvl w:val="0"/>
          <w:numId w:val="14"/>
        </w:numPr>
        <w:tabs>
          <w:tab w:val="clear" w:pos="708"/>
          <w:tab w:val="left" w:pos="567" w:leader="none"/>
        </w:tabs>
        <w:suppressAutoHyphens w:val="true"/>
        <w:spacing w:before="60" w:after="60"/>
        <w:ind w:left="709" w:hanging="360"/>
        <w:contextualSpacing/>
        <w:rPr>
          <w:lang w:val="en-GB"/>
        </w:rPr>
      </w:pPr>
      <w:r>
        <w:rPr>
          <w:lang w:val="en-GB"/>
        </w:rPr>
        <w:t>Associated keywords or string</w:t>
      </w:r>
    </w:p>
    <w:p>
      <w:pPr>
        <w:pStyle w:val="Normal"/>
        <w:numPr>
          <w:ilvl w:val="0"/>
          <w:numId w:val="15"/>
        </w:numPr>
        <w:tabs>
          <w:tab w:val="clear" w:pos="708"/>
          <w:tab w:val="left" w:pos="567" w:leader="none"/>
        </w:tabs>
        <w:suppressAutoHyphens w:val="true"/>
        <w:spacing w:before="60" w:after="120"/>
        <w:ind w:left="709" w:hanging="360"/>
        <w:contextualSpacing/>
        <w:rPr>
          <w:rFonts w:cs="Arial"/>
          <w:sz w:val="24"/>
          <w:szCs w:val="24"/>
          <w:lang w:val="en-GB" w:eastAsia="fr-FR"/>
        </w:rPr>
      </w:pPr>
      <w:r>
        <w:rPr>
          <w:lang w:val="en-GB"/>
        </w:rPr>
        <w:t>Which RE technologies could solve [</w:t>
      </w:r>
      <w:r>
        <w:rPr>
          <w:sz w:val="24"/>
          <w:szCs w:val="24"/>
          <w:lang w:val="en-GB"/>
        </w:rPr>
        <w:t>1. Solar Photovoltaic Energy, 2. Wind Energy, 3. Energy Efficiency in the Building, 4. Solar Thermal Energy, 5. Marine energy, 6. Storage of Energy, 7. Geothermal Energy, 8. Bioenergy, 9. Hydrogen and Fuel Cells, 10. Hydroelectricity, 11. Materials</w:t>
      </w:r>
      <w:r>
        <w:rPr>
          <w:rFonts w:cs="Arial"/>
          <w:b/>
          <w:bCs/>
          <w:sz w:val="24"/>
          <w:szCs w:val="24"/>
          <w:lang w:val="en-GB" w:eastAsia="fr-FR"/>
        </w:rPr>
        <w:t xml:space="preserve">: </w:t>
      </w:r>
      <w:r>
        <w:rPr>
          <w:rFonts w:cs="Arial"/>
          <w:sz w:val="24"/>
          <w:szCs w:val="24"/>
          <w:lang w:val="en-GB" w:eastAsia="fr-FR"/>
        </w:rPr>
        <w:t xml:space="preserve">(industrialization of certain components of renewable energy systems such as solar panels or wind turbine blades)]. </w:t>
      </w:r>
    </w:p>
    <w:p>
      <w:pPr>
        <w:pStyle w:val="Normal"/>
        <w:numPr>
          <w:ilvl w:val="0"/>
          <w:numId w:val="16"/>
        </w:numPr>
        <w:tabs>
          <w:tab w:val="clear" w:pos="708"/>
          <w:tab w:val="left" w:pos="567" w:leader="none"/>
        </w:tabs>
        <w:suppressAutoHyphens w:val="true"/>
        <w:spacing w:before="60" w:after="120"/>
        <w:ind w:left="709" w:hanging="360"/>
        <w:contextualSpacing/>
        <w:rPr>
          <w:rFonts w:cs="Arial"/>
          <w:sz w:val="24"/>
          <w:szCs w:val="24"/>
          <w:lang w:val="en-GB" w:eastAsia="fr-FR"/>
        </w:rPr>
      </w:pPr>
      <w:r>
        <w:rPr>
          <w:rFonts w:cs="Arial"/>
          <w:sz w:val="24"/>
          <w:szCs w:val="24"/>
          <w:lang w:val="en-GB" w:eastAsia="fr-FR"/>
        </w:rPr>
        <w:t xml:space="preserve"> </w:t>
      </w:r>
      <w:r>
        <w:rPr>
          <w:rFonts w:cs="Arial"/>
          <w:sz w:val="24"/>
          <w:szCs w:val="24"/>
          <w:lang w:val="en-GB" w:eastAsia="fr-FR"/>
        </w:rPr>
        <w:t>Current African initiatives and Feedback of visible implemented programs or actions, based on reports on STISA or Africa2063 Evaluation process</w:t>
      </w:r>
    </w:p>
    <w:p>
      <w:pPr>
        <w:pStyle w:val="Normal"/>
        <w:shd w:val="clear" w:color="auto" w:fill="FFFFFF"/>
        <w:suppressAutoHyphens w:val="true"/>
        <w:spacing w:before="0" w:afterAutospacing="1"/>
        <w:rPr>
          <w:b/>
          <w:b/>
          <w:bCs/>
          <w:sz w:val="24"/>
          <w:szCs w:val="24"/>
          <w:lang w:val="en-GB"/>
          <w:ins w:id="51" w:author="ED" w:date="2021-04-01T12:19:00Z"/>
        </w:rPr>
      </w:pPr>
      <w:ins w:id="50" w:author="ED" w:date="2021-04-01T12:19:00Z">
        <w:r>
          <w:rPr>
            <w:b/>
            <w:bCs/>
            <w:sz w:val="24"/>
            <w:szCs w:val="24"/>
            <w:lang w:val="en-GB"/>
          </w:rPr>
        </w:r>
      </w:ins>
    </w:p>
    <w:p>
      <w:pPr>
        <w:pStyle w:val="Normal"/>
        <w:shd w:val="clear" w:color="auto" w:fill="FFFFFF"/>
        <w:suppressAutoHyphens w:val="true"/>
        <w:spacing w:before="0" w:afterAutospacing="1"/>
        <w:rPr>
          <w:rFonts w:ascii="Helvetica" w:hAnsi="Helvetica" w:cs="Helvetica"/>
          <w:sz w:val="24"/>
          <w:szCs w:val="24"/>
          <w:lang w:val="en-GB" w:eastAsia="fr-FR"/>
        </w:rPr>
      </w:pPr>
      <w:r>
        <w:rPr>
          <w:b/>
          <w:bCs/>
          <w:sz w:val="24"/>
          <w:szCs w:val="24"/>
          <w:lang w:val="en-GB"/>
        </w:rPr>
        <w:t>(2) Benchmarking (M1 to M12):</w:t>
      </w:r>
      <w:r>
        <w:rPr>
          <w:b/>
          <w:bCs/>
          <w:sz w:val="24"/>
          <w:lang w:val="en-GB"/>
        </w:rPr>
        <w:t xml:space="preserve"> </w:t>
      </w:r>
      <w:r>
        <w:rPr>
          <w:rFonts w:cs="Arial"/>
          <w:sz w:val="24"/>
          <w:szCs w:val="24"/>
          <w:lang w:val="en-GB" w:eastAsia="fr-FR"/>
        </w:rPr>
        <w:t>The benchmarking process is used to identify and analyze previous projects to determine their impact on the local or regional community, and to identify the human capacity as potential resource for R&amp;I.</w:t>
      </w:r>
    </w:p>
    <w:p>
      <w:pPr>
        <w:pStyle w:val="Normal"/>
        <w:suppressAutoHyphens w:val="true"/>
        <w:rPr>
          <w:b/>
          <w:b/>
          <w:bCs/>
          <w:szCs w:val="20"/>
          <w:lang w:val="en-GB"/>
        </w:rPr>
      </w:pPr>
      <w:r>
        <w:rPr>
          <w:b/>
          <w:bCs/>
          <w:szCs w:val="20"/>
          <w:lang w:val="en-GB"/>
        </w:rPr>
        <w:t xml:space="preserve">2.1) Benchmarking the LEAP-RE projects in Pillar 2 and the coming projects in Pillar1. </w:t>
      </w:r>
    </w:p>
    <w:p>
      <w:pPr>
        <w:pStyle w:val="Normal"/>
        <w:suppressAutoHyphens w:val="true"/>
        <w:rPr>
          <w:rFonts w:cs="Arial"/>
          <w:sz w:val="24"/>
          <w:szCs w:val="24"/>
          <w:lang w:val="en-GB" w:eastAsia="fr-FR"/>
        </w:rPr>
      </w:pPr>
      <w:r>
        <w:rPr>
          <w:rFonts w:cs="Arial"/>
          <w:sz w:val="24"/>
          <w:szCs w:val="24"/>
          <w:lang w:val="en-GB" w:eastAsia="fr-FR"/>
        </w:rPr>
        <w:t>To identify how LEAP-RE projects could be connected to AU-EU R&amp;I needs, we’ll first use a matching process and comparison between the objectives of the six multi-annual roadmaps, thanks to the associated keywords, the technical keywords identified in the matrix of step [1] and the selected programs in Pillar2. This action will be completed next December 2021 based on the projects which will be accepted and funded under Pillar1.</w:t>
      </w:r>
    </w:p>
    <w:tbl>
      <w:tblPr>
        <w:tblStyle w:val="Tabellenraster1"/>
        <w:tblW w:w="92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6"/>
        <w:gridCol w:w="1557"/>
        <w:gridCol w:w="2554"/>
        <w:gridCol w:w="2691"/>
      </w:tblGrid>
      <w:tr>
        <w:trPr/>
        <w:tc>
          <w:tcPr>
            <w:tcW w:w="2406" w:type="dxa"/>
            <w:tcBorders>
              <w:top w:val="nil"/>
              <w:left w:val="nil"/>
            </w:tcBorders>
          </w:tcPr>
          <w:p>
            <w:pPr>
              <w:pStyle w:val="Normal"/>
              <w:widowControl/>
              <w:suppressAutoHyphens w:val="true"/>
              <w:spacing w:before="60" w:after="60"/>
              <w:jc w:val="center"/>
              <w:rPr>
                <w:b/>
                <w:b/>
                <w:color w:val="000000" w:themeColor="text1"/>
                <w:szCs w:val="20"/>
                <w:lang w:val="en-GB"/>
              </w:rPr>
            </w:pPr>
            <w:r>
              <w:rPr>
                <w:b/>
                <w:color w:val="000000" w:themeColor="text1"/>
                <w:kern w:val="0"/>
                <w:sz w:val="22"/>
                <w:szCs w:val="20"/>
                <w:lang w:val="en-GB" w:eastAsia="en-US" w:bidi="ar-SA"/>
              </w:rPr>
              <w:t>Multiannual roadmaps</w:t>
            </w:r>
          </w:p>
        </w:tc>
        <w:tc>
          <w:tcPr>
            <w:tcW w:w="1557" w:type="dxa"/>
            <w:tcBorders>
              <w:top w:val="nil"/>
            </w:tcBorders>
          </w:tcPr>
          <w:p>
            <w:pPr>
              <w:pStyle w:val="Normal"/>
              <w:widowControl/>
              <w:suppressAutoHyphens w:val="true"/>
              <w:spacing w:before="60" w:after="60"/>
              <w:jc w:val="center"/>
              <w:rPr>
                <w:b/>
                <w:b/>
                <w:color w:val="000000" w:themeColor="text1"/>
                <w:szCs w:val="20"/>
                <w:lang w:val="en-GB"/>
              </w:rPr>
            </w:pPr>
            <w:r>
              <w:rPr>
                <w:b/>
                <w:color w:val="000000" w:themeColor="text1"/>
                <w:kern w:val="0"/>
                <w:sz w:val="22"/>
                <w:szCs w:val="20"/>
                <w:lang w:val="en-GB" w:eastAsia="en-US" w:bidi="ar-SA"/>
              </w:rPr>
              <w:t>PillarII projects</w:t>
            </w:r>
          </w:p>
        </w:tc>
        <w:tc>
          <w:tcPr>
            <w:tcW w:w="2554" w:type="dxa"/>
            <w:tcBorders>
              <w:top w:val="nil"/>
            </w:tcBorders>
          </w:tcPr>
          <w:p>
            <w:pPr>
              <w:pStyle w:val="Normal"/>
              <w:widowControl/>
              <w:suppressAutoHyphens w:val="true"/>
              <w:spacing w:before="60" w:after="60"/>
              <w:jc w:val="center"/>
              <w:rPr>
                <w:b/>
                <w:b/>
                <w:color w:val="000000" w:themeColor="text1"/>
                <w:szCs w:val="20"/>
                <w:lang w:val="en-GB"/>
              </w:rPr>
            </w:pPr>
            <w:r>
              <w:rPr>
                <w:b/>
                <w:color w:val="000000" w:themeColor="text1"/>
                <w:kern w:val="0"/>
                <w:sz w:val="22"/>
                <w:szCs w:val="20"/>
                <w:lang w:val="en-GB" w:eastAsia="en-US" w:bidi="ar-SA"/>
              </w:rPr>
              <w:t>Keywords</w:t>
            </w:r>
          </w:p>
        </w:tc>
        <w:tc>
          <w:tcPr>
            <w:tcW w:w="2691" w:type="dxa"/>
            <w:tcBorders>
              <w:top w:val="nil"/>
              <w:right w:val="nil"/>
            </w:tcBorders>
          </w:tcPr>
          <w:p>
            <w:pPr>
              <w:pStyle w:val="Normal"/>
              <w:widowControl/>
              <w:suppressAutoHyphens w:val="true"/>
              <w:spacing w:before="60" w:after="60"/>
              <w:jc w:val="center"/>
              <w:rPr>
                <w:b/>
                <w:b/>
                <w:color w:val="000000" w:themeColor="text1"/>
                <w:szCs w:val="20"/>
                <w:lang w:val="en-GB"/>
              </w:rPr>
            </w:pPr>
            <w:r>
              <w:rPr>
                <w:b/>
                <w:color w:val="000000" w:themeColor="text1"/>
                <w:kern w:val="0"/>
                <w:sz w:val="22"/>
                <w:szCs w:val="20"/>
                <w:lang w:val="en-GB" w:eastAsia="en-US" w:bidi="ar-SA"/>
              </w:rPr>
              <w:t>Connexion to matrix (step1)</w:t>
            </w:r>
          </w:p>
        </w:tc>
      </w:tr>
      <w:tr>
        <w:trPr/>
        <w:tc>
          <w:tcPr>
            <w:tcW w:w="9208" w:type="dxa"/>
            <w:gridSpan w:val="4"/>
            <w:tcBorders>
              <w:left w:val="nil"/>
              <w:right w:val="nil"/>
            </w:tcBorders>
          </w:tcPr>
          <w:p>
            <w:pPr>
              <w:pStyle w:val="Normal"/>
              <w:widowControl/>
              <w:suppressAutoHyphens w:val="true"/>
              <w:spacing w:before="60" w:after="60"/>
              <w:jc w:val="center"/>
              <w:rPr>
                <w:color w:val="000000" w:themeColor="text1"/>
                <w:szCs w:val="20"/>
                <w:lang w:val="en-GB"/>
              </w:rPr>
            </w:pPr>
            <w:r>
              <w:rPr>
                <w:b/>
                <w:bCs/>
                <w:iCs/>
                <w:color w:val="000000" w:themeColor="text1"/>
                <w:kern w:val="0"/>
                <w:sz w:val="23"/>
                <w:szCs w:val="23"/>
                <w:lang w:val="en-GB" w:eastAsia="en-US" w:bidi="ar-SA"/>
              </w:rPr>
              <w:t>Example with Multiannual roadmap 6….</w:t>
            </w:r>
          </w:p>
        </w:tc>
      </w:tr>
      <w:tr>
        <w:trPr/>
        <w:tc>
          <w:tcPr>
            <w:tcW w:w="2406" w:type="dxa"/>
            <w:tcBorders>
              <w:left w:val="nil"/>
              <w:bottom w:val="nil"/>
            </w:tcBorders>
          </w:tcPr>
          <w:p>
            <w:pPr>
              <w:pStyle w:val="Normal"/>
              <w:widowControl/>
              <w:suppressAutoHyphens w:val="true"/>
              <w:spacing w:before="0" w:after="0"/>
              <w:jc w:val="left"/>
              <w:rPr>
                <w:color w:val="000000" w:themeColor="text1"/>
                <w:sz w:val="20"/>
                <w:szCs w:val="20"/>
                <w:lang w:val="en-GB"/>
              </w:rPr>
            </w:pPr>
            <w:r>
              <w:rPr>
                <w:color w:val="000000" w:themeColor="text1"/>
                <w:kern w:val="0"/>
                <w:sz w:val="20"/>
                <w:szCs w:val="20"/>
                <w:lang w:val="en-GB" w:eastAsia="en-US" w:bidi="ar-SA"/>
              </w:rPr>
              <w:t xml:space="preserve">6: Innovative solutions for priority </w:t>
            </w:r>
            <w:r>
              <w:rPr>
                <w:b/>
                <w:bCs/>
                <w:color w:val="000000" w:themeColor="text1"/>
                <w:kern w:val="0"/>
                <w:sz w:val="20"/>
                <w:szCs w:val="20"/>
                <w:lang w:val="en-GB" w:eastAsia="en-US" w:bidi="ar-SA"/>
              </w:rPr>
              <w:t>domestic uses</w:t>
            </w:r>
            <w:r>
              <w:rPr>
                <w:color w:val="000000" w:themeColor="text1"/>
                <w:kern w:val="0"/>
                <w:sz w:val="20"/>
                <w:szCs w:val="20"/>
                <w:lang w:val="en-GB" w:eastAsia="en-US" w:bidi="ar-SA"/>
              </w:rPr>
              <w:t xml:space="preserve"> (clean cooking and cold chain) </w:t>
            </w:r>
          </w:p>
          <w:p>
            <w:pPr>
              <w:pStyle w:val="Normal"/>
              <w:widowControl/>
              <w:suppressAutoHyphens w:val="true"/>
              <w:spacing w:before="0" w:after="0"/>
              <w:jc w:val="left"/>
              <w:rPr>
                <w:color w:val="000000" w:themeColor="text1"/>
                <w:sz w:val="20"/>
                <w:szCs w:val="20"/>
                <w:lang w:val="en-GB"/>
              </w:rPr>
            </w:pPr>
            <w:r>
              <w:rPr>
                <w:color w:val="000000" w:themeColor="text1"/>
                <w:kern w:val="0"/>
                <w:sz w:val="20"/>
                <w:szCs w:val="20"/>
                <w:lang w:val="en-GB" w:eastAsia="en-US" w:bidi="ar-SA"/>
              </w:rPr>
            </w:r>
          </w:p>
        </w:tc>
        <w:tc>
          <w:tcPr>
            <w:tcW w:w="1557" w:type="dxa"/>
            <w:tcBorders>
              <w:bottom w:val="nil"/>
            </w:tcBorders>
          </w:tcPr>
          <w:p>
            <w:pPr>
              <w:pStyle w:val="Normal"/>
              <w:widowControl/>
              <w:suppressAutoHyphens w:val="true"/>
              <w:spacing w:lineRule="exact" w:line="236" w:before="50" w:after="60"/>
              <w:textAlignment w:val="baseline"/>
              <w:rPr>
                <w:color w:val="000000" w:themeColor="text1"/>
                <w:sz w:val="20"/>
                <w:szCs w:val="20"/>
                <w:lang w:val="en-GB"/>
              </w:rPr>
            </w:pPr>
            <w:r>
              <w:rPr>
                <w:color w:val="000000" w:themeColor="text1"/>
                <w:kern w:val="0"/>
                <w:sz w:val="20"/>
                <w:szCs w:val="20"/>
                <w:lang w:val="en-GB" w:eastAsia="en-US" w:bidi="ar-SA"/>
              </w:rPr>
              <w:t xml:space="preserve">WP10 PURAMS, solar cooking, standalone solar cooker, silicon solar cells, </w:t>
            </w:r>
          </w:p>
        </w:tc>
        <w:tc>
          <w:tcPr>
            <w:tcW w:w="2554" w:type="dxa"/>
            <w:tcBorders>
              <w:bottom w:val="nil"/>
            </w:tcBorders>
          </w:tcPr>
          <w:p>
            <w:pPr>
              <w:pStyle w:val="Normal"/>
              <w:widowControl/>
              <w:suppressAutoHyphens w:val="true"/>
              <w:spacing w:before="0" w:after="0"/>
              <w:jc w:val="left"/>
              <w:rPr>
                <w:color w:val="000000" w:themeColor="text1"/>
                <w:sz w:val="20"/>
                <w:szCs w:val="20"/>
                <w:lang w:val="en-GB"/>
              </w:rPr>
            </w:pPr>
            <w:r>
              <w:rPr>
                <w:color w:val="000000" w:themeColor="text1"/>
                <w:kern w:val="0"/>
                <w:sz w:val="20"/>
                <w:szCs w:val="20"/>
                <w:lang w:val="en-GB" w:eastAsia="en-US" w:bidi="ar-SA"/>
              </w:rPr>
              <w:t>clean cooking; energy poverty; improved cooking stoves; Electric clean cooking, Improved cookstove, Solar cooker, Cold chain, Supply chain, Cold chain logistics</w:t>
            </w:r>
          </w:p>
        </w:tc>
        <w:tc>
          <w:tcPr>
            <w:tcW w:w="2691" w:type="dxa"/>
            <w:tcBorders>
              <w:bottom w:val="nil"/>
              <w:right w:val="nil"/>
            </w:tcBorders>
          </w:tcPr>
          <w:p>
            <w:pPr>
              <w:pStyle w:val="Normal"/>
              <w:widowControl/>
              <w:suppressAutoHyphens w:val="true"/>
              <w:spacing w:before="0" w:after="0"/>
              <w:jc w:val="left"/>
              <w:rPr>
                <w:color w:val="000000" w:themeColor="text1"/>
                <w:sz w:val="20"/>
                <w:szCs w:val="20"/>
                <w:lang w:val="en-GB"/>
              </w:rPr>
            </w:pPr>
            <w:r>
              <w:rPr>
                <w:color w:val="000000" w:themeColor="text1"/>
                <w:kern w:val="0"/>
                <w:sz w:val="20"/>
                <w:szCs w:val="20"/>
                <w:lang w:val="en-GB" w:eastAsia="en-US" w:bidi="ar-SA"/>
              </w:rPr>
              <w:t>saves health, time and money [SDG1], job opportunities [SDG8], Reducing smoke emissions, air pollution [SDG3], climate vulnerability [SDG11], girls kept out of school [4], etc…</w:t>
            </w:r>
          </w:p>
        </w:tc>
      </w:tr>
    </w:tbl>
    <w:p>
      <w:pPr>
        <w:pStyle w:val="Normal"/>
        <w:suppressAutoHyphens w:val="true"/>
        <w:spacing w:lineRule="exact" w:line="254" w:before="6" w:after="60"/>
        <w:textAlignment w:val="baseline"/>
        <w:rPr>
          <w:lang w:val="en-GB"/>
        </w:rPr>
      </w:pPr>
      <w:r>
        <w:rPr>
          <w:lang w:val="en-GB"/>
        </w:rPr>
      </w:r>
    </w:p>
    <w:p>
      <w:pPr>
        <w:pStyle w:val="Normal"/>
        <w:suppressAutoHyphens w:val="true"/>
        <w:rPr>
          <w:b/>
          <w:b/>
          <w:bCs/>
          <w:szCs w:val="20"/>
          <w:lang w:val="en-GB"/>
        </w:rPr>
      </w:pPr>
      <w:r>
        <w:rPr>
          <w:b/>
          <w:bCs/>
          <w:szCs w:val="20"/>
          <w:lang w:val="en-GB"/>
        </w:rPr>
        <w:t>2.2) Benchmarking (M1 to M12): AU-EU past projects (e.g. FP7-ERAfrica, MED-Spring, AU Grant projects and H2020 projects in sustainable energy).</w:t>
      </w:r>
    </w:p>
    <w:p>
      <w:pPr>
        <w:pStyle w:val="Normal"/>
        <w:suppressAutoHyphens w:val="true"/>
        <w:spacing w:before="0" w:after="0"/>
        <w:contextualSpacing/>
        <w:rPr>
          <w:rFonts w:cs="Arial"/>
          <w:sz w:val="24"/>
          <w:szCs w:val="24"/>
          <w:lang w:val="en-GB" w:eastAsia="fr-FR"/>
        </w:rPr>
      </w:pPr>
      <w:r>
        <w:rPr>
          <w:rFonts w:cs="Arial"/>
          <w:sz w:val="24"/>
          <w:szCs w:val="24"/>
          <w:lang w:val="en-GB" w:eastAsia="fr-FR"/>
        </w:rPr>
        <w:t xml:space="preserve">The characteristic of the R&amp;I partnership is to strive to integrate research and innovation activities that have an impact on citizens. Thus, it will be assisted by the valuable lessons learned from projects developed or underway in the field of sustainable energy; these are AU grant projects in renewable and sustainable energies, or EU projects. We can mention, but not limited to AREI (Africa Renewable Energy Initiative (AREI), CSP4Africa (Development of a cost-effective, modular and dry concentrating solar power for Africa), REELCOOP (REnewable ELectricity COOPeration), SOLPART(High temperature Solar-Heated Reactors for Industrials Production of Reactive Particulates), ECOWAS observatory for renewable energy and energy efficiency, EUROSUNMED  “Euro-Mediterranean Cooperation on Research &amp; Training in Sun based Renewable Energies.. ”, etc. This overview of two binary digit research programs offers particularly to identify the gaps of research and cooperation activities, which is an issue of high priority to the EU-AU R&amp;I Partnership in RE. </w:t>
      </w:r>
    </w:p>
    <w:p>
      <w:pPr>
        <w:pStyle w:val="Normal"/>
        <w:suppressAutoHyphens w:val="true"/>
        <w:spacing w:before="0" w:after="0"/>
        <w:contextualSpacing/>
        <w:rPr>
          <w:rFonts w:cs="Arial"/>
          <w:sz w:val="24"/>
          <w:szCs w:val="24"/>
          <w:lang w:val="en-GB" w:eastAsia="fr-FR"/>
        </w:rPr>
      </w:pPr>
      <w:r>
        <w:rPr>
          <w:rFonts w:cs="Arial"/>
          <w:sz w:val="24"/>
          <w:szCs w:val="24"/>
          <w:lang w:val="en-GB" w:eastAsia="fr-FR"/>
        </w:rPr>
      </w:r>
    </w:p>
    <w:p>
      <w:pPr>
        <w:pStyle w:val="Normal"/>
        <w:suppressAutoHyphens w:val="true"/>
        <w:rPr>
          <w:b/>
          <w:b/>
          <w:bCs/>
          <w:iCs/>
          <w:sz w:val="24"/>
          <w:lang w:val="en-GB"/>
        </w:rPr>
      </w:pPr>
      <w:r>
        <w:rPr>
          <w:b/>
          <w:bCs/>
          <w:iCs/>
          <w:sz w:val="24"/>
          <w:lang w:val="en-GB"/>
        </w:rPr>
        <w:t xml:space="preserve">3) Mapping and visualising results of networks in RE (nodes are countries and/or institutions) </w:t>
      </w:r>
      <w:ins w:id="52" w:author="Stefan A. Haffner" w:date="2021-03-31T20:40:00Z">
        <w:commentRangeStart w:id="9"/>
        <w:r>
          <w:rPr>
            <w:b/>
            <w:bCs/>
            <w:iCs/>
            <w:sz w:val="24"/>
            <w:lang w:val="en-GB"/>
          </w:rPr>
          <w:t xml:space="preserve">(M1 to M6) </w:t>
        </w:r>
      </w:ins>
      <w:commentRangeEnd w:id="9"/>
      <w:r>
        <w:commentReference w:id="9"/>
      </w:r>
      <w:r>
        <w:rPr>
          <w:b/>
          <w:bCs/>
          <w:iCs/>
          <w:sz w:val="24"/>
          <w:lang w:val="en-GB"/>
        </w:rPr>
      </w:r>
    </w:p>
    <w:p>
      <w:pPr>
        <w:pStyle w:val="Normal"/>
        <w:suppressAutoHyphens w:val="true"/>
        <w:rPr>
          <w:rFonts w:cs="Arial"/>
          <w:sz w:val="24"/>
          <w:szCs w:val="24"/>
          <w:lang w:val="en-GB" w:eastAsia="fr-FR"/>
        </w:rPr>
      </w:pPr>
      <w:r>
        <w:rPr>
          <w:rFonts w:cs="Arial"/>
          <w:b/>
          <w:bCs/>
          <w:iCs/>
          <w:sz w:val="24"/>
          <w:szCs w:val="24"/>
          <w:lang w:val="en-GB" w:eastAsia="fr-FR"/>
        </w:rPr>
        <w:t>3.1) Visualising LEAP-RE network partners (Institutions involved in Pillar1, Pillar2, Pillar3).</w:t>
      </w:r>
      <w:r>
        <w:rPr>
          <w:rFonts w:cs="Arial"/>
          <w:sz w:val="24"/>
          <w:szCs w:val="24"/>
          <w:lang w:val="en-GB" w:eastAsia="fr-FR"/>
        </w:rPr>
        <w:t xml:space="preserve"> This exercise is just to illustrate graphically the link between research teams and institutions for mobility or access to the infrastructures. Nodes providing services as sharing infrastructures will be highlighted with indication of the scientific equipment.</w:t>
      </w:r>
    </w:p>
    <w:p>
      <w:pPr>
        <w:pStyle w:val="Normal"/>
        <w:suppressAutoHyphens w:val="true"/>
        <w:rPr>
          <w:rFonts w:cs="Arial"/>
          <w:sz w:val="24"/>
          <w:szCs w:val="24"/>
          <w:lang w:val="en-GB" w:eastAsia="fr-FR"/>
        </w:rPr>
      </w:pPr>
      <w:r>
        <w:rPr>
          <w:rFonts w:cs="Arial"/>
          <w:b/>
          <w:bCs/>
          <w:iCs/>
          <w:sz w:val="24"/>
          <w:szCs w:val="24"/>
          <w:lang w:val="en-GB" w:eastAsia="fr-FR"/>
        </w:rPr>
        <w:t>3.2) Scientometric analysis of high ranked publications of African researchers</w:t>
      </w:r>
      <w:r>
        <w:rPr>
          <w:rFonts w:cs="Arial"/>
          <w:sz w:val="24"/>
          <w:szCs w:val="24"/>
          <w:lang w:val="en-GB" w:eastAsia="fr-FR"/>
        </w:rPr>
        <w:t xml:space="preserve"> and their partners in renewable energy using </w:t>
      </w:r>
      <w:r>
        <w:rPr>
          <w:rFonts w:cs="Arial"/>
          <w:b/>
          <w:bCs/>
          <w:sz w:val="24"/>
          <w:szCs w:val="24"/>
          <w:lang w:val="en-GB" w:eastAsia="fr-FR"/>
        </w:rPr>
        <w:t>Thomson Reuters’s Web of Science</w:t>
      </w:r>
      <w:r>
        <w:rPr>
          <w:rFonts w:cs="Arial"/>
          <w:sz w:val="24"/>
          <w:szCs w:val="24"/>
          <w:lang w:val="en-GB" w:eastAsia="fr-FR"/>
        </w:rPr>
        <w:t xml:space="preserve"> data bases</w:t>
      </w:r>
    </w:p>
    <w:p>
      <w:pPr>
        <w:pStyle w:val="Normal"/>
        <w:suppressAutoHyphens w:val="true"/>
        <w:rPr>
          <w:rFonts w:cs="Arial"/>
          <w:sz w:val="24"/>
          <w:szCs w:val="24"/>
          <w:lang w:val="en-GB" w:eastAsia="fr-FR"/>
        </w:rPr>
      </w:pPr>
      <w:r>
        <w:rPr>
          <w:rFonts w:cs="Arial"/>
          <w:sz w:val="24"/>
          <w:szCs w:val="24"/>
          <w:lang w:val="en-GB" w:eastAsia="fr-FR"/>
        </w:rPr>
        <w:t>Facing RE priorities requires analyses based on credible data and the involvement of institutional leaders in the public- and private sectors, along with a mobilization of the RE community. Within this framework we’ll work to establish a mapping of the knowledge sharing and transfer to sustain the innovation process in African countries.</w:t>
      </w:r>
    </w:p>
    <w:p>
      <w:pPr>
        <w:pStyle w:val="Normal"/>
        <w:suppressAutoHyphens w:val="true"/>
        <w:rPr>
          <w:lang w:val="en-GB"/>
        </w:rPr>
      </w:pPr>
      <w:r>
        <w:rPr>
          <w:rFonts w:cs="Arial"/>
          <w:sz w:val="24"/>
          <w:szCs w:val="24"/>
          <w:lang w:val="en-GB" w:eastAsia="fr-FR"/>
        </w:rPr>
        <w:t>This mapping will cover the identification of scientific networks and publications, as well as universities, faculties and research teams. In addition, investigating existing cooperation and its development over time as well as the identification of the most visible actors will facilitate the elaboration of the road-map in areas of common interest for medium and long-term-milestones and between African and European Research and Innovation communities.</w:t>
      </w:r>
    </w:p>
    <w:p>
      <w:pPr>
        <w:pStyle w:val="Normal"/>
        <w:suppressAutoHyphens w:val="true"/>
        <w:rPr>
          <w:rFonts w:cs="Arial"/>
          <w:sz w:val="24"/>
          <w:szCs w:val="24"/>
          <w:lang w:val="en-GB" w:eastAsia="fr-FR"/>
        </w:rPr>
      </w:pPr>
      <w:r>
        <w:rPr>
          <w:rFonts w:cs="Arial"/>
          <w:sz w:val="24"/>
          <w:szCs w:val="24"/>
          <w:lang w:val="en-GB" w:eastAsia="fr-FR"/>
        </w:rPr>
        <w:t xml:space="preserve">It is important to identify scientific researcher organisations in Africa, by country and by region, not only in RE, but the mapping will be extended to sub or connected areas as reported in the matrix (ref SDG4, … , SDG9, SDG11). </w:t>
      </w:r>
    </w:p>
    <w:p>
      <w:pPr>
        <w:pStyle w:val="Normal"/>
        <w:suppressAutoHyphens w:val="true"/>
        <w:spacing w:before="60" w:after="0"/>
        <w:rPr>
          <w:rFonts w:cs="Arial"/>
          <w:sz w:val="24"/>
          <w:szCs w:val="24"/>
          <w:lang w:val="en-GB" w:eastAsia="fr-FR"/>
        </w:rPr>
      </w:pPr>
      <w:r>
        <w:rPr>
          <w:rFonts w:cs="Arial"/>
          <w:sz w:val="24"/>
          <w:szCs w:val="24"/>
          <w:lang w:val="en-GB" w:eastAsia="fr-FR"/>
        </w:rPr>
        <w:t xml:space="preserve">For the identification of regions, we shall adopt the United Nations geoscheme for Africa: North Africa, West Africa, East Africa, Central Africa and Southern Africa.   For each country we’ll give a general overview of top 15 institutions, top 15 countries of co-publishing and top 15 leading scientists. We’ll summarize these results in some graphics to show the regional and continental map of scientific capacities and the importance of the links between these communities. </w:t>
      </w:r>
    </w:p>
    <w:p>
      <w:pPr>
        <w:pStyle w:val="Normal"/>
        <w:suppressAutoHyphens w:val="true"/>
        <w:spacing w:before="60" w:after="0"/>
        <w:rPr>
          <w:rFonts w:cs="Arial"/>
          <w:sz w:val="24"/>
          <w:szCs w:val="24"/>
          <w:lang w:val="en-GB" w:eastAsia="fr-FR"/>
        </w:rPr>
      </w:pPr>
      <w:r>
        <w:rPr>
          <w:rFonts w:cs="Arial"/>
          <w:sz w:val="24"/>
          <w:szCs w:val="24"/>
          <w:lang w:val="en-GB" w:eastAsia="fr-FR"/>
        </w:rPr>
        <w:t>Our instrument of work is the web of science (WOS), a search and discovery platform for more than 7,000 academic and research institutions. It is a product of “Thomson Reuters Institute of Scientific Information” (ISI) and includes above 12,000 high impact journals and 16.000 conference proceedings, reports, and book series. Publications in WoS are classified in 254 categories or 152 Research Areas. Additional useful metrics are sources/journals, authors, affiliation institutions, affiliation countries, citations, funding agencies, organizations, editors. It is important to highlight that in our search we’ll focus only on European, African, and international institutions.</w:t>
      </w:r>
    </w:p>
    <w:p>
      <w:pPr>
        <w:pStyle w:val="Normal"/>
        <w:suppressAutoHyphens w:val="true"/>
        <w:spacing w:before="60" w:after="0"/>
        <w:rPr>
          <w:rFonts w:cs="Arial"/>
          <w:sz w:val="24"/>
          <w:szCs w:val="24"/>
          <w:lang w:val="en-GB" w:eastAsia="fr-FR"/>
        </w:rPr>
      </w:pPr>
      <w:r>
        <w:rPr>
          <w:rFonts w:cs="Arial"/>
          <w:sz w:val="24"/>
          <w:szCs w:val="24"/>
          <w:lang w:val="en-GB" w:eastAsia="fr-FR"/>
        </w:rPr>
        <w:t xml:space="preserve">Embedded analysis tools help to refine results, identify top authors, institutions, and publishers in a given field, trace citations, facilitate discoveries and connections across disciplines, regions and institutions.  The methodology will be explained first then the limits of such work. The output will be first a general map showing the potentiality in research for each African country/region. </w:t>
      </w:r>
    </w:p>
    <w:p>
      <w:pPr>
        <w:pStyle w:val="Normal"/>
        <w:suppressAutoHyphens w:val="true"/>
        <w:spacing w:before="0" w:after="120"/>
        <w:rPr>
          <w:rFonts w:cs="Arial"/>
          <w:sz w:val="24"/>
          <w:szCs w:val="24"/>
          <w:lang w:val="en-GB" w:eastAsia="fr-FR"/>
        </w:rPr>
      </w:pPr>
      <w:r>
        <w:rPr>
          <w:rFonts w:cs="Arial"/>
          <w:sz w:val="24"/>
          <w:szCs w:val="24"/>
          <w:lang w:val="en-GB" w:eastAsia="fr-FR"/>
        </w:rPr>
        <w:t xml:space="preserve">This work will be conducted for each multiannual roadmap in RE with recommendations and/or indicators on building and/or upgrading research infrastructures, enhancing professional and technical competencies based on the national policy if such strategy exists. Collaborative effort between researchers from both continents will be proposed as an option for developing the needed knowledge capacities for maintaining and strengthening long term collaborations by teaming and twinning actions. </w:t>
      </w:r>
    </w:p>
    <w:tbl>
      <w:tblPr>
        <w:tblStyle w:val="Tabellenraster1"/>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3"/>
        <w:gridCol w:w="2269"/>
        <w:gridCol w:w="4344"/>
      </w:tblGrid>
      <w:tr>
        <w:trPr/>
        <w:tc>
          <w:tcPr>
            <w:tcW w:w="9016" w:type="dxa"/>
            <w:gridSpan w:val="3"/>
            <w:tcBorders>
              <w:top w:val="nil"/>
              <w:left w:val="nil"/>
              <w:right w:val="nil"/>
            </w:tcBorders>
          </w:tcPr>
          <w:p>
            <w:pPr>
              <w:pStyle w:val="Normal"/>
              <w:widowControl/>
              <w:suppressAutoHyphens w:val="true"/>
              <w:spacing w:before="60" w:after="60"/>
              <w:rPr>
                <w:b/>
                <w:b/>
                <w:bCs/>
                <w:iCs/>
                <w:color w:val="000000" w:themeColor="text1"/>
                <w:szCs w:val="20"/>
                <w:lang w:val="en-GB"/>
              </w:rPr>
            </w:pPr>
            <w:r>
              <w:rPr>
                <w:b/>
                <w:bCs/>
                <w:iCs/>
                <w:color w:val="000000" w:themeColor="text1"/>
                <w:kern w:val="0"/>
                <w:sz w:val="22"/>
                <w:szCs w:val="20"/>
                <w:lang w:val="en-GB" w:eastAsia="en-US" w:bidi="ar-SA"/>
              </w:rPr>
              <w:t>Examples of search queries about MAR 6 for North African region. This search query is to execute for each pillar AND for each African region + specific top 10 countries depending on the number of records and publications.</w:t>
            </w:r>
          </w:p>
        </w:tc>
      </w:tr>
      <w:tr>
        <w:trPr/>
        <w:tc>
          <w:tcPr>
            <w:tcW w:w="2403" w:type="dxa"/>
            <w:tcBorders>
              <w:left w:val="nil"/>
            </w:tcBorders>
          </w:tcPr>
          <w:p>
            <w:pPr>
              <w:pStyle w:val="Normal"/>
              <w:widowControl/>
              <w:suppressAutoHyphens w:val="true"/>
              <w:spacing w:before="0" w:after="0"/>
              <w:jc w:val="left"/>
              <w:rPr>
                <w:sz w:val="20"/>
                <w:szCs w:val="20"/>
                <w:lang w:val="en-GB"/>
              </w:rPr>
            </w:pPr>
            <w:r>
              <w:rPr>
                <w:kern w:val="0"/>
                <w:sz w:val="20"/>
                <w:szCs w:val="20"/>
                <w:lang w:val="en-GB" w:eastAsia="en-US" w:bidi="ar-SA"/>
              </w:rPr>
              <w:t>([TS = (cocking or ”clean cooking” or “cooking stoves” or “Electric clean cooking” or “Solar cooker”)])</w:t>
            </w:r>
          </w:p>
        </w:tc>
        <w:tc>
          <w:tcPr>
            <w:tcW w:w="2269" w:type="dxa"/>
            <w:tcBorders/>
          </w:tcPr>
          <w:p>
            <w:pPr>
              <w:pStyle w:val="Normal"/>
              <w:widowControl/>
              <w:suppressAutoHyphens w:val="true"/>
              <w:spacing w:before="60" w:after="60"/>
              <w:jc w:val="left"/>
              <w:rPr>
                <w:color w:val="000000" w:themeColor="text1"/>
                <w:sz w:val="20"/>
                <w:szCs w:val="20"/>
                <w:lang w:val="en-GB"/>
              </w:rPr>
            </w:pPr>
            <w:r>
              <w:rPr>
                <w:color w:val="000000" w:themeColor="text1"/>
                <w:kern w:val="0"/>
                <w:sz w:val="20"/>
                <w:szCs w:val="20"/>
                <w:lang w:val="en-GB" w:eastAsia="en-US" w:bidi="ar-SA"/>
              </w:rPr>
              <w:t>AND CU= (Algeria or Egypt or Libya or Morocco or Tunisia or Mauritania)</w:t>
            </w:r>
          </w:p>
        </w:tc>
        <w:tc>
          <w:tcPr>
            <w:tcW w:w="4344" w:type="dxa"/>
            <w:vMerge w:val="restart"/>
            <w:tcBorders>
              <w:bottom w:val="nil"/>
              <w:right w:val="nil"/>
            </w:tcBorders>
          </w:tcPr>
          <w:p>
            <w:pPr>
              <w:pStyle w:val="Normal"/>
              <w:widowControl/>
              <w:suppressAutoHyphens w:val="true"/>
              <w:spacing w:before="60" w:after="60"/>
              <w:jc w:val="left"/>
              <w:rPr>
                <w:b/>
                <w:b/>
                <w:bCs/>
                <w:color w:val="000000" w:themeColor="text1"/>
                <w:szCs w:val="20"/>
                <w:lang w:val="en-GB"/>
              </w:rPr>
            </w:pPr>
            <w:r>
              <w:rPr>
                <w:b/>
                <w:bCs/>
                <w:color w:val="000000" w:themeColor="text1"/>
                <w:kern w:val="0"/>
                <w:sz w:val="22"/>
                <w:szCs w:val="20"/>
                <w:lang w:val="en-GB" w:eastAsia="en-US" w:bidi="ar-SA"/>
              </w:rPr>
              <w:t>OUTPUTS:</w:t>
            </w:r>
          </w:p>
          <w:p>
            <w:pPr>
              <w:pStyle w:val="Normal"/>
              <w:widowControl/>
              <w:suppressAutoHyphens w:val="true"/>
              <w:rPr>
                <w:color w:val="000000" w:themeColor="text1"/>
                <w:sz w:val="20"/>
                <w:szCs w:val="20"/>
                <w:lang w:val="en-GB"/>
              </w:rPr>
            </w:pPr>
            <w:r>
              <w:rPr>
                <w:color w:val="000000" w:themeColor="text1"/>
                <w:kern w:val="0"/>
                <w:sz w:val="20"/>
                <w:szCs w:val="20"/>
                <w:lang w:val="en-GB" w:eastAsia="en-US" w:bidi="ar-SA"/>
              </w:rPr>
              <w:t xml:space="preserve">- Graph mapping will be established </w:t>
            </w:r>
            <w:r>
              <w:rPr>
                <w:rFonts w:cs="" w:cstheme="majorBidi"/>
                <w:color w:val="000000" w:themeColor="text1"/>
                <w:kern w:val="0"/>
                <w:sz w:val="20"/>
                <w:szCs w:val="20"/>
                <w:lang w:val="en-GB" w:eastAsia="fr-FR" w:bidi="ar-SA"/>
              </w:rPr>
              <w:t xml:space="preserve">by adopting the approach of visualization of similarities using optimized algorithms from </w:t>
            </w:r>
            <w:hyperlink r:id="rId3">
              <w:r>
                <w:rPr>
                  <w:rFonts w:cs="" w:cstheme="majorBidi"/>
                  <w:color w:val="000000" w:themeColor="text1"/>
                  <w:kern w:val="0"/>
                  <w:sz w:val="20"/>
                  <w:szCs w:val="20"/>
                  <w:u w:val="single"/>
                  <w:lang w:val="en-GB" w:eastAsia="fr-FR" w:bidi="ar-SA"/>
                </w:rPr>
                <w:t>VOSviewer</w:t>
              </w:r>
            </w:hyperlink>
            <w:r>
              <w:rPr>
                <w:rFonts w:cs="" w:cstheme="majorBidi"/>
                <w:color w:val="000000" w:themeColor="text1"/>
                <w:kern w:val="0"/>
                <w:sz w:val="20"/>
                <w:szCs w:val="20"/>
                <w:lang w:val="en-GB" w:eastAsia="fr-FR" w:bidi="ar-SA"/>
              </w:rPr>
              <w:t xml:space="preserve"> 1.6.5</w:t>
            </w:r>
            <w:r>
              <w:rPr>
                <w:color w:val="000000" w:themeColor="text1"/>
                <w:kern w:val="0"/>
                <w:sz w:val="20"/>
                <w:szCs w:val="20"/>
                <w:lang w:val="en-GB" w:eastAsia="fr-FR" w:bidi="ar-SA"/>
              </w:rPr>
              <w:t xml:space="preserve"> and </w:t>
            </w:r>
            <w:r>
              <w:rPr>
                <w:color w:val="000000" w:themeColor="text1"/>
                <w:kern w:val="0"/>
                <w:sz w:val="20"/>
                <w:szCs w:val="20"/>
                <w:lang w:val="en-GB" w:eastAsia="en-US" w:bidi="ar-SA"/>
              </w:rPr>
              <w:t xml:space="preserve"> Gephi Sotware, etc..</w:t>
            </w:r>
          </w:p>
          <w:p>
            <w:pPr>
              <w:pStyle w:val="Normal"/>
              <w:widowControl/>
              <w:suppressAutoHyphens w:val="true"/>
              <w:spacing w:before="0" w:after="0"/>
              <w:rPr>
                <w:rFonts w:cs="Arial"/>
                <w:color w:val="000000" w:themeColor="text1"/>
                <w:sz w:val="20"/>
                <w:szCs w:val="20"/>
                <w:lang w:val="en-GB" w:eastAsia="fr-FR"/>
              </w:rPr>
            </w:pPr>
            <w:r>
              <w:rPr>
                <w:color w:val="000000" w:themeColor="text1"/>
                <w:kern w:val="0"/>
                <w:sz w:val="20"/>
                <w:szCs w:val="20"/>
                <w:lang w:val="en-GB" w:bidi="ar-SA"/>
              </w:rPr>
              <w:t xml:space="preserve">- ranking and analyse by country, funding agencies, </w:t>
            </w:r>
            <w:r>
              <w:rPr>
                <w:rFonts w:cs="Arial"/>
                <w:color w:val="000000" w:themeColor="text1"/>
                <w:kern w:val="0"/>
                <w:sz w:val="20"/>
                <w:szCs w:val="20"/>
                <w:lang w:val="en-GB" w:eastAsia="fr-FR" w:bidi="ar-SA"/>
              </w:rPr>
              <w:t>affiliation institutions, authors</w:t>
            </w:r>
          </w:p>
          <w:p>
            <w:pPr>
              <w:pStyle w:val="Normal"/>
              <w:widowControl/>
              <w:suppressAutoHyphens w:val="true"/>
              <w:spacing w:before="0" w:after="0"/>
              <w:rPr>
                <w:rFonts w:cs="Arial"/>
                <w:color w:val="000000" w:themeColor="text1"/>
                <w:sz w:val="20"/>
                <w:szCs w:val="20"/>
                <w:lang w:val="en-GB" w:eastAsia="fr-FR"/>
              </w:rPr>
            </w:pPr>
            <w:r>
              <w:rPr>
                <w:rFonts w:cs="Arial"/>
                <w:color w:val="000000" w:themeColor="text1"/>
                <w:kern w:val="0"/>
                <w:sz w:val="20"/>
                <w:szCs w:val="20"/>
                <w:lang w:val="en-GB" w:eastAsia="fr-FR" w:bidi="ar-SA"/>
              </w:rPr>
              <w:t>- identification of research teams on specific thematics in RE and their position (ranking) in Africa</w:t>
            </w:r>
          </w:p>
        </w:tc>
      </w:tr>
      <w:tr>
        <w:trPr/>
        <w:tc>
          <w:tcPr>
            <w:tcW w:w="2403" w:type="dxa"/>
            <w:tcBorders>
              <w:left w:val="nil"/>
              <w:bottom w:val="nil"/>
            </w:tcBorders>
          </w:tcPr>
          <w:p>
            <w:pPr>
              <w:pStyle w:val="Normal"/>
              <w:widowControl/>
              <w:suppressAutoHyphens w:val="true"/>
              <w:spacing w:before="60" w:after="20"/>
              <w:rPr>
                <w:sz w:val="20"/>
                <w:szCs w:val="20"/>
                <w:lang w:val="en-GB"/>
              </w:rPr>
            </w:pPr>
            <w:r>
              <w:rPr>
                <w:kern w:val="0"/>
                <w:sz w:val="20"/>
                <w:szCs w:val="20"/>
                <w:lang w:val="en-GB" w:eastAsia="en-US" w:bidi="ar-SA"/>
              </w:rPr>
              <w:t>([TS = (“Cold chain” or “Supply chain” or “Cold chain logistics”)])</w:t>
            </w:r>
          </w:p>
          <w:p>
            <w:pPr>
              <w:pStyle w:val="Normal"/>
              <w:widowControl/>
              <w:suppressAutoHyphens w:val="true"/>
              <w:spacing w:before="60" w:after="60"/>
              <w:jc w:val="left"/>
              <w:rPr>
                <w:sz w:val="20"/>
                <w:szCs w:val="20"/>
                <w:lang w:val="en-GB"/>
              </w:rPr>
            </w:pPr>
            <w:r>
              <w:rPr>
                <w:kern w:val="0"/>
                <w:sz w:val="20"/>
                <w:szCs w:val="20"/>
                <w:lang w:val="en-GB" w:eastAsia="en-US" w:bidi="ar-SA"/>
              </w:rPr>
            </w:r>
          </w:p>
        </w:tc>
        <w:tc>
          <w:tcPr>
            <w:tcW w:w="2269" w:type="dxa"/>
            <w:tcBorders>
              <w:bottom w:val="nil"/>
            </w:tcBorders>
          </w:tcPr>
          <w:p>
            <w:pPr>
              <w:pStyle w:val="Normal"/>
              <w:widowControl/>
              <w:suppressAutoHyphens w:val="true"/>
              <w:spacing w:before="60" w:after="60"/>
              <w:jc w:val="left"/>
              <w:rPr>
                <w:sz w:val="20"/>
                <w:szCs w:val="20"/>
                <w:lang w:val="en-GB"/>
              </w:rPr>
            </w:pPr>
            <w:r>
              <w:rPr>
                <w:kern w:val="0"/>
                <w:sz w:val="20"/>
                <w:szCs w:val="20"/>
                <w:lang w:val="en-GB" w:eastAsia="en-US" w:bidi="ar-SA"/>
              </w:rPr>
              <w:t>AND CU= (Algeria or Egypt or Libya or Morocco or Tunisia or Mauritania)</w:t>
            </w:r>
          </w:p>
        </w:tc>
        <w:tc>
          <w:tcPr>
            <w:tcW w:w="4344" w:type="dxa"/>
            <w:vMerge w:val="continue"/>
            <w:tcBorders>
              <w:bottom w:val="nil"/>
              <w:right w:val="nil"/>
            </w:tcBorders>
            <w:vAlign w:val="center"/>
          </w:tcPr>
          <w:p>
            <w:pPr>
              <w:pStyle w:val="Normal"/>
              <w:widowControl/>
              <w:suppressAutoHyphens w:val="true"/>
              <w:spacing w:before="0" w:after="0"/>
              <w:jc w:val="left"/>
              <w:rPr>
                <w:rFonts w:cs="Arial"/>
                <w:color w:val="000000" w:themeColor="text1"/>
                <w:sz w:val="20"/>
                <w:szCs w:val="20"/>
                <w:lang w:val="en-GB" w:eastAsia="fr-FR"/>
              </w:rPr>
            </w:pPr>
            <w:r>
              <w:rPr>
                <w:rFonts w:cs="Arial"/>
                <w:color w:val="000000" w:themeColor="text1"/>
                <w:kern w:val="0"/>
                <w:sz w:val="20"/>
                <w:szCs w:val="20"/>
                <w:lang w:val="en-GB" w:eastAsia="fr-FR" w:bidi="ar-SA"/>
              </w:rPr>
            </w:r>
          </w:p>
        </w:tc>
      </w:tr>
    </w:tbl>
    <w:p>
      <w:pPr>
        <w:pStyle w:val="Normal"/>
        <w:suppressAutoHyphens w:val="true"/>
        <w:jc w:val="left"/>
        <w:rPr>
          <w:color w:val="000000" w:themeColor="text1"/>
          <w:szCs w:val="20"/>
          <w:lang w:val="en-GB"/>
        </w:rPr>
      </w:pPr>
      <w:r>
        <w:rPr>
          <w:color w:val="000000" w:themeColor="text1"/>
          <w:szCs w:val="20"/>
          <w:lang w:val="en-GB"/>
        </w:rPr>
      </w:r>
    </w:p>
    <w:p>
      <w:pPr>
        <w:pStyle w:val="Normal"/>
        <w:suppressAutoHyphens w:val="true"/>
        <w:rPr>
          <w:b/>
          <w:b/>
          <w:bCs/>
          <w:iCs/>
          <w:sz w:val="24"/>
          <w:lang w:val="en-GB"/>
        </w:rPr>
      </w:pPr>
      <w:r>
        <w:rPr>
          <w:b/>
          <w:bCs/>
          <w:iCs/>
          <w:sz w:val="24"/>
          <w:lang w:val="en-GB"/>
        </w:rPr>
        <w:t>(4) Identifying R&amp;I partnership [Institutions, training programmes, pooling or access to Infrastructures].</w:t>
      </w:r>
    </w:p>
    <w:p>
      <w:pPr>
        <w:pStyle w:val="Normal"/>
        <w:suppressAutoHyphens w:val="true"/>
        <w:spacing w:before="60" w:after="120"/>
        <w:textAlignment w:val="baseline"/>
        <w:rPr>
          <w:rFonts w:cs="" w:cstheme="minorBidi"/>
          <w:color w:val="131413"/>
          <w:sz w:val="24"/>
          <w:szCs w:val="24"/>
          <w:lang w:val="en-GB"/>
        </w:rPr>
      </w:pPr>
      <w:r>
        <w:rPr>
          <w:rFonts w:cs="" w:cstheme="minorBidi"/>
          <w:b/>
          <w:bCs/>
          <w:color w:val="131413"/>
          <w:sz w:val="24"/>
          <w:szCs w:val="24"/>
          <w:lang w:val="en-GB"/>
        </w:rPr>
        <w:t>4.1) Analyzing identified nodes of the network and moving to a long-lasting partnership:</w:t>
      </w:r>
      <w:r>
        <w:rPr>
          <w:rFonts w:cs="" w:cstheme="minorBidi"/>
          <w:color w:val="131413"/>
          <w:sz w:val="24"/>
          <w:szCs w:val="24"/>
          <w:lang w:val="en-GB"/>
        </w:rPr>
        <w:t xml:space="preserve"> Strengthening and maintaining research capacities are the fundamental pillars to generate knowledge, facilitate learning and co-develop innovations in sustainable energy. A comprehensive approach is needed to build research capacity and institutional strengths particularly in Africa.  We have identified a set of mechanisms (twinning, teaming and pooling) to launch after undertaking an audit where such research infrastructure collaboration will be most profitable. The first step will be to prepare a questionnaire to identify which actions are possible, when, with which means (not necessarily funding) and with who.</w:t>
      </w:r>
    </w:p>
    <w:p>
      <w:pPr>
        <w:pStyle w:val="Normal"/>
        <w:suppressAutoHyphens w:val="true"/>
        <w:spacing w:before="60" w:after="20"/>
        <w:rPr>
          <w:rFonts w:cs="Arial"/>
          <w:b/>
          <w:b/>
          <w:bCs/>
          <w:color w:val="000000" w:themeColor="text1"/>
          <w:lang w:val="en-GB" w:eastAsia="fr-FR"/>
        </w:rPr>
      </w:pPr>
      <w:r>
        <w:rPr>
          <w:rFonts w:cs="Arial"/>
          <w:b/>
          <w:bCs/>
          <w:color w:val="000000" w:themeColor="text1"/>
          <w:lang w:val="en-GB" w:eastAsia="fr-FR"/>
        </w:rPr>
        <w:t>- Preparation of a swot / questionnaire / round tables with identified and selected partners in both continents.</w:t>
      </w:r>
    </w:p>
    <w:p>
      <w:pPr>
        <w:pStyle w:val="Normal"/>
        <w:suppressAutoHyphens w:val="true"/>
        <w:rPr>
          <w:lang w:val="en-GB"/>
        </w:rPr>
      </w:pPr>
      <w:r>
        <w:rPr>
          <w:lang w:val="en-GB"/>
        </w:rPr>
        <w:t>These actions will be explored with selected and willing institutions engaged for the future Europe-Africa cooperation. They are to develop.</w:t>
      </w:r>
      <w:bookmarkStart w:id="23" w:name="_Hlk66908246"/>
      <w:bookmarkEnd w:id="23"/>
    </w:p>
    <w:p>
      <w:pPr>
        <w:pStyle w:val="Normal"/>
        <w:suppressAutoHyphens w:val="true"/>
        <w:spacing w:before="60" w:after="20"/>
        <w:rPr>
          <w:rFonts w:cs="Arial"/>
          <w:color w:val="000000" w:themeColor="text1"/>
          <w:sz w:val="20"/>
          <w:szCs w:val="20"/>
          <w:lang w:val="en-GB" w:eastAsia="fr-FR"/>
        </w:rPr>
      </w:pPr>
      <w:r>
        <w:rPr>
          <w:rFonts w:cs="Arial"/>
          <w:color w:val="000000" w:themeColor="text1"/>
          <w:sz w:val="20"/>
          <w:szCs w:val="20"/>
          <w:lang w:val="en-GB" w:eastAsia="fr-FR"/>
        </w:rPr>
      </w:r>
    </w:p>
    <w:p>
      <w:pPr>
        <w:pStyle w:val="Normal"/>
        <w:suppressAutoHyphens w:val="true"/>
        <w:jc w:val="left"/>
        <w:rPr>
          <w:b/>
          <w:b/>
          <w:bCs/>
          <w:iCs/>
          <w:sz w:val="24"/>
          <w:lang w:val="en-GB"/>
        </w:rPr>
      </w:pPr>
      <w:r>
        <w:rPr>
          <w:b/>
          <w:bCs/>
          <w:iCs/>
          <w:sz w:val="24"/>
          <w:lang w:val="en-GB"/>
        </w:rPr>
        <w:t xml:space="preserve">(5) Strengthening existing mechanisms or launching new mechanisms for networking </w:t>
      </w:r>
    </w:p>
    <w:p>
      <w:pPr>
        <w:pStyle w:val="Normal"/>
        <w:suppressAutoHyphens w:val="true"/>
        <w:ind w:left="708" w:hanging="0"/>
        <w:jc w:val="left"/>
        <w:rPr>
          <w:szCs w:val="20"/>
          <w:lang w:val="en-GB"/>
        </w:rPr>
      </w:pPr>
      <w:r>
        <w:rPr>
          <w:szCs w:val="20"/>
          <w:lang w:val="en-GB"/>
        </w:rPr>
        <w:t xml:space="preserve">- teaming (by creating centres of excellence), </w:t>
      </w:r>
    </w:p>
    <w:p>
      <w:pPr>
        <w:pStyle w:val="Normal"/>
        <w:suppressAutoHyphens w:val="true"/>
        <w:ind w:left="708" w:hanging="0"/>
        <w:jc w:val="left"/>
        <w:rPr>
          <w:szCs w:val="20"/>
          <w:lang w:val="en-GB"/>
        </w:rPr>
      </w:pPr>
      <w:r>
        <w:rPr>
          <w:szCs w:val="20"/>
          <w:lang w:val="en-GB"/>
        </w:rPr>
        <w:t>- twinning (institutional co-supervision, post-doctoral programmes),</w:t>
      </w:r>
    </w:p>
    <w:p>
      <w:pPr>
        <w:pStyle w:val="Normal"/>
        <w:suppressAutoHyphens w:val="true"/>
        <w:ind w:left="708" w:hanging="0"/>
        <w:jc w:val="left"/>
        <w:rPr>
          <w:szCs w:val="20"/>
          <w:lang w:val="en-GB"/>
        </w:rPr>
      </w:pPr>
      <w:r>
        <w:rPr>
          <w:szCs w:val="20"/>
          <w:lang w:val="en-GB"/>
        </w:rPr>
        <w:t>- sharing infrastructures.</w:t>
      </w:r>
    </w:p>
    <w:p>
      <w:pPr>
        <w:pStyle w:val="Normal"/>
        <w:suppressAutoHyphens w:val="true"/>
        <w:ind w:left="708" w:hanging="0"/>
        <w:jc w:val="left"/>
        <w:rPr>
          <w:szCs w:val="20"/>
          <w:lang w:val="en-GB"/>
        </w:rPr>
      </w:pPr>
      <w:r>
        <w:rPr>
          <w:szCs w:val="20"/>
          <w:lang w:val="en-GB"/>
        </w:rPr>
        <w:t xml:space="preserve">- Revitalizing of universities </w:t>
      </w:r>
    </w:p>
    <w:p>
      <w:pPr>
        <w:pStyle w:val="Normal"/>
        <w:suppressAutoHyphens w:val="true"/>
        <w:ind w:left="708" w:hanging="0"/>
        <w:jc w:val="left"/>
        <w:rPr>
          <w:szCs w:val="20"/>
          <w:lang w:val="en-GB"/>
        </w:rPr>
      </w:pPr>
      <w:r>
        <w:rPr>
          <w:szCs w:val="20"/>
          <w:lang w:val="en-GB"/>
        </w:rPr>
      </w:r>
    </w:p>
    <w:p>
      <w:pPr>
        <w:pStyle w:val="Normal"/>
        <w:suppressAutoHyphens w:val="true"/>
        <w:jc w:val="left"/>
        <w:rPr>
          <w:color w:val="000000" w:themeColor="text1"/>
          <w:szCs w:val="20"/>
          <w:lang w:val="en-GB"/>
        </w:rPr>
      </w:pPr>
      <w:r>
        <w:rPr>
          <w:color w:val="000000" w:themeColor="text1"/>
          <w:szCs w:val="20"/>
          <w:lang w:val="en-GB"/>
        </w:rPr>
        <w:t>• </w:t>
      </w:r>
      <w:r>
        <w:rPr>
          <w:color w:val="000000" w:themeColor="text1"/>
          <w:szCs w:val="20"/>
          <w:lang w:val="en-GB"/>
        </w:rPr>
        <w:t>Twinning, teaming and pooling (M6 to M60): Deliver virtual networks of academic communities in RE, with mechanisms for linking scientists and institutions that are committed to working together based on these three collaboration instruments:</w:t>
      </w:r>
    </w:p>
    <w:p>
      <w:pPr>
        <w:pStyle w:val="Normal"/>
        <w:suppressAutoHyphens w:val="true"/>
        <w:jc w:val="left"/>
        <w:rPr>
          <w:color w:val="000000" w:themeColor="text1"/>
          <w:szCs w:val="20"/>
          <w:lang w:val="en-GB"/>
        </w:rPr>
      </w:pPr>
      <w:r>
        <w:rPr>
          <w:color w:val="000000" w:themeColor="text1"/>
          <w:szCs w:val="20"/>
          <w:lang w:val="en-GB"/>
        </w:rPr>
        <w:t xml:space="preserve">– </w:t>
      </w:r>
      <w:r>
        <w:rPr>
          <w:color w:val="000000" w:themeColor="text1"/>
          <w:szCs w:val="20"/>
          <w:lang w:val="en-GB"/>
        </w:rPr>
        <w:t>Twinning in post-doctoral programmes: institutions of the network receive researchers selected to conduct a specific task</w:t>
      </w:r>
    </w:p>
    <w:p>
      <w:pPr>
        <w:pStyle w:val="Normal"/>
        <w:suppressAutoHyphens w:val="true"/>
        <w:jc w:val="left"/>
        <w:rPr>
          <w:color w:val="000000" w:themeColor="text1"/>
          <w:szCs w:val="20"/>
          <w:lang w:val="en-GB"/>
        </w:rPr>
      </w:pPr>
      <w:r>
        <w:rPr>
          <w:color w:val="000000" w:themeColor="text1"/>
          <w:szCs w:val="20"/>
          <w:lang w:val="en-GB"/>
        </w:rPr>
        <w:t xml:space="preserve">– </w:t>
      </w:r>
      <w:r>
        <w:rPr>
          <w:color w:val="000000" w:themeColor="text1"/>
          <w:szCs w:val="20"/>
          <w:lang w:val="en-GB"/>
        </w:rPr>
        <w:t>Teaming supports the creation of new (or upgrading of existing) Centres of Excellence in partner countries. This mechanism is inspired from Horizon 2020 “Teaming for Excellence” programme to transfer experience from Europe’s top research centres to the new EU MS.</w:t>
      </w:r>
    </w:p>
    <w:p>
      <w:pPr>
        <w:pStyle w:val="Normal"/>
        <w:suppressAutoHyphens w:val="true"/>
        <w:jc w:val="left"/>
        <w:rPr>
          <w:color w:val="000000" w:themeColor="text1"/>
          <w:szCs w:val="20"/>
          <w:lang w:val="en-GB"/>
        </w:rPr>
      </w:pPr>
      <w:r>
        <w:rPr>
          <w:color w:val="000000" w:themeColor="text1"/>
          <w:szCs w:val="20"/>
          <w:lang w:val="en-GB"/>
        </w:rPr>
        <w:t xml:space="preserve">– </w:t>
      </w:r>
      <w:r>
        <w:rPr>
          <w:color w:val="000000" w:themeColor="text1"/>
          <w:szCs w:val="20"/>
          <w:lang w:val="en-GB"/>
        </w:rPr>
        <w:t>Pooling of resources provides access to world-class infrastructures to do cutting-edge research in partnership with European institutions depending on their internal legislation.</w:t>
      </w:r>
    </w:p>
    <w:p>
      <w:pPr>
        <w:pStyle w:val="Normal"/>
        <w:suppressAutoHyphens w:val="true"/>
        <w:jc w:val="left"/>
        <w:rPr>
          <w:b/>
          <w:b/>
          <w:bCs/>
          <w:color w:val="7F7F7F" w:themeColor="text1" w:themeTint="80"/>
          <w:sz w:val="24"/>
          <w:highlight w:val="lightGray"/>
          <w:lang w:val="en-GB"/>
        </w:rPr>
      </w:pPr>
      <w:r>
        <w:rPr>
          <w:color w:val="000000" w:themeColor="text1"/>
          <w:szCs w:val="20"/>
          <w:lang w:val="en-GB"/>
        </w:rPr>
        <w:t>- Revitalizing of universities and other training institutions in RE;</w:t>
      </w:r>
      <w:r>
        <w:br w:type="page"/>
      </w:r>
    </w:p>
    <w:p>
      <w:pPr>
        <w:pStyle w:val="Heading3"/>
        <w:rPr>
          <w:i w:val="false"/>
          <w:i w:val="false"/>
        </w:rPr>
      </w:pPr>
      <w:r>
        <w:rPr>
          <w:i w:val="false"/>
        </w:rPr>
        <w:t>Task 5.4: Strategic ambition of the long-term partnership</w:t>
      </w:r>
    </w:p>
    <w:p>
      <w:pPr>
        <w:pStyle w:val="Normal"/>
        <w:jc w:val="left"/>
        <w:rPr>
          <w:szCs w:val="20"/>
          <w:lang w:val="en-GB"/>
        </w:rPr>
      </w:pPr>
      <w:r>
        <w:rPr>
          <w:szCs w:val="20"/>
          <w:lang w:val="en-GB"/>
        </w:rPr>
        <w:t xml:space="preserve">Start date: </w:t>
      </w:r>
      <w:r>
        <w:rPr>
          <w:rFonts w:cs="Arial"/>
          <w:szCs w:val="20"/>
          <w:lang w:val="en-GB"/>
        </w:rPr>
        <w:t xml:space="preserve">M3 (Dec. 2020); </w:t>
      </w:r>
      <w:r>
        <w:rPr>
          <w:szCs w:val="20"/>
          <w:lang w:val="en-GB"/>
        </w:rPr>
        <w:t>End date: M63 (Dec. 2025)</w:t>
      </w:r>
    </w:p>
    <w:p>
      <w:pPr>
        <w:pStyle w:val="Normal"/>
        <w:jc w:val="left"/>
        <w:rPr>
          <w:b/>
          <w:b/>
          <w:szCs w:val="20"/>
          <w:lang w:val="en-GB"/>
        </w:rPr>
      </w:pPr>
      <w:r>
        <w:rPr>
          <w:b/>
          <w:szCs w:val="20"/>
          <w:lang w:val="en-GB"/>
        </w:rPr>
        <w:t xml:space="preserve">Task Leaders: </w:t>
      </w:r>
    </w:p>
    <w:p>
      <w:pPr>
        <w:pStyle w:val="ListParagraph"/>
        <w:numPr>
          <w:ilvl w:val="0"/>
          <w:numId w:val="3"/>
        </w:numPr>
        <w:jc w:val="left"/>
        <w:rPr>
          <w:color w:val="000000" w:themeColor="text1"/>
          <w:szCs w:val="20"/>
          <w:lang w:val="en-GB"/>
        </w:rPr>
      </w:pPr>
      <w:r>
        <w:rPr>
          <w:color w:val="000000" w:themeColor="text1"/>
          <w:szCs w:val="20"/>
          <w:lang w:val="en-GB"/>
        </w:rPr>
        <w:t>Mr Abdellatif Zerga &amp; Mr Erick Tambo | Pan African University Water and Energy Science (</w:t>
      </w:r>
      <w:r>
        <w:rPr>
          <w:b/>
          <w:color w:val="000000" w:themeColor="text1"/>
          <w:szCs w:val="20"/>
          <w:lang w:val="en-GB"/>
        </w:rPr>
        <w:t>PAUWES</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Mr Stefan A. Haffner | German Aerospace Center (</w:t>
      </w:r>
      <w:r>
        <w:rPr>
          <w:b/>
          <w:color w:val="000000" w:themeColor="text1"/>
          <w:szCs w:val="20"/>
          <w:lang w:val="en-GB"/>
        </w:rPr>
        <w:t>DLR</w:t>
      </w:r>
      <w:r>
        <w:rPr>
          <w:color w:val="000000" w:themeColor="text1"/>
          <w:szCs w:val="20"/>
          <w:lang w:val="en-GB"/>
        </w:rPr>
        <w:t>)</w:t>
      </w:r>
    </w:p>
    <w:p>
      <w:pPr>
        <w:pStyle w:val="Normal"/>
        <w:jc w:val="left"/>
        <w:rPr>
          <w:b/>
          <w:b/>
          <w:lang w:val="en-GB"/>
        </w:rPr>
      </w:pPr>
      <w:r>
        <w:rPr>
          <w:b/>
          <w:szCs w:val="20"/>
          <w:lang w:val="en-GB"/>
        </w:rPr>
        <w:t>Contributors:</w:t>
      </w:r>
      <w:r>
        <w:rPr>
          <w:b/>
          <w:lang w:val="en-GB"/>
        </w:rPr>
        <w:t xml:space="preserve"> </w:t>
      </w:r>
    </w:p>
    <w:p>
      <w:pPr>
        <w:pStyle w:val="ListParagraph"/>
        <w:numPr>
          <w:ilvl w:val="0"/>
          <w:numId w:val="3"/>
        </w:numPr>
        <w:jc w:val="left"/>
        <w:rPr>
          <w:color w:val="000000" w:themeColor="text1"/>
          <w:szCs w:val="20"/>
          <w:lang w:val="en-GB"/>
        </w:rPr>
      </w:pPr>
      <w:r>
        <w:rPr>
          <w:color w:val="000000" w:themeColor="text1"/>
          <w:szCs w:val="20"/>
          <w:lang w:val="en-GB"/>
        </w:rPr>
        <w:t>Ms Elena SIMION | Executive Agency for Higher Education, Research, Development and Innovation (</w:t>
      </w:r>
      <w:r>
        <w:rPr>
          <w:b/>
          <w:color w:val="000000" w:themeColor="text1"/>
          <w:szCs w:val="20"/>
          <w:lang w:val="en-GB"/>
        </w:rPr>
        <w:t>UEFISCDI</w:t>
      </w:r>
      <w:r>
        <w:rPr>
          <w:color w:val="000000" w:themeColor="text1"/>
          <w:szCs w:val="20"/>
          <w:lang w:val="en-GB"/>
        </w:rPr>
        <w:t>)</w:t>
      </w:r>
    </w:p>
    <w:p>
      <w:pPr>
        <w:pStyle w:val="ListParagraph"/>
        <w:numPr>
          <w:ilvl w:val="0"/>
          <w:numId w:val="3"/>
        </w:numPr>
        <w:jc w:val="left"/>
        <w:rPr>
          <w:rFonts w:cs="Arial"/>
          <w:szCs w:val="20"/>
          <w:lang w:val="en-GB"/>
        </w:rPr>
      </w:pPr>
      <w:r>
        <w:rPr>
          <w:color w:val="000000" w:themeColor="text1"/>
          <w:szCs w:val="20"/>
          <w:lang w:val="en-GB"/>
        </w:rPr>
        <w:t>Ms Anne W. Wambugu &amp; Ms Hope N Njoroge | Strathmore University (</w:t>
      </w:r>
      <w:r>
        <w:rPr>
          <w:b/>
          <w:color w:val="000000" w:themeColor="text1"/>
          <w:szCs w:val="20"/>
          <w:lang w:val="en-GB"/>
        </w:rPr>
        <w:t>SU</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Ms Kibibi Ndope | AFRICA ENERGY SERVICES GROUP LTD (</w:t>
      </w:r>
      <w:r>
        <w:rPr>
          <w:b/>
          <w:color w:val="000000" w:themeColor="text1"/>
          <w:szCs w:val="20"/>
          <w:lang w:val="en-GB"/>
        </w:rPr>
        <w:t>AESG</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Ms Melissa Plath | HELSINGIN YLIOPISTO (</w:t>
      </w:r>
      <w:r>
        <w:rPr>
          <w:b/>
          <w:color w:val="000000" w:themeColor="text1"/>
          <w:szCs w:val="20"/>
          <w:lang w:val="en-GB"/>
        </w:rPr>
        <w:t>HU</w:t>
      </w:r>
      <w:r>
        <w:rPr>
          <w:color w:val="000000" w:themeColor="text1"/>
          <w:szCs w:val="20"/>
          <w:lang w:val="en-GB"/>
        </w:rPr>
        <w:t>)</w:t>
      </w:r>
      <w:bookmarkStart w:id="24" w:name="_Hlk67005484"/>
      <w:bookmarkEnd w:id="24"/>
    </w:p>
    <w:p>
      <w:pPr>
        <w:pStyle w:val="Normal"/>
        <w:ind w:left="360" w:hanging="0"/>
        <w:jc w:val="left"/>
        <w:rPr>
          <w:color w:val="000000" w:themeColor="text1"/>
          <w:szCs w:val="20"/>
          <w:lang w:val="en-GB"/>
        </w:rPr>
      </w:pPr>
      <w:r>
        <w:rPr>
          <w:color w:val="000000" w:themeColor="text1"/>
          <w:szCs w:val="20"/>
          <w:lang w:val="en-GB"/>
        </w:rPr>
      </w:r>
    </w:p>
    <w:tbl>
      <w:tblPr>
        <w:tblW w:w="9219" w:type="dxa"/>
        <w:jc w:val="left"/>
        <w:tblInd w:w="-5" w:type="dxa"/>
        <w:tblLayout w:type="fixed"/>
        <w:tblCellMar>
          <w:top w:w="0" w:type="dxa"/>
          <w:left w:w="70" w:type="dxa"/>
          <w:bottom w:w="0" w:type="dxa"/>
          <w:right w:w="70" w:type="dxa"/>
        </w:tblCellMar>
        <w:tblLook w:val="04a0" w:noHBand="0" w:noVBand="1" w:firstColumn="1" w:lastRow="0" w:lastColumn="0" w:firstRow="1"/>
      </w:tblPr>
      <w:tblGrid>
        <w:gridCol w:w="968"/>
        <w:gridCol w:w="933"/>
        <w:gridCol w:w="1301"/>
        <w:gridCol w:w="772"/>
        <w:gridCol w:w="5245"/>
      </w:tblGrid>
      <w:tr>
        <w:trPr>
          <w:trHeight w:val="600" w:hRule="atLeast"/>
        </w:trPr>
        <w:tc>
          <w:tcPr>
            <w:tcW w:w="968" w:type="dxa"/>
            <w:tcBorders>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T5.4</w:t>
            </w:r>
            <w:r>
              <w:rPr>
                <w:rFonts w:cs="Calibri"/>
                <w:b/>
                <w:bCs/>
                <w:lang w:val="de-DE" w:eastAsia="de-DE"/>
              </w:rPr>
              <w:t> </w:t>
            </w:r>
          </w:p>
        </w:tc>
        <w:tc>
          <w:tcPr>
            <w:tcW w:w="933"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 xml:space="preserve">PM </w:t>
              <w:br/>
              <w:t xml:space="preserve">formerly </w:t>
            </w:r>
          </w:p>
        </w:tc>
        <w:tc>
          <w:tcPr>
            <w:tcW w:w="1301"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color w:val="0000FF"/>
                <w:lang w:val="de-DE" w:eastAsia="de-DE"/>
              </w:rPr>
            </w:pPr>
            <w:r>
              <w:rPr>
                <w:rFonts w:cs="Calibri"/>
                <w:b/>
                <w:bCs/>
                <w:color w:val="0000FF"/>
                <w:lang w:val="de-DE" w:eastAsia="de-DE"/>
              </w:rPr>
              <w:t>PM modification</w:t>
            </w:r>
          </w:p>
        </w:tc>
        <w:tc>
          <w:tcPr>
            <w:tcW w:w="772"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Final PM</w:t>
            </w:r>
          </w:p>
        </w:tc>
        <w:tc>
          <w:tcPr>
            <w:tcW w:w="5245" w:type="dxa"/>
            <w:tcBorders>
              <w:left w:val="single" w:sz="4" w:space="0" w:color="000000"/>
              <w:bottom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Comments</w:t>
            </w:r>
          </w:p>
        </w:tc>
      </w:tr>
      <w:tr>
        <w:trPr>
          <w:trHeight w:val="300" w:hRule="atLeast"/>
        </w:trPr>
        <w:tc>
          <w:tcPr>
            <w:tcW w:w="96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PAUWES (lead)</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b/>
                <w:color w:val="0000FF"/>
                <w:lang w:val="de-DE" w:eastAsia="de-DE"/>
              </w:rPr>
              <w:t>2</w:t>
            </w:r>
          </w:p>
        </w:tc>
        <w:tc>
          <w:tcPr>
            <w:tcW w:w="77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2</w:t>
            </w:r>
          </w:p>
        </w:tc>
        <w:tc>
          <w:tcPr>
            <w:tcW w:w="5245"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PAUWES, together with DLR, will conceptualise and coordinate the development of the T5.4 working document, with contributions from T5.4 colleagues</w:t>
            </w:r>
          </w:p>
        </w:tc>
      </w:tr>
      <w:tr>
        <w:trPr>
          <w:trHeight w:val="300" w:hRule="atLeast"/>
        </w:trPr>
        <w:tc>
          <w:tcPr>
            <w:tcW w:w="96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DLR (lead)</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4</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b/>
                <w:color w:val="0000FF"/>
                <w:lang w:val="de-DE" w:eastAsia="de-DE"/>
              </w:rPr>
              <w:t>1</w:t>
            </w:r>
          </w:p>
        </w:tc>
        <w:tc>
          <w:tcPr>
            <w:tcW w:w="77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5</w:t>
            </w:r>
          </w:p>
        </w:tc>
        <w:tc>
          <w:tcPr>
            <w:tcW w:w="5245"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DLR, together with PAUWES, will conceptualise and coordinate the development of the T5.4 working document, with contributions from T5.4 colleagues</w:t>
            </w:r>
          </w:p>
        </w:tc>
      </w:tr>
      <w:tr>
        <w:trPr>
          <w:trHeight w:val="300" w:hRule="atLeast"/>
        </w:trPr>
        <w:tc>
          <w:tcPr>
            <w:tcW w:w="968" w:type="dxa"/>
            <w:tcBorders>
              <w:top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UEFISCDI</w:t>
            </w:r>
          </w:p>
        </w:tc>
        <w:tc>
          <w:tcPr>
            <w:tcW w:w="93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77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0</w:t>
            </w:r>
          </w:p>
        </w:tc>
        <w:tc>
          <w:tcPr>
            <w:tcW w:w="5245"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r>
          </w:p>
        </w:tc>
      </w:tr>
      <w:tr>
        <w:trPr>
          <w:trHeight w:val="300" w:hRule="atLeast"/>
        </w:trPr>
        <w:tc>
          <w:tcPr>
            <w:tcW w:w="968" w:type="dxa"/>
            <w:tcBorders>
              <w:top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SU</w:t>
            </w:r>
          </w:p>
        </w:tc>
        <w:tc>
          <w:tcPr>
            <w:tcW w:w="93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77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0</w:t>
            </w:r>
          </w:p>
        </w:tc>
        <w:tc>
          <w:tcPr>
            <w:tcW w:w="5245"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r>
          </w:p>
        </w:tc>
      </w:tr>
      <w:tr>
        <w:trPr>
          <w:trHeight w:val="300" w:hRule="atLeast"/>
        </w:trPr>
        <w:tc>
          <w:tcPr>
            <w:tcW w:w="96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AESG</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t>1</w:t>
            </w:r>
          </w:p>
        </w:tc>
        <w:tc>
          <w:tcPr>
            <w:tcW w:w="77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1</w:t>
            </w:r>
          </w:p>
        </w:tc>
        <w:tc>
          <w:tcPr>
            <w:tcW w:w="5245"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t>AESG will contribute to the development of the working documents and linking the dialogues to WP4</w:t>
            </w:r>
          </w:p>
        </w:tc>
      </w:tr>
      <w:tr>
        <w:trPr>
          <w:trHeight w:val="300" w:hRule="atLeast"/>
        </w:trPr>
        <w:tc>
          <w:tcPr>
            <w:tcW w:w="96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UH</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t>1</w:t>
            </w:r>
          </w:p>
        </w:tc>
        <w:tc>
          <w:tcPr>
            <w:tcW w:w="77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1</w:t>
            </w:r>
          </w:p>
        </w:tc>
        <w:tc>
          <w:tcPr>
            <w:tcW w:w="5245"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t>UH will contribute to the development of the working documents and linking the dialogues to WP4</w:t>
            </w:r>
          </w:p>
        </w:tc>
      </w:tr>
      <w:tr>
        <w:trPr>
          <w:trHeight w:val="300" w:hRule="atLeast"/>
        </w:trPr>
        <w:tc>
          <w:tcPr>
            <w:tcW w:w="968" w:type="dxa"/>
            <w:tcBorders>
              <w:top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bCs/>
                <w:color w:val="000000" w:themeColor="text1"/>
                <w:lang w:val="en-GB" w:eastAsia="de-DE"/>
              </w:rPr>
            </w:pPr>
            <w:r>
              <w:rPr>
                <w:rFonts w:cs="Calibri"/>
                <w:b/>
                <w:bCs/>
                <w:color w:val="000000" w:themeColor="text1"/>
                <w:lang w:val="en-GB" w:eastAsia="de-DE"/>
              </w:rPr>
              <w:t>UNU</w:t>
            </w:r>
          </w:p>
        </w:tc>
        <w:tc>
          <w:tcPr>
            <w:tcW w:w="933"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color w:val="000000" w:themeColor="text1"/>
                <w:lang w:val="en-GB" w:eastAsia="de-DE"/>
              </w:rPr>
            </w:pPr>
            <w:r>
              <w:rPr>
                <w:rFonts w:cs="Calibri"/>
                <w:color w:val="000000" w:themeColor="text1"/>
                <w:lang w:val="en-GB" w:eastAsia="de-DE"/>
              </w:rPr>
              <w:t>4</w:t>
            </w:r>
          </w:p>
        </w:tc>
        <w:tc>
          <w:tcPr>
            <w:tcW w:w="130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color w:val="000000" w:themeColor="text1"/>
                <w:lang w:val="de-DE" w:eastAsia="de-DE"/>
              </w:rPr>
            </w:pPr>
            <w:r>
              <w:rPr>
                <w:rFonts w:cs="Calibri"/>
                <w:b/>
                <w:color w:val="0000FF"/>
                <w:lang w:val="de-DE" w:eastAsia="de-DE"/>
              </w:rPr>
              <w:t>0</w:t>
            </w:r>
          </w:p>
        </w:tc>
        <w:tc>
          <w:tcPr>
            <w:tcW w:w="77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bCs/>
                <w:color w:val="000000" w:themeColor="text1"/>
                <w:lang w:val="de-DE" w:eastAsia="de-DE"/>
              </w:rPr>
            </w:pPr>
            <w:r>
              <w:rPr>
                <w:rFonts w:cs="Calibri"/>
                <w:b/>
                <w:bCs/>
                <w:color w:val="000000" w:themeColor="text1"/>
                <w:lang w:val="de-DE" w:eastAsia="de-DE"/>
              </w:rPr>
              <w:t>0</w:t>
            </w:r>
          </w:p>
        </w:tc>
        <w:tc>
          <w:tcPr>
            <w:tcW w:w="5245" w:type="dxa"/>
            <w:tcBorders>
              <w:top w:val="single" w:sz="4" w:space="0" w:color="000000"/>
              <w:left w:val="single" w:sz="4" w:space="0" w:color="000000"/>
              <w:bottom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color w:val="000000" w:themeColor="text1"/>
                <w:lang w:val="de-DE" w:eastAsia="de-DE"/>
              </w:rPr>
            </w:pPr>
            <w:r>
              <w:rPr>
                <w:rFonts w:cs="Calibri"/>
                <w:color w:val="000000" w:themeColor="text1"/>
                <w:lang w:val="de-DE" w:eastAsia="de-DE"/>
              </w:rPr>
            </w:r>
          </w:p>
        </w:tc>
      </w:tr>
      <w:tr>
        <w:trPr>
          <w:trHeight w:val="300" w:hRule="atLeast"/>
        </w:trPr>
        <w:tc>
          <w:tcPr>
            <w:tcW w:w="968" w:type="dxa"/>
            <w:tcBorders>
              <w:top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color w:val="000000" w:themeColor="text1"/>
                <w:lang w:val="en-GB" w:eastAsia="de-DE"/>
              </w:rPr>
            </w:pPr>
            <w:r>
              <w:rPr>
                <w:rFonts w:cs="Calibri"/>
                <w:b/>
                <w:bCs/>
                <w:color w:val="000000" w:themeColor="text1"/>
                <w:lang w:val="en-GB" w:eastAsia="de-DE"/>
              </w:rPr>
            </w:r>
          </w:p>
        </w:tc>
        <w:tc>
          <w:tcPr>
            <w:tcW w:w="933"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00" w:themeColor="text1"/>
                <w:lang w:val="en-GB" w:eastAsia="de-DE"/>
              </w:rPr>
            </w:pPr>
            <w:r>
              <w:rPr>
                <w:rFonts w:cs="Calibri"/>
                <w:b/>
                <w:color w:val="000000" w:themeColor="text1"/>
                <w:lang w:val="en-GB" w:eastAsia="de-DE"/>
              </w:rPr>
            </w:r>
          </w:p>
        </w:tc>
        <w:tc>
          <w:tcPr>
            <w:tcW w:w="1301"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r>
          </w:p>
        </w:tc>
        <w:tc>
          <w:tcPr>
            <w:tcW w:w="772"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color w:val="000000" w:themeColor="text1"/>
                <w:lang w:val="de-DE" w:eastAsia="de-DE"/>
              </w:rPr>
            </w:pPr>
            <w:r>
              <w:rPr>
                <w:rFonts w:cs="Calibri"/>
                <w:b/>
                <w:bCs/>
                <w:color w:val="000000" w:themeColor="text1"/>
                <w:lang w:val="de-DE" w:eastAsia="de-DE"/>
              </w:rPr>
              <w:t>9</w:t>
            </w:r>
          </w:p>
        </w:tc>
        <w:tc>
          <w:tcPr>
            <w:tcW w:w="5245" w:type="dxa"/>
            <w:tcBorders>
              <w:top w:val="single" w:sz="4" w:space="0" w:color="000000"/>
              <w:left w:val="single" w:sz="4" w:space="0" w:color="000000"/>
            </w:tcBorders>
            <w:shd w:color="auto" w:fill="FFFFFF" w:themeFill="background1" w:val="clear"/>
            <w:vAlign w:val="center"/>
          </w:tcPr>
          <w:p>
            <w:pPr>
              <w:pStyle w:val="Normal"/>
              <w:widowControl w:val="false"/>
              <w:spacing w:before="0" w:after="0"/>
              <w:jc w:val="left"/>
              <w:rPr>
                <w:rFonts w:ascii="Calibri" w:hAnsi="Calibri" w:cs="Calibri"/>
                <w:b/>
                <w:b/>
                <w:color w:val="000000" w:themeColor="text1"/>
                <w:lang w:val="de-DE" w:eastAsia="de-DE"/>
              </w:rPr>
            </w:pPr>
            <w:r>
              <w:rPr>
                <w:rFonts w:cs="Calibri"/>
                <w:b/>
                <w:color w:val="000000" w:themeColor="text1"/>
                <w:lang w:val="de-DE" w:eastAsia="de-DE"/>
              </w:rPr>
              <w:t>Total - T5.4</w:t>
            </w:r>
          </w:p>
        </w:tc>
      </w:tr>
    </w:tbl>
    <w:p>
      <w:pPr>
        <w:pStyle w:val="Normal"/>
        <w:rPr>
          <w:rFonts w:cs="Arial"/>
          <w:szCs w:val="20"/>
          <w:lang w:val="en-GB"/>
        </w:rPr>
      </w:pPr>
      <w:r>
        <w:rPr>
          <w:rFonts w:cs="Arial"/>
          <w:szCs w:val="20"/>
          <w:lang w:val="en-GB"/>
        </w:rPr>
      </w:r>
    </w:p>
    <w:p>
      <w:pPr>
        <w:pStyle w:val="Normal"/>
        <w:rPr>
          <w:rFonts w:cs="Arial"/>
          <w:szCs w:val="20"/>
          <w:lang w:val="en-GB"/>
        </w:rPr>
      </w:pPr>
      <w:bookmarkStart w:id="25" w:name="_Hlk65172225"/>
      <w:r>
        <w:rPr>
          <w:rFonts w:cs="Arial"/>
          <w:szCs w:val="20"/>
          <w:lang w:val="en-GB"/>
        </w:rPr>
        <w:t>In the context of T5.1 and 5.2 dialogues and WP4 dialogues, elements for a LEAP-RE governance and stakeholder interactions model will be developed and analysed, to design a draft long-term meta-governance and coordination model for the envisaged LEAP-RE Platform. Dedicated sessions in LEAP-RE events, together with the dialogues organised under T5.2, and regular exchanges, discussions and validation with the PMB, will allow to collect stakeholders’ views on the long-term partnership and ambition. The envisaged meta-governance and coordination model will be developed in a working document in progress, during the project period, and will address the following issues:</w:t>
      </w:r>
      <w:bookmarkEnd w:id="25"/>
    </w:p>
    <w:p>
      <w:pPr>
        <w:pStyle w:val="ListParagraph"/>
        <w:numPr>
          <w:ilvl w:val="0"/>
          <w:numId w:val="3"/>
        </w:numPr>
        <w:jc w:val="left"/>
        <w:rPr>
          <w:color w:val="000000" w:themeColor="text1"/>
          <w:szCs w:val="20"/>
          <w:lang w:val="en-GB"/>
        </w:rPr>
      </w:pPr>
      <w:r>
        <w:rPr>
          <w:color w:val="000000" w:themeColor="text1"/>
          <w:szCs w:val="20"/>
          <w:lang w:val="en-GB"/>
        </w:rPr>
        <w:t>Document and analyse aspects of stakeholders’ strategic requirements for the future</w:t>
      </w:r>
    </w:p>
    <w:p>
      <w:pPr>
        <w:pStyle w:val="ListParagraph"/>
        <w:numPr>
          <w:ilvl w:val="0"/>
          <w:numId w:val="3"/>
        </w:numPr>
        <w:jc w:val="left"/>
        <w:rPr>
          <w:color w:val="000000" w:themeColor="text1"/>
          <w:szCs w:val="20"/>
          <w:lang w:val="en-GB"/>
        </w:rPr>
      </w:pPr>
      <w:r>
        <w:rPr>
          <w:color w:val="000000" w:themeColor="text1"/>
          <w:szCs w:val="20"/>
          <w:lang w:val="en-GB"/>
        </w:rPr>
        <w:t xml:space="preserve">Strategic learning in the context of </w:t>
      </w:r>
    </w:p>
    <w:p>
      <w:pPr>
        <w:pStyle w:val="ListParagraph"/>
        <w:numPr>
          <w:ilvl w:val="0"/>
          <w:numId w:val="4"/>
        </w:numPr>
        <w:jc w:val="left"/>
        <w:rPr>
          <w:color w:val="000000" w:themeColor="text1"/>
          <w:szCs w:val="20"/>
          <w:lang w:val="en-GB"/>
        </w:rPr>
      </w:pPr>
      <w:r>
        <w:rPr>
          <w:color w:val="000000" w:themeColor="text1"/>
          <w:szCs w:val="20"/>
          <w:lang w:val="en-GB"/>
        </w:rPr>
        <w:t>the MEL concept and activities, and in particular with reference to the UN SDGs, the Agenda 2063, the European Green Deal and other corresponding AU-EU agendas</w:t>
      </w:r>
    </w:p>
    <w:p>
      <w:pPr>
        <w:pStyle w:val="ListParagraph"/>
        <w:numPr>
          <w:ilvl w:val="0"/>
          <w:numId w:val="4"/>
        </w:numPr>
        <w:jc w:val="left"/>
        <w:rPr>
          <w:color w:val="000000" w:themeColor="text1"/>
          <w:szCs w:val="20"/>
          <w:lang w:val="en-GB"/>
        </w:rPr>
      </w:pPr>
      <w:r>
        <w:rPr>
          <w:color w:val="000000" w:themeColor="text1"/>
          <w:szCs w:val="20"/>
          <w:lang w:val="en-GB"/>
        </w:rPr>
        <w:t>dialogues with high-level decision makers (representatives of member states), other initiatives and funders about gaps and practices in the collaboration on R&amp;I and capacity building in RE</w:t>
      </w:r>
    </w:p>
    <w:p>
      <w:pPr>
        <w:pStyle w:val="ListParagraph"/>
        <w:numPr>
          <w:ilvl w:val="0"/>
          <w:numId w:val="4"/>
        </w:numPr>
        <w:jc w:val="left"/>
        <w:rPr>
          <w:color w:val="000000" w:themeColor="text1"/>
          <w:szCs w:val="20"/>
          <w:lang w:val="en-GB"/>
        </w:rPr>
      </w:pPr>
      <w:r>
        <w:rPr>
          <w:color w:val="000000" w:themeColor="text1"/>
          <w:szCs w:val="20"/>
          <w:lang w:val="en-GB"/>
        </w:rPr>
        <w:t>the application of TCIPs/MARs and potential gaps in the existing ones</w:t>
      </w:r>
    </w:p>
    <w:p>
      <w:pPr>
        <w:pStyle w:val="ListParagraph"/>
        <w:numPr>
          <w:ilvl w:val="0"/>
          <w:numId w:val="3"/>
        </w:numPr>
        <w:jc w:val="left"/>
        <w:rPr>
          <w:color w:val="000000" w:themeColor="text1"/>
          <w:szCs w:val="20"/>
          <w:lang w:val="en-GB"/>
        </w:rPr>
      </w:pPr>
      <w:r>
        <w:rPr>
          <w:color w:val="000000" w:themeColor="text1"/>
          <w:szCs w:val="20"/>
          <w:lang w:val="en-GB"/>
        </w:rPr>
        <w:t>Strategic ambition of future partnership</w:t>
      </w:r>
    </w:p>
    <w:p>
      <w:pPr>
        <w:pStyle w:val="ListParagraph"/>
        <w:numPr>
          <w:ilvl w:val="0"/>
          <w:numId w:val="4"/>
        </w:numPr>
        <w:jc w:val="left"/>
        <w:rPr>
          <w:color w:val="000000" w:themeColor="text1"/>
          <w:szCs w:val="20"/>
          <w:lang w:val="en-GB"/>
        </w:rPr>
      </w:pPr>
      <w:r>
        <w:rPr>
          <w:color w:val="000000" w:themeColor="text1"/>
          <w:szCs w:val="20"/>
          <w:lang w:val="en-GB"/>
        </w:rPr>
        <w:t>Formulate a strategic ambition of the partnership based on stakeholder requirements for the future</w:t>
      </w:r>
    </w:p>
    <w:p>
      <w:pPr>
        <w:pStyle w:val="ListParagraph"/>
        <w:numPr>
          <w:ilvl w:val="0"/>
          <w:numId w:val="4"/>
        </w:numPr>
        <w:jc w:val="left"/>
        <w:rPr>
          <w:rFonts w:cs="Arial"/>
          <w:szCs w:val="20"/>
          <w:lang w:val="en-GB"/>
        </w:rPr>
      </w:pPr>
      <w:r>
        <w:rPr>
          <w:color w:val="000000" w:themeColor="text1"/>
          <w:szCs w:val="20"/>
          <w:lang w:val="en-GB"/>
        </w:rPr>
        <w:t>Integrate institutional/infrastructural considerations of international institutions and initiatives engaged in T 5.2.</w:t>
      </w:r>
    </w:p>
    <w:p>
      <w:pPr>
        <w:pStyle w:val="Heading2"/>
        <w:rPr/>
      </w:pPr>
      <w:bookmarkStart w:id="26" w:name="_Toc64621547"/>
      <w:r>
        <w:rPr/>
        <w:t>Deliverables</w:t>
      </w:r>
      <w:bookmarkEnd w:id="26"/>
    </w:p>
    <w:tbl>
      <w:tblPr>
        <w:tblW w:w="1020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663"/>
        <w:gridCol w:w="1130"/>
        <w:gridCol w:w="5305"/>
        <w:gridCol w:w="1414"/>
        <w:gridCol w:w="1694"/>
      </w:tblGrid>
      <w:tr>
        <w:trPr>
          <w:tblHeader w:val="true"/>
        </w:trPr>
        <w:tc>
          <w:tcPr>
            <w:tcW w:w="663" w:type="dxa"/>
            <w:tcBorders>
              <w:top w:val="single" w:sz="4" w:space="0" w:color="000000"/>
              <w:bottom w:val="single" w:sz="4" w:space="0" w:color="4472C4"/>
            </w:tcBorders>
            <w:shd w:color="auto" w:fill="F2F2F2" w:themeFill="background1" w:themeFillShade="f2" w:val="clear"/>
            <w:vAlign w:val="center"/>
          </w:tcPr>
          <w:p>
            <w:pPr>
              <w:pStyle w:val="Normal"/>
              <w:widowControl w:val="false"/>
              <w:spacing w:lineRule="atLeast" w:line="260" w:before="60" w:after="60"/>
              <w:jc w:val="center"/>
              <w:rPr>
                <w:rFonts w:cs="Arial"/>
                <w:b/>
                <w:b/>
                <w:bCs/>
                <w:szCs w:val="20"/>
                <w:lang w:val="en-GB"/>
              </w:rPr>
            </w:pPr>
            <w:r>
              <w:rPr>
                <w:rFonts w:cs="Arial"/>
                <w:b/>
                <w:bCs/>
                <w:color w:val="003399"/>
                <w:szCs w:val="20"/>
                <w:lang w:val="en-GB"/>
              </w:rPr>
              <w:t>Year</w:t>
            </w:r>
          </w:p>
        </w:tc>
        <w:tc>
          <w:tcPr>
            <w:tcW w:w="1130"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Number</w:t>
            </w:r>
          </w:p>
        </w:tc>
        <w:tc>
          <w:tcPr>
            <w:tcW w:w="5305"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Title</w:t>
            </w:r>
          </w:p>
        </w:tc>
        <w:tc>
          <w:tcPr>
            <w:tcW w:w="1414"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center"/>
              <w:rPr>
                <w:rFonts w:cs="Arial"/>
                <w:b/>
                <w:b/>
                <w:bCs/>
                <w:szCs w:val="20"/>
                <w:lang w:val="en-GB"/>
              </w:rPr>
            </w:pPr>
            <w:r>
              <w:rPr>
                <w:rFonts w:cs="Arial"/>
                <w:b/>
                <w:bCs/>
                <w:color w:val="003399"/>
                <w:szCs w:val="20"/>
                <w:lang w:val="en-GB"/>
              </w:rPr>
              <w:t>Due Date</w:t>
            </w:r>
          </w:p>
        </w:tc>
        <w:tc>
          <w:tcPr>
            <w:tcW w:w="1694"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Responsible</w:t>
            </w:r>
          </w:p>
        </w:tc>
      </w:tr>
      <w:tr>
        <w:trPr/>
        <w:tc>
          <w:tcPr>
            <w:tcW w:w="663" w:type="dxa"/>
            <w:vMerge w:val="restart"/>
            <w:tcBorders>
              <w:top w:val="single" w:sz="4" w:space="0" w:color="4472C4"/>
              <w:bottom w:val="single" w:sz="4" w:space="0" w:color="000000"/>
            </w:tcBorders>
            <w:vAlign w:val="center"/>
          </w:tcPr>
          <w:p>
            <w:pPr>
              <w:pStyle w:val="Normal"/>
              <w:widowControl w:val="false"/>
              <w:spacing w:before="60" w:after="60"/>
              <w:jc w:val="center"/>
              <w:rPr>
                <w:rFonts w:cs="Arial"/>
                <w:b/>
                <w:b/>
                <w:bCs/>
                <w:szCs w:val="20"/>
                <w:lang w:val="en-GB"/>
              </w:rPr>
            </w:pPr>
            <w:r>
              <w:rPr>
                <w:rFonts w:cs="Arial"/>
                <w:b/>
                <w:bCs/>
                <w:color w:val="003399"/>
                <w:szCs w:val="20"/>
                <w:lang w:val="en-GB"/>
              </w:rPr>
              <w:t>2021</w:t>
            </w:r>
          </w:p>
        </w:tc>
        <w:tc>
          <w:tcPr>
            <w:tcW w:w="1130" w:type="dxa"/>
            <w:tcBorders>
              <w:top w:val="single" w:sz="4" w:space="0" w:color="4472C4"/>
              <w:bottom w:val="single" w:sz="4" w:space="0" w:color="4472C4"/>
            </w:tcBorders>
          </w:tcPr>
          <w:p>
            <w:pPr>
              <w:pStyle w:val="Normal"/>
              <w:widowControl w:val="false"/>
              <w:spacing w:before="60" w:after="60"/>
              <w:jc w:val="left"/>
              <w:rPr>
                <w:rFonts w:cs="Arial"/>
                <w:b/>
                <w:b/>
                <w:szCs w:val="20"/>
                <w:lang w:val="en-GB"/>
              </w:rPr>
            </w:pPr>
            <w:r>
              <w:rPr>
                <w:rFonts w:cs="Arial"/>
                <w:b/>
                <w:bCs/>
                <w:szCs w:val="20"/>
                <w:lang w:val="en-GB"/>
              </w:rPr>
              <w:t>D5.1</w:t>
            </w:r>
          </w:p>
        </w:tc>
        <w:tc>
          <w:tcPr>
            <w:tcW w:w="530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Theory of Change, M&amp;E Approach and MEL Plan</w:t>
            </w:r>
          </w:p>
        </w:tc>
        <w:tc>
          <w:tcPr>
            <w:tcW w:w="1414"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commentRangeStart w:id="10"/>
            <w:r>
              <w:rPr>
                <w:rFonts w:cs="Arial"/>
                <w:szCs w:val="20"/>
                <w:lang w:val="en-GB"/>
              </w:rPr>
              <w:t>M9</w:t>
            </w:r>
          </w:p>
          <w:p>
            <w:pPr>
              <w:pStyle w:val="Normal"/>
              <w:widowControl w:val="false"/>
              <w:spacing w:before="60" w:after="60"/>
              <w:jc w:val="center"/>
              <w:rPr>
                <w:rFonts w:cs="Arial"/>
                <w:b/>
                <w:b/>
                <w:color w:val="003399"/>
                <w:szCs w:val="20"/>
                <w:lang w:val="en-GB"/>
              </w:rPr>
            </w:pPr>
            <w:r>
              <w:rPr>
                <w:rFonts w:cs="Arial"/>
                <w:b/>
                <w:color w:val="003399"/>
                <w:szCs w:val="20"/>
                <w:lang w:val="en-GB"/>
              </w:rPr>
              <w:t>Jun. 2021</w:t>
            </w:r>
            <w:commentRangeEnd w:id="10"/>
            <w:r>
              <w:commentReference w:id="10"/>
            </w:r>
            <w:r>
              <w:rPr>
                <w:rFonts w:cs="Arial"/>
                <w:b/>
                <w:color w:val="003399"/>
                <w:szCs w:val="20"/>
                <w:lang w:val="en-GB"/>
              </w:rPr>
            </w:r>
          </w:p>
        </w:tc>
        <w:tc>
          <w:tcPr>
            <w:tcW w:w="1694" w:type="dxa"/>
            <w:tcBorders>
              <w:top w:val="single" w:sz="4" w:space="0" w:color="4472C4"/>
              <w:bottom w:val="single" w:sz="4" w:space="0" w:color="4472C4"/>
            </w:tcBorders>
          </w:tcPr>
          <w:p>
            <w:pPr>
              <w:pStyle w:val="Normal"/>
              <w:widowControl w:val="false"/>
              <w:spacing w:before="60" w:after="60"/>
              <w:jc w:val="left"/>
              <w:rPr>
                <w:rFonts w:cs="Arial"/>
                <w:szCs w:val="20"/>
                <w:lang w:val="en-GB"/>
              </w:rPr>
            </w:pPr>
            <w:r>
              <w:rPr>
                <w:rFonts w:cs="Arial"/>
                <w:szCs w:val="20"/>
                <w:lang w:val="en-GB"/>
              </w:rPr>
              <w:t xml:space="preserve">SU – </w:t>
            </w:r>
            <w:r>
              <w:rPr/>
              <w:t>Anne W. Wambugu</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D5.8</w:t>
            </w:r>
          </w:p>
        </w:tc>
        <w:tc>
          <w:tcPr>
            <w:tcW w:w="530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Report on the analysis about R&amp;I capacities in Africa</w:t>
            </w:r>
          </w:p>
        </w:tc>
        <w:tc>
          <w:tcPr>
            <w:tcW w:w="1414"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M15</w:t>
            </w:r>
          </w:p>
          <w:p>
            <w:pPr>
              <w:pStyle w:val="Normal"/>
              <w:widowControl w:val="false"/>
              <w:spacing w:before="60" w:after="60"/>
              <w:jc w:val="center"/>
              <w:rPr>
                <w:rFonts w:cs="Arial"/>
                <w:szCs w:val="20"/>
                <w:lang w:val="en-GB"/>
              </w:rPr>
            </w:pPr>
            <w:r>
              <w:rPr>
                <w:rFonts w:cs="Arial"/>
                <w:b/>
                <w:color w:val="003399"/>
                <w:szCs w:val="20"/>
                <w:lang w:val="en-GB"/>
              </w:rPr>
              <w:t>Dec. 2021</w:t>
            </w:r>
          </w:p>
        </w:tc>
        <w:tc>
          <w:tcPr>
            <w:tcW w:w="1694"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 xml:space="preserve">MESRS – </w:t>
            </w:r>
            <w:r>
              <w:rPr/>
              <w:t>Mokthar Sellami</w:t>
            </w:r>
          </w:p>
        </w:tc>
      </w:tr>
      <w:tr>
        <w:trPr/>
        <w:tc>
          <w:tcPr>
            <w:tcW w:w="663" w:type="dxa"/>
            <w:vMerge w:val="restart"/>
            <w:tcBorders>
              <w:top w:val="single" w:sz="4" w:space="0" w:color="4472C4"/>
              <w:bottom w:val="single" w:sz="4" w:space="0" w:color="000000"/>
            </w:tcBorders>
            <w:shd w:color="auto" w:fill="F2F2F2" w:themeFill="background1" w:themeFillShade="f2" w:val="clear"/>
            <w:vAlign w:val="center"/>
          </w:tcPr>
          <w:p>
            <w:pPr>
              <w:pStyle w:val="Normal"/>
              <w:widowControl w:val="false"/>
              <w:spacing w:before="60" w:after="60"/>
              <w:jc w:val="center"/>
              <w:rPr>
                <w:rFonts w:cs="Arial"/>
                <w:b/>
                <w:b/>
                <w:bCs/>
                <w:szCs w:val="20"/>
                <w:lang w:val="en-GB"/>
              </w:rPr>
            </w:pPr>
            <w:r>
              <w:rPr>
                <w:rFonts w:cs="Arial"/>
                <w:b/>
                <w:bCs/>
                <w:color w:val="003399"/>
                <w:szCs w:val="20"/>
                <w:lang w:val="en-GB"/>
              </w:rPr>
              <w:t>2024</w:t>
            </w:r>
          </w:p>
        </w:tc>
        <w:tc>
          <w:tcPr>
            <w:tcW w:w="1130"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b/>
                <w:b/>
                <w:bCs/>
                <w:szCs w:val="20"/>
                <w:lang w:val="en-GB"/>
              </w:rPr>
            </w:pPr>
            <w:r>
              <w:rPr>
                <w:rFonts w:cs="Arial"/>
                <w:b/>
                <w:bCs/>
                <w:szCs w:val="20"/>
                <w:lang w:val="en-GB"/>
              </w:rPr>
              <w:t>D5.5</w:t>
            </w:r>
          </w:p>
        </w:tc>
        <w:tc>
          <w:tcPr>
            <w:tcW w:w="5305"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highlight w:val="yellow"/>
                <w:lang w:val="en-GB"/>
              </w:rPr>
            </w:pPr>
            <w:r>
              <w:rPr/>
              <w:t>Research briefs based on Pillar 1 and Pillar 2 results for dialogue with external policy and stakeholder partner</w:t>
            </w:r>
          </w:p>
        </w:tc>
        <w:tc>
          <w:tcPr>
            <w:tcW w:w="1414"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center"/>
              <w:rPr>
                <w:rFonts w:cs="Arial"/>
                <w:szCs w:val="20"/>
                <w:lang w:val="en-GB"/>
              </w:rPr>
            </w:pPr>
            <w:r>
              <w:rPr>
                <w:rFonts w:cs="Arial"/>
                <w:szCs w:val="20"/>
                <w:lang w:val="en-GB"/>
              </w:rPr>
              <w:t>M40</w:t>
            </w:r>
          </w:p>
          <w:p>
            <w:pPr>
              <w:pStyle w:val="Normal"/>
              <w:widowControl w:val="false"/>
              <w:spacing w:before="60" w:after="60"/>
              <w:jc w:val="center"/>
              <w:rPr>
                <w:rFonts w:cs="Arial"/>
                <w:szCs w:val="20"/>
                <w:lang w:val="en-GB"/>
              </w:rPr>
            </w:pPr>
            <w:r>
              <w:rPr>
                <w:rFonts w:cs="Arial"/>
                <w:b/>
                <w:color w:val="003399"/>
                <w:szCs w:val="20"/>
                <w:lang w:val="en-GB"/>
              </w:rPr>
              <w:t>Jan. 2024</w:t>
            </w:r>
          </w:p>
        </w:tc>
        <w:tc>
          <w:tcPr>
            <w:tcW w:w="1694"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highlight w:val="yellow"/>
                <w:lang w:val="en-GB"/>
              </w:rPr>
            </w:pPr>
            <w:r>
              <w:rPr>
                <w:rFonts w:cs="Arial"/>
                <w:szCs w:val="20"/>
                <w:lang w:val="en-GB"/>
              </w:rPr>
              <w:t>PAUWES – Erick Tambo</w:t>
            </w:r>
          </w:p>
        </w:tc>
      </w:tr>
      <w:tr>
        <w:trPr/>
        <w:tc>
          <w:tcPr>
            <w:tcW w:w="663" w:type="dxa"/>
            <w:vMerge w:val="continue"/>
            <w:tcBorders>
              <w:top w:val="single" w:sz="4" w:space="0" w:color="4472C4"/>
              <w:bottom w:val="single" w:sz="4" w:space="0" w:color="000000"/>
            </w:tcBorders>
            <w:shd w:color="auto" w:fill="F2F2F2" w:themeFill="background1" w:themeFillShade="f2" w:val="clear"/>
            <w:vAlign w:val="center"/>
          </w:tcPr>
          <w:p>
            <w:pPr>
              <w:pStyle w:val="Normal"/>
              <w:widowControl w:val="false"/>
              <w:spacing w:before="60" w:after="60"/>
              <w:jc w:val="center"/>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b/>
                <w:b/>
                <w:bCs/>
                <w:szCs w:val="20"/>
                <w:lang w:val="en-GB"/>
              </w:rPr>
            </w:pPr>
            <w:r>
              <w:rPr>
                <w:rFonts w:cs="Arial"/>
                <w:b/>
                <w:bCs/>
                <w:szCs w:val="20"/>
                <w:lang w:val="en-GB"/>
              </w:rPr>
              <w:t>D5.4</w:t>
            </w:r>
          </w:p>
        </w:tc>
        <w:tc>
          <w:tcPr>
            <w:tcW w:w="5305"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highlight w:val="yellow"/>
                <w:lang w:val="en-GB"/>
              </w:rPr>
            </w:pPr>
            <w:r>
              <w:rPr/>
              <w:t>Proceedings of round tables for research uptake</w:t>
            </w:r>
          </w:p>
        </w:tc>
        <w:tc>
          <w:tcPr>
            <w:tcW w:w="1414"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center"/>
              <w:rPr>
                <w:rFonts w:cs="Arial"/>
                <w:szCs w:val="20"/>
                <w:lang w:val="en-GB"/>
              </w:rPr>
            </w:pPr>
            <w:r>
              <w:rPr>
                <w:rFonts w:cs="Arial"/>
                <w:szCs w:val="20"/>
                <w:lang w:val="en-GB"/>
              </w:rPr>
              <w:t>M43</w:t>
            </w:r>
          </w:p>
          <w:p>
            <w:pPr>
              <w:pStyle w:val="Normal"/>
              <w:widowControl w:val="false"/>
              <w:spacing w:before="60" w:after="60"/>
              <w:jc w:val="center"/>
              <w:rPr>
                <w:rFonts w:cs="Arial"/>
                <w:szCs w:val="20"/>
                <w:lang w:val="en-GB"/>
              </w:rPr>
            </w:pPr>
            <w:r>
              <w:rPr>
                <w:rFonts w:cs="Arial"/>
                <w:b/>
                <w:color w:val="003399"/>
                <w:szCs w:val="20"/>
                <w:lang w:val="en-GB"/>
              </w:rPr>
              <w:t>Apr. 2024</w:t>
            </w:r>
          </w:p>
        </w:tc>
        <w:tc>
          <w:tcPr>
            <w:tcW w:w="1694"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highlight w:val="yellow"/>
                <w:lang w:val="en-GB"/>
              </w:rPr>
            </w:pPr>
            <w:r>
              <w:rPr>
                <w:rFonts w:cs="Arial"/>
                <w:szCs w:val="20"/>
                <w:lang w:val="en-GB"/>
              </w:rPr>
              <w:t>PAUWES – Erick Tambo</w:t>
            </w:r>
          </w:p>
        </w:tc>
      </w:tr>
      <w:tr>
        <w:trPr/>
        <w:tc>
          <w:tcPr>
            <w:tcW w:w="663" w:type="dxa"/>
            <w:vMerge w:val="continue"/>
            <w:tcBorders>
              <w:top w:val="single" w:sz="4" w:space="0" w:color="4472C4"/>
              <w:bottom w:val="single" w:sz="4" w:space="0" w:color="000000"/>
            </w:tcBorders>
            <w:shd w:color="auto" w:fill="F2F2F2" w:themeFill="background1" w:themeFillShade="f2" w:val="clear"/>
            <w:vAlign w:val="center"/>
          </w:tcPr>
          <w:p>
            <w:pPr>
              <w:pStyle w:val="Normal"/>
              <w:widowControl w:val="false"/>
              <w:spacing w:before="60" w:after="60"/>
              <w:jc w:val="center"/>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b/>
                <w:b/>
                <w:bCs/>
                <w:szCs w:val="20"/>
                <w:lang w:val="en-GB"/>
              </w:rPr>
            </w:pPr>
            <w:r>
              <w:rPr>
                <w:rFonts w:cs="Arial"/>
                <w:b/>
                <w:bCs/>
                <w:szCs w:val="20"/>
                <w:lang w:val="en-GB"/>
              </w:rPr>
              <w:t>D5.11</w:t>
            </w:r>
          </w:p>
        </w:tc>
        <w:tc>
          <w:tcPr>
            <w:tcW w:w="5305"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pPr>
            <w:r>
              <w:rPr/>
              <w:t>Strategy design workshop for the future platform and documentation of lessons learned from external actors</w:t>
            </w:r>
          </w:p>
        </w:tc>
        <w:tc>
          <w:tcPr>
            <w:tcW w:w="1414"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center"/>
              <w:rPr>
                <w:rFonts w:cs="Arial"/>
                <w:szCs w:val="20"/>
                <w:lang w:val="en-GB"/>
              </w:rPr>
            </w:pPr>
            <w:r>
              <w:rPr>
                <w:rFonts w:cs="Arial"/>
                <w:szCs w:val="20"/>
                <w:lang w:val="en-GB"/>
              </w:rPr>
              <w:t>M50</w:t>
            </w:r>
          </w:p>
          <w:p>
            <w:pPr>
              <w:pStyle w:val="Normal"/>
              <w:widowControl w:val="false"/>
              <w:spacing w:before="60" w:after="60"/>
              <w:jc w:val="center"/>
              <w:rPr>
                <w:rFonts w:cs="Arial"/>
                <w:szCs w:val="20"/>
                <w:lang w:val="en-GB"/>
              </w:rPr>
            </w:pPr>
            <w:r>
              <w:rPr>
                <w:rFonts w:cs="Arial"/>
                <w:b/>
                <w:color w:val="003399"/>
                <w:szCs w:val="20"/>
                <w:lang w:val="en-GB"/>
              </w:rPr>
              <w:t>Nov. 2024</w:t>
            </w:r>
          </w:p>
        </w:tc>
        <w:tc>
          <w:tcPr>
            <w:tcW w:w="1694"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lang w:val="en-GB"/>
              </w:rPr>
            </w:pPr>
            <w:r>
              <w:rPr>
                <w:rFonts w:cs="Arial"/>
                <w:szCs w:val="20"/>
                <w:lang w:val="en-GB"/>
              </w:rPr>
              <w:t>DLR – Stefan A. Haffner</w:t>
            </w:r>
          </w:p>
        </w:tc>
      </w:tr>
      <w:tr>
        <w:trPr/>
        <w:tc>
          <w:tcPr>
            <w:tcW w:w="663" w:type="dxa"/>
            <w:vMerge w:val="restart"/>
            <w:tcBorders>
              <w:top w:val="single" w:sz="4" w:space="0" w:color="4472C4"/>
              <w:bottom w:val="single" w:sz="4" w:space="0" w:color="000000"/>
            </w:tcBorders>
            <w:vAlign w:val="center"/>
          </w:tcPr>
          <w:p>
            <w:pPr>
              <w:pStyle w:val="Normal"/>
              <w:widowControl w:val="false"/>
              <w:spacing w:before="60" w:after="60"/>
              <w:jc w:val="center"/>
              <w:rPr>
                <w:rFonts w:cs="Arial"/>
                <w:b/>
                <w:b/>
                <w:bCs/>
                <w:szCs w:val="20"/>
                <w:lang w:val="en-GB"/>
              </w:rPr>
            </w:pPr>
            <w:r>
              <w:rPr>
                <w:rFonts w:cs="Arial"/>
                <w:b/>
                <w:bCs/>
                <w:color w:val="003399"/>
                <w:szCs w:val="20"/>
                <w:lang w:val="en-GB"/>
              </w:rPr>
              <w:t>2025</w:t>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D5.2</w:t>
            </w:r>
          </w:p>
        </w:tc>
        <w:tc>
          <w:tcPr>
            <w:tcW w:w="530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Report on Monitoring</w:t>
            </w:r>
          </w:p>
        </w:tc>
        <w:tc>
          <w:tcPr>
            <w:tcW w:w="1414"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M53</w:t>
            </w:r>
          </w:p>
          <w:p>
            <w:pPr>
              <w:pStyle w:val="Normal"/>
              <w:widowControl w:val="false"/>
              <w:spacing w:before="60" w:after="60"/>
              <w:jc w:val="center"/>
              <w:rPr>
                <w:rFonts w:cs="Arial"/>
                <w:szCs w:val="20"/>
                <w:lang w:val="en-GB"/>
              </w:rPr>
            </w:pPr>
            <w:r>
              <w:rPr>
                <w:rFonts w:cs="Arial"/>
                <w:b/>
                <w:color w:val="003399"/>
                <w:szCs w:val="20"/>
                <w:lang w:val="en-GB"/>
              </w:rPr>
              <w:t>Feb. 2025</w:t>
            </w:r>
          </w:p>
        </w:tc>
        <w:tc>
          <w:tcPr>
            <w:tcW w:w="1694" w:type="dxa"/>
            <w:tcBorders>
              <w:top w:val="single" w:sz="4" w:space="0" w:color="4472C4"/>
              <w:bottom w:val="single" w:sz="4" w:space="0" w:color="4472C4"/>
            </w:tcBorders>
          </w:tcPr>
          <w:p>
            <w:pPr>
              <w:pStyle w:val="Normal"/>
              <w:widowControl w:val="false"/>
              <w:spacing w:before="60" w:after="60"/>
              <w:jc w:val="left"/>
              <w:rPr>
                <w:rFonts w:cs="Arial"/>
                <w:szCs w:val="20"/>
                <w:lang w:val="en-GB"/>
              </w:rPr>
            </w:pPr>
            <w:r>
              <w:rPr>
                <w:rFonts w:cs="Arial"/>
                <w:szCs w:val="20"/>
                <w:lang w:val="en-GB"/>
              </w:rPr>
              <w:t xml:space="preserve">SU - </w:t>
            </w:r>
            <w:r>
              <w:rPr/>
              <w:t>Anne W. Wambugu</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D5.6</w:t>
            </w:r>
          </w:p>
        </w:tc>
        <w:tc>
          <w:tcPr>
            <w:tcW w:w="530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Funding opportunities to enhance additional activities</w:t>
            </w:r>
          </w:p>
        </w:tc>
        <w:tc>
          <w:tcPr>
            <w:tcW w:w="1414"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M53</w:t>
            </w:r>
          </w:p>
          <w:p>
            <w:pPr>
              <w:pStyle w:val="Normal"/>
              <w:widowControl w:val="false"/>
              <w:spacing w:before="60" w:after="60"/>
              <w:jc w:val="center"/>
              <w:rPr>
                <w:rFonts w:cs="Arial"/>
                <w:szCs w:val="20"/>
                <w:lang w:val="en-GB"/>
              </w:rPr>
            </w:pPr>
            <w:r>
              <w:rPr>
                <w:rFonts w:cs="Arial"/>
                <w:b/>
                <w:color w:val="003399"/>
                <w:szCs w:val="20"/>
                <w:lang w:val="en-GB"/>
              </w:rPr>
              <w:t>Feb. 2025</w:t>
            </w:r>
          </w:p>
        </w:tc>
        <w:tc>
          <w:tcPr>
            <w:tcW w:w="1694"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PAUWES – Erick Tambo</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D5.7</w:t>
            </w:r>
          </w:p>
        </w:tc>
        <w:tc>
          <w:tcPr>
            <w:tcW w:w="530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List of new LEAP-RE community members</w:t>
            </w:r>
          </w:p>
        </w:tc>
        <w:tc>
          <w:tcPr>
            <w:tcW w:w="1414"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M53</w:t>
            </w:r>
          </w:p>
          <w:p>
            <w:pPr>
              <w:pStyle w:val="Normal"/>
              <w:widowControl w:val="false"/>
              <w:spacing w:before="60" w:after="60"/>
              <w:jc w:val="center"/>
              <w:rPr>
                <w:rFonts w:cs="Arial"/>
                <w:szCs w:val="20"/>
                <w:lang w:val="en-GB"/>
              </w:rPr>
            </w:pPr>
            <w:r>
              <w:rPr>
                <w:rFonts w:cs="Arial"/>
                <w:b/>
                <w:color w:val="003399"/>
                <w:szCs w:val="20"/>
                <w:lang w:val="en-GB"/>
              </w:rPr>
              <w:t>Feb. 2025</w:t>
            </w:r>
          </w:p>
        </w:tc>
        <w:tc>
          <w:tcPr>
            <w:tcW w:w="1694"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DLR - Stefan A. Haffner</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D5.10</w:t>
            </w:r>
          </w:p>
        </w:tc>
        <w:tc>
          <w:tcPr>
            <w:tcW w:w="530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Strategy guidelines and plan for the design of the long-term partnership</w:t>
            </w:r>
          </w:p>
        </w:tc>
        <w:tc>
          <w:tcPr>
            <w:tcW w:w="1414"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M53</w:t>
            </w:r>
          </w:p>
          <w:p>
            <w:pPr>
              <w:pStyle w:val="Normal"/>
              <w:widowControl w:val="false"/>
              <w:spacing w:before="60" w:after="60"/>
              <w:jc w:val="center"/>
              <w:rPr>
                <w:rFonts w:cs="Arial"/>
                <w:szCs w:val="20"/>
                <w:lang w:val="en-GB"/>
              </w:rPr>
            </w:pPr>
            <w:r>
              <w:rPr>
                <w:rFonts w:cs="Arial"/>
                <w:b/>
                <w:color w:val="003399"/>
                <w:szCs w:val="20"/>
                <w:lang w:val="en-GB"/>
              </w:rPr>
              <w:t>Feb. 2025</w:t>
            </w:r>
          </w:p>
        </w:tc>
        <w:tc>
          <w:tcPr>
            <w:tcW w:w="1694"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DLR – Stefan A. Haffner</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D5.9</w:t>
            </w:r>
          </w:p>
        </w:tc>
        <w:tc>
          <w:tcPr>
            <w:tcW w:w="530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Report about Twinning &amp; Teaming &amp; Pooling activities</w:t>
            </w:r>
          </w:p>
        </w:tc>
        <w:tc>
          <w:tcPr>
            <w:tcW w:w="1414"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M58</w:t>
            </w:r>
          </w:p>
          <w:p>
            <w:pPr>
              <w:pStyle w:val="Normal"/>
              <w:widowControl w:val="false"/>
              <w:spacing w:before="60" w:after="60"/>
              <w:jc w:val="center"/>
              <w:rPr>
                <w:rFonts w:cs="Arial"/>
                <w:szCs w:val="20"/>
                <w:lang w:val="en-GB"/>
              </w:rPr>
            </w:pPr>
            <w:r>
              <w:rPr>
                <w:rFonts w:cs="Arial"/>
                <w:b/>
                <w:color w:val="003399"/>
                <w:szCs w:val="20"/>
                <w:lang w:val="en-GB"/>
              </w:rPr>
              <w:t>Jul. 2025</w:t>
            </w:r>
          </w:p>
        </w:tc>
        <w:tc>
          <w:tcPr>
            <w:tcW w:w="1694"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 xml:space="preserve">MESRS – </w:t>
            </w:r>
            <w:r>
              <w:rPr/>
              <w:t>Mokthar Sellami</w:t>
            </w:r>
            <w:r>
              <w:rPr>
                <w:rFonts w:cs="Arial"/>
                <w:szCs w:val="20"/>
                <w:highlight w:val="yellow"/>
                <w:lang w:val="en-GB"/>
              </w:rPr>
              <w:t xml:space="preserve"> </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t>D5.3</w:t>
            </w:r>
          </w:p>
        </w:tc>
        <w:tc>
          <w:tcPr>
            <w:tcW w:w="5305" w:type="dxa"/>
            <w:tcBorders>
              <w:top w:val="single" w:sz="4" w:space="0" w:color="4472C4"/>
              <w:bottom w:val="single" w:sz="4" w:space="0" w:color="000000"/>
            </w:tcBorders>
          </w:tcPr>
          <w:p>
            <w:pPr>
              <w:pStyle w:val="Normal"/>
              <w:widowControl w:val="false"/>
              <w:spacing w:before="60" w:after="60"/>
              <w:jc w:val="left"/>
              <w:rPr>
                <w:rFonts w:cs="Arial"/>
                <w:szCs w:val="20"/>
                <w:highlight w:val="yellow"/>
                <w:lang w:val="en-GB"/>
              </w:rPr>
            </w:pPr>
            <w:r>
              <w:rPr/>
              <w:t>Report on Evaluation and Learning</w:t>
            </w:r>
          </w:p>
        </w:tc>
        <w:tc>
          <w:tcPr>
            <w:tcW w:w="1414" w:type="dxa"/>
            <w:tcBorders>
              <w:top w:val="single" w:sz="4" w:space="0" w:color="4472C4"/>
              <w:bottom w:val="single" w:sz="4" w:space="0" w:color="000000"/>
            </w:tcBorders>
          </w:tcPr>
          <w:p>
            <w:pPr>
              <w:pStyle w:val="Normal"/>
              <w:widowControl w:val="false"/>
              <w:spacing w:before="60" w:after="60"/>
              <w:jc w:val="center"/>
              <w:rPr>
                <w:rFonts w:cs="Arial"/>
                <w:szCs w:val="20"/>
                <w:lang w:val="en-GB"/>
              </w:rPr>
            </w:pPr>
            <w:r>
              <w:rPr>
                <w:rFonts w:cs="Arial"/>
                <w:szCs w:val="20"/>
                <w:lang w:val="en-GB"/>
              </w:rPr>
              <w:t>M61</w:t>
            </w:r>
          </w:p>
          <w:p>
            <w:pPr>
              <w:pStyle w:val="Normal"/>
              <w:widowControl w:val="false"/>
              <w:spacing w:before="60" w:after="60"/>
              <w:jc w:val="center"/>
              <w:rPr>
                <w:rFonts w:cs="Arial"/>
                <w:szCs w:val="20"/>
                <w:lang w:val="en-GB"/>
              </w:rPr>
            </w:pPr>
            <w:r>
              <w:rPr>
                <w:rFonts w:cs="Arial"/>
                <w:b/>
                <w:color w:val="003399"/>
                <w:szCs w:val="20"/>
                <w:lang w:val="en-GB"/>
              </w:rPr>
              <w:t>Oct. 2025</w:t>
            </w:r>
          </w:p>
        </w:tc>
        <w:tc>
          <w:tcPr>
            <w:tcW w:w="1694" w:type="dxa"/>
            <w:tcBorders>
              <w:top w:val="single" w:sz="4" w:space="0" w:color="4472C4"/>
              <w:bottom w:val="single" w:sz="4" w:space="0" w:color="000000"/>
            </w:tcBorders>
          </w:tcPr>
          <w:p>
            <w:pPr>
              <w:pStyle w:val="Normal"/>
              <w:widowControl w:val="false"/>
              <w:spacing w:before="60" w:after="60"/>
              <w:jc w:val="left"/>
              <w:rPr>
                <w:rFonts w:cs="Arial"/>
                <w:szCs w:val="20"/>
                <w:highlight w:val="yellow"/>
                <w:lang w:val="en-GB"/>
              </w:rPr>
            </w:pPr>
            <w:r>
              <w:rPr>
                <w:rFonts w:cs="Arial"/>
                <w:szCs w:val="20"/>
                <w:lang w:val="en-GB"/>
              </w:rPr>
              <w:t>UEFISCDI - Elena SIMION</w:t>
            </w:r>
          </w:p>
        </w:tc>
      </w:tr>
    </w:tbl>
    <w:p>
      <w:pPr>
        <w:pStyle w:val="Normal"/>
        <w:rPr/>
      </w:pPr>
      <w:r>
        <w:rPr/>
      </w:r>
    </w:p>
    <w:p>
      <w:pPr>
        <w:pStyle w:val="Normal"/>
        <w:spacing w:lineRule="auto" w:line="259" w:before="0" w:after="160"/>
        <w:jc w:val="left"/>
        <w:rPr/>
      </w:pPr>
      <w:r>
        <w:rPr/>
      </w:r>
      <w:r>
        <w:br w:type="page"/>
      </w:r>
    </w:p>
    <w:p>
      <w:pPr>
        <w:pStyle w:val="Normal"/>
        <w:rPr/>
      </w:pPr>
      <w:r>
        <w:rPr/>
      </w:r>
    </w:p>
    <w:p>
      <w:pPr>
        <w:pStyle w:val="Heading2"/>
        <w:rPr/>
      </w:pPr>
      <w:bookmarkStart w:id="27" w:name="_Toc64621548"/>
      <w:r>
        <w:rPr/>
        <w:t>Milestones</w:t>
      </w:r>
      <w:bookmarkEnd w:id="27"/>
      <w:r>
        <w:rPr/>
        <w:t xml:space="preserve"> </w:t>
      </w:r>
    </w:p>
    <w:tbl>
      <w:tblPr>
        <w:tblW w:w="9639"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132"/>
        <w:gridCol w:w="3119"/>
        <w:gridCol w:w="2268"/>
        <w:gridCol w:w="1418"/>
        <w:gridCol w:w="1702"/>
      </w:tblGrid>
      <w:tr>
        <w:trPr/>
        <w:tc>
          <w:tcPr>
            <w:tcW w:w="1132" w:type="dxa"/>
            <w:tcBorders>
              <w:top w:val="single" w:sz="4" w:space="0" w:color="000000"/>
              <w:bottom w:val="single" w:sz="4" w:space="0" w:color="4472C4"/>
            </w:tcBorders>
          </w:tcPr>
          <w:p>
            <w:pPr>
              <w:pStyle w:val="Normal"/>
              <w:widowControl w:val="false"/>
              <w:spacing w:lineRule="atLeast" w:line="260" w:before="60" w:after="60"/>
              <w:jc w:val="left"/>
              <w:rPr>
                <w:rFonts w:cs="Arial"/>
                <w:b/>
                <w:b/>
                <w:bCs/>
                <w:szCs w:val="20"/>
                <w:lang w:val="en-GB"/>
              </w:rPr>
            </w:pPr>
            <w:r>
              <w:rPr>
                <w:rFonts w:cs="Arial"/>
                <w:b/>
                <w:bCs/>
                <w:szCs w:val="20"/>
                <w:lang w:val="en-GB"/>
              </w:rPr>
              <w:t>Number</w:t>
            </w:r>
          </w:p>
        </w:tc>
        <w:tc>
          <w:tcPr>
            <w:tcW w:w="3119" w:type="dxa"/>
            <w:tcBorders>
              <w:top w:val="single" w:sz="4" w:space="0" w:color="000000"/>
              <w:bottom w:val="single" w:sz="4" w:space="0" w:color="4472C4"/>
            </w:tcBorders>
          </w:tcPr>
          <w:p>
            <w:pPr>
              <w:pStyle w:val="Normal"/>
              <w:widowControl w:val="false"/>
              <w:spacing w:lineRule="atLeast" w:line="260" w:before="60" w:after="60"/>
              <w:jc w:val="left"/>
              <w:rPr>
                <w:rFonts w:cs="Arial"/>
                <w:b/>
                <w:b/>
                <w:bCs/>
                <w:szCs w:val="20"/>
                <w:lang w:val="en-GB"/>
              </w:rPr>
            </w:pPr>
            <w:r>
              <w:rPr>
                <w:rFonts w:cs="Arial"/>
                <w:b/>
                <w:bCs/>
                <w:szCs w:val="20"/>
                <w:lang w:val="en-GB"/>
              </w:rPr>
              <w:t>Title</w:t>
            </w:r>
          </w:p>
        </w:tc>
        <w:tc>
          <w:tcPr>
            <w:tcW w:w="2268" w:type="dxa"/>
            <w:tcBorders>
              <w:top w:val="single" w:sz="4" w:space="0" w:color="000000"/>
              <w:bottom w:val="single" w:sz="4" w:space="0" w:color="4472C4"/>
            </w:tcBorders>
          </w:tcPr>
          <w:p>
            <w:pPr>
              <w:pStyle w:val="Normal"/>
              <w:widowControl w:val="false"/>
              <w:spacing w:lineRule="atLeast" w:line="260" w:before="60" w:after="60"/>
              <w:jc w:val="left"/>
              <w:rPr>
                <w:rFonts w:cs="Arial"/>
                <w:b/>
                <w:b/>
                <w:bCs/>
                <w:szCs w:val="20"/>
                <w:lang w:val="en-GB"/>
              </w:rPr>
            </w:pPr>
            <w:r>
              <w:rPr>
                <w:rFonts w:cs="Arial"/>
                <w:b/>
                <w:bCs/>
                <w:szCs w:val="20"/>
                <w:lang w:val="en-GB"/>
              </w:rPr>
              <w:t xml:space="preserve">Verification mean </w:t>
            </w:r>
          </w:p>
        </w:tc>
        <w:tc>
          <w:tcPr>
            <w:tcW w:w="1418" w:type="dxa"/>
            <w:tcBorders>
              <w:top w:val="single" w:sz="4" w:space="0" w:color="000000"/>
              <w:bottom w:val="single" w:sz="4" w:space="0" w:color="4472C4"/>
            </w:tcBorders>
          </w:tcPr>
          <w:p>
            <w:pPr>
              <w:pStyle w:val="Normal"/>
              <w:widowControl w:val="false"/>
              <w:spacing w:lineRule="atLeast" w:line="260" w:before="60" w:after="60"/>
              <w:jc w:val="center"/>
              <w:rPr>
                <w:rFonts w:cs="Arial"/>
                <w:b/>
                <w:b/>
                <w:bCs/>
                <w:szCs w:val="20"/>
                <w:lang w:val="en-GB"/>
              </w:rPr>
            </w:pPr>
            <w:r>
              <w:rPr>
                <w:rFonts w:cs="Arial"/>
                <w:b/>
                <w:bCs/>
                <w:szCs w:val="20"/>
                <w:lang w:val="en-GB"/>
              </w:rPr>
              <w:t>Due Date</w:t>
            </w:r>
          </w:p>
        </w:tc>
        <w:tc>
          <w:tcPr>
            <w:tcW w:w="1702" w:type="dxa"/>
            <w:tcBorders>
              <w:top w:val="single" w:sz="4" w:space="0" w:color="000000"/>
              <w:bottom w:val="single" w:sz="4" w:space="0" w:color="4472C4"/>
            </w:tcBorders>
          </w:tcPr>
          <w:p>
            <w:pPr>
              <w:pStyle w:val="Normal"/>
              <w:widowControl w:val="false"/>
              <w:spacing w:lineRule="atLeast" w:line="260" w:before="60" w:after="60"/>
              <w:jc w:val="left"/>
              <w:rPr>
                <w:rFonts w:cs="Arial"/>
                <w:b/>
                <w:b/>
                <w:bCs/>
                <w:szCs w:val="20"/>
                <w:lang w:val="en-GB"/>
              </w:rPr>
            </w:pPr>
            <w:r>
              <w:rPr>
                <w:rFonts w:cs="Arial"/>
                <w:b/>
                <w:bCs/>
                <w:szCs w:val="20"/>
                <w:lang w:val="en-GB"/>
              </w:rPr>
              <w:t>Responsible</w:t>
            </w:r>
          </w:p>
        </w:tc>
      </w:tr>
      <w:tr>
        <w:trPr/>
        <w:tc>
          <w:tcPr>
            <w:tcW w:w="1132" w:type="dxa"/>
            <w:tcBorders>
              <w:top w:val="single" w:sz="4" w:space="0" w:color="4472C4"/>
              <w:bottom w:val="single" w:sz="4" w:space="0" w:color="000000"/>
            </w:tcBorders>
          </w:tcPr>
          <w:p>
            <w:pPr>
              <w:pStyle w:val="Normal"/>
              <w:widowControl w:val="false"/>
              <w:spacing w:before="60" w:after="60"/>
              <w:jc w:val="left"/>
              <w:rPr>
                <w:rFonts w:cs="Arial"/>
                <w:szCs w:val="20"/>
                <w:lang w:val="en-GB"/>
              </w:rPr>
            </w:pPr>
            <w:r>
              <w:rPr>
                <w:rFonts w:cs="Arial"/>
                <w:szCs w:val="20"/>
                <w:lang w:val="en-GB"/>
              </w:rPr>
              <w:t>MS5</w:t>
            </w:r>
          </w:p>
        </w:tc>
        <w:tc>
          <w:tcPr>
            <w:tcW w:w="3119" w:type="dxa"/>
            <w:tcBorders>
              <w:top w:val="single" w:sz="4" w:space="0" w:color="4472C4"/>
              <w:bottom w:val="single" w:sz="4" w:space="0" w:color="000000"/>
            </w:tcBorders>
          </w:tcPr>
          <w:p>
            <w:pPr>
              <w:pStyle w:val="Normal"/>
              <w:widowControl w:val="false"/>
              <w:spacing w:before="60" w:after="60"/>
              <w:jc w:val="left"/>
              <w:rPr>
                <w:rFonts w:cs="Arial"/>
                <w:szCs w:val="20"/>
                <w:highlight w:val="yellow"/>
                <w:lang w:val="en-GB"/>
              </w:rPr>
            </w:pPr>
            <w:r>
              <w:rPr>
                <w:rFonts w:cs="Arial"/>
                <w:szCs w:val="20"/>
                <w:lang w:val="en-GB"/>
              </w:rPr>
              <w:t>Launch of the future partnership</w:t>
            </w:r>
          </w:p>
        </w:tc>
        <w:tc>
          <w:tcPr>
            <w:tcW w:w="2268" w:type="dxa"/>
            <w:tcBorders>
              <w:top w:val="single" w:sz="4" w:space="0" w:color="4472C4"/>
              <w:bottom w:val="single" w:sz="4" w:space="0" w:color="000000"/>
            </w:tcBorders>
          </w:tcPr>
          <w:p>
            <w:pPr>
              <w:pStyle w:val="Normal"/>
              <w:widowControl w:val="false"/>
              <w:spacing w:before="60" w:after="60"/>
              <w:jc w:val="left"/>
              <w:rPr>
                <w:rFonts w:cs="Arial"/>
                <w:lang w:val="en-GB"/>
              </w:rPr>
            </w:pPr>
            <w:r>
              <w:rPr>
                <w:rFonts w:cs="Arial"/>
                <w:lang w:val="en-GB"/>
              </w:rPr>
              <w:t>Firm/signed commiment from interested parties</w:t>
            </w:r>
          </w:p>
        </w:tc>
        <w:tc>
          <w:tcPr>
            <w:tcW w:w="1418" w:type="dxa"/>
            <w:tcBorders>
              <w:top w:val="single" w:sz="4" w:space="0" w:color="4472C4"/>
              <w:bottom w:val="single" w:sz="4" w:space="0" w:color="000000"/>
            </w:tcBorders>
          </w:tcPr>
          <w:p>
            <w:pPr>
              <w:pStyle w:val="Normal"/>
              <w:widowControl w:val="false"/>
              <w:spacing w:before="60" w:after="60"/>
              <w:jc w:val="center"/>
              <w:rPr>
                <w:rFonts w:cs="Arial"/>
                <w:lang w:val="en-GB"/>
              </w:rPr>
            </w:pPr>
            <w:r>
              <w:rPr>
                <w:rFonts w:cs="Arial"/>
                <w:lang w:val="en-GB"/>
              </w:rPr>
              <w:t>M58</w:t>
            </w:r>
          </w:p>
        </w:tc>
        <w:tc>
          <w:tcPr>
            <w:tcW w:w="1702" w:type="dxa"/>
            <w:tcBorders>
              <w:top w:val="single" w:sz="4" w:space="0" w:color="4472C4"/>
              <w:bottom w:val="single" w:sz="4" w:space="0" w:color="000000"/>
            </w:tcBorders>
          </w:tcPr>
          <w:p>
            <w:pPr>
              <w:pStyle w:val="Normal"/>
              <w:widowControl w:val="false"/>
              <w:spacing w:before="60" w:after="60"/>
              <w:jc w:val="left"/>
              <w:rPr>
                <w:highlight w:val="yellow"/>
                <w:lang w:val="en-GB"/>
              </w:rPr>
            </w:pPr>
            <w:r>
              <w:rPr>
                <w:rFonts w:cs="Arial"/>
                <w:szCs w:val="20"/>
                <w:lang w:val="en-GB"/>
              </w:rPr>
              <w:t>LGI – Niclette Bukasa Kampata</w:t>
            </w:r>
            <w:r>
              <w:rPr>
                <w:rFonts w:cs="Arial"/>
                <w:szCs w:val="20"/>
                <w:highlight w:val="yellow"/>
                <w:lang w:val="en-GB"/>
              </w:rPr>
              <w:t xml:space="preserve"> </w:t>
            </w:r>
          </w:p>
        </w:tc>
      </w:tr>
    </w:tbl>
    <w:p>
      <w:pPr>
        <w:pStyle w:val="Heading2"/>
        <w:rPr>
          <w:szCs w:val="20"/>
        </w:rPr>
      </w:pPr>
      <w:bookmarkStart w:id="28" w:name="_Toc64621549"/>
      <w:commentRangeStart w:id="11"/>
      <w:r>
        <w:rPr/>
        <w:t>Interaction/synergies with other WPs</w:t>
      </w:r>
      <w:bookmarkEnd w:id="28"/>
      <w:r>
        <w:rPr>
          <w:szCs w:val="20"/>
        </w:rPr>
        <w:t xml:space="preserve"> </w:t>
      </w:r>
      <w:commentRangeEnd w:id="11"/>
      <w:r>
        <w:commentReference w:id="11"/>
      </w:r>
      <w:r>
        <w:rPr>
          <w:szCs w:val="20"/>
        </w:rPr>
      </w:r>
    </w:p>
    <w:tbl>
      <w:tblPr>
        <w:tblW w:w="959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321"/>
        <w:gridCol w:w="6287"/>
        <w:gridCol w:w="1984"/>
      </w:tblGrid>
      <w:tr>
        <w:trPr>
          <w:tblHeader w:val="true"/>
          <w:trHeight w:val="446" w:hRule="atLeast"/>
        </w:trPr>
        <w:tc>
          <w:tcPr>
            <w:tcW w:w="1321"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Number</w:t>
            </w:r>
          </w:p>
        </w:tc>
        <w:tc>
          <w:tcPr>
            <w:tcW w:w="6287"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Interaction description</w:t>
            </w:r>
          </w:p>
        </w:tc>
        <w:tc>
          <w:tcPr>
            <w:tcW w:w="1984"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Responsible</w:t>
            </w:r>
          </w:p>
        </w:tc>
      </w:tr>
      <w:tr>
        <w:trPr>
          <w:trHeight w:val="1390" w:hRule="atLeast"/>
        </w:trPr>
        <w:tc>
          <w:tcPr>
            <w:tcW w:w="1321" w:type="dxa"/>
            <w:tcBorders>
              <w:top w:val="single" w:sz="4" w:space="0" w:color="4472C4"/>
              <w:bottom w:val="single" w:sz="4" w:space="0" w:color="4472C4"/>
            </w:tcBorders>
            <w:shd w:color="auto" w:fill="auto" w:val="clear"/>
          </w:tcPr>
          <w:p>
            <w:pPr>
              <w:pStyle w:val="Normal"/>
              <w:widowControl w:val="false"/>
              <w:spacing w:before="60" w:after="60"/>
              <w:jc w:val="left"/>
              <w:rPr>
                <w:rFonts w:cs="Arial"/>
                <w:szCs w:val="20"/>
                <w:lang w:val="en-GB"/>
              </w:rPr>
            </w:pPr>
            <w:r>
              <w:rPr>
                <w:rFonts w:cs="Arial"/>
                <w:szCs w:val="20"/>
                <w:lang w:val="en-GB"/>
              </w:rPr>
              <w:t>1</w:t>
            </w:r>
          </w:p>
        </w:tc>
        <w:tc>
          <w:tcPr>
            <w:tcW w:w="6287" w:type="dxa"/>
            <w:tcBorders>
              <w:top w:val="single" w:sz="4" w:space="0" w:color="4472C4"/>
              <w:bottom w:val="single" w:sz="4" w:space="0" w:color="4472C4"/>
            </w:tcBorders>
            <w:shd w:color="auto" w:fill="auto" w:val="clear"/>
          </w:tcPr>
          <w:p>
            <w:pPr>
              <w:pStyle w:val="Normal"/>
              <w:widowControl w:val="false"/>
              <w:spacing w:before="60" w:after="60"/>
              <w:jc w:val="left"/>
              <w:rPr>
                <w:rFonts w:cs="Arial"/>
                <w:b/>
                <w:b/>
                <w:szCs w:val="20"/>
                <w:highlight w:val="yellow"/>
                <w:lang w:val="en-GB"/>
              </w:rPr>
            </w:pPr>
            <w:r>
              <w:rPr>
                <w:rFonts w:cs="Arial"/>
                <w:b/>
                <w:szCs w:val="20"/>
                <w:lang w:val="en-GB"/>
              </w:rPr>
              <w:t>Task 5.1: M&amp;E Concept and Impact Assessment</w:t>
            </w:r>
            <w:r>
              <w:rPr>
                <w:rFonts w:cs="Arial"/>
                <w:b/>
                <w:szCs w:val="20"/>
                <w:highlight w:val="yellow"/>
                <w:lang w:val="en-GB"/>
              </w:rPr>
              <w:t xml:space="preserve"> </w:t>
            </w:r>
          </w:p>
          <w:p>
            <w:pPr>
              <w:pStyle w:val="ListParagraph"/>
              <w:widowControl w:val="false"/>
              <w:numPr>
                <w:ilvl w:val="0"/>
                <w:numId w:val="9"/>
              </w:numPr>
              <w:spacing w:lineRule="auto" w:line="252" w:before="0" w:after="0"/>
              <w:contextualSpacing/>
              <w:jc w:val="left"/>
              <w:rPr>
                <w:lang w:val="en-GB"/>
              </w:rPr>
            </w:pPr>
            <w:r>
              <w:rPr>
                <w:b/>
                <w:color w:val="000000"/>
                <w:lang w:val="en-GB"/>
              </w:rPr>
              <w:t>Task 4.2.:</w:t>
            </w:r>
            <w:r>
              <w:rPr>
                <w:color w:val="000000"/>
                <w:lang w:val="en-GB"/>
              </w:rPr>
              <w:t xml:space="preserve"> Knowledge Capitalisation</w:t>
            </w:r>
          </w:p>
          <w:p>
            <w:pPr>
              <w:pStyle w:val="ListParagraph"/>
              <w:widowControl w:val="false"/>
              <w:numPr>
                <w:ilvl w:val="1"/>
                <w:numId w:val="9"/>
              </w:numPr>
              <w:spacing w:lineRule="auto" w:line="252" w:before="0" w:after="0"/>
              <w:contextualSpacing/>
              <w:jc w:val="left"/>
              <w:rPr>
                <w:lang w:val="en-GB"/>
              </w:rPr>
            </w:pPr>
            <w:r>
              <w:rPr>
                <w:color w:val="000000"/>
                <w:lang w:val="en-GB"/>
              </w:rPr>
              <w:t>Contributing MEL outcomes to review and update of MARs</w:t>
            </w:r>
          </w:p>
          <w:p>
            <w:pPr>
              <w:pStyle w:val="ListParagraph"/>
              <w:widowControl w:val="false"/>
              <w:numPr>
                <w:ilvl w:val="0"/>
                <w:numId w:val="17"/>
              </w:numPr>
              <w:spacing w:before="60" w:after="60"/>
              <w:contextualSpacing/>
              <w:jc w:val="left"/>
              <w:rPr>
                <w:rFonts w:cs="Arial"/>
                <w:szCs w:val="20"/>
                <w:lang w:val="en-GB"/>
              </w:rPr>
            </w:pPr>
            <w:r>
              <w:rPr>
                <w:rFonts w:cs="Arial"/>
                <w:szCs w:val="20"/>
                <w:lang w:val="en-GB"/>
              </w:rPr>
              <w:t>WP1 WP2 WP3 WP4</w:t>
            </w:r>
          </w:p>
        </w:tc>
        <w:tc>
          <w:tcPr>
            <w:tcW w:w="1984" w:type="dxa"/>
            <w:tcBorders>
              <w:top w:val="single" w:sz="4" w:space="0" w:color="4472C4"/>
              <w:bottom w:val="single" w:sz="4" w:space="0" w:color="4472C4"/>
            </w:tcBorders>
            <w:shd w:color="auto" w:fill="auto" w:val="clear"/>
          </w:tcPr>
          <w:p>
            <w:pPr>
              <w:pStyle w:val="Normal"/>
              <w:widowControl w:val="false"/>
              <w:spacing w:before="60" w:after="60"/>
              <w:jc w:val="left"/>
              <w:rPr>
                <w:rFonts w:cs="Arial"/>
                <w:szCs w:val="20"/>
                <w:highlight w:val="yellow"/>
                <w:lang w:val="en-GB"/>
              </w:rPr>
            </w:pPr>
            <w:r>
              <w:rPr>
                <w:rFonts w:cs="Arial"/>
                <w:szCs w:val="20"/>
                <w:lang w:val="en-GB"/>
              </w:rPr>
              <w:t>SU &amp; UEFISCDI</w:t>
            </w:r>
          </w:p>
        </w:tc>
      </w:tr>
      <w:tr>
        <w:trPr>
          <w:trHeight w:val="1390" w:hRule="atLeast"/>
        </w:trPr>
        <w:tc>
          <w:tcPr>
            <w:tcW w:w="1321" w:type="dxa"/>
            <w:tcBorders>
              <w:top w:val="single" w:sz="4" w:space="0" w:color="4472C4"/>
              <w:bottom w:val="single" w:sz="4" w:space="0" w:color="4472C4"/>
            </w:tcBorders>
          </w:tcPr>
          <w:p>
            <w:pPr>
              <w:pStyle w:val="Normal"/>
              <w:widowControl w:val="false"/>
              <w:spacing w:before="60" w:after="60"/>
              <w:jc w:val="left"/>
              <w:rPr>
                <w:rFonts w:cs="Arial"/>
                <w:szCs w:val="20"/>
                <w:lang w:val="en-GB"/>
              </w:rPr>
            </w:pPr>
            <w:r>
              <w:rPr>
                <w:rFonts w:cs="Arial"/>
                <w:szCs w:val="20"/>
                <w:lang w:val="en-GB"/>
              </w:rPr>
              <w:t>2</w:t>
            </w:r>
          </w:p>
        </w:tc>
        <w:tc>
          <w:tcPr>
            <w:tcW w:w="6287" w:type="dxa"/>
            <w:tcBorders>
              <w:top w:val="single" w:sz="4" w:space="0" w:color="4472C4"/>
              <w:bottom w:val="single" w:sz="4" w:space="0" w:color="4472C4"/>
            </w:tcBorders>
          </w:tcPr>
          <w:p>
            <w:pPr>
              <w:pStyle w:val="Normal"/>
              <w:widowControl w:val="false"/>
              <w:spacing w:before="60" w:after="60"/>
              <w:jc w:val="left"/>
              <w:rPr>
                <w:rFonts w:cs="Arial"/>
                <w:b/>
                <w:b/>
                <w:szCs w:val="20"/>
                <w:lang w:val="en-GB"/>
              </w:rPr>
            </w:pPr>
            <w:r>
              <w:rPr>
                <w:rFonts w:cs="Arial"/>
                <w:b/>
                <w:szCs w:val="20"/>
                <w:lang w:val="en-GB"/>
              </w:rPr>
              <w:t>Task 5.2: Dialogue with Policymakers and other Stakeholders for Research Uptake</w:t>
            </w:r>
          </w:p>
          <w:p>
            <w:pPr>
              <w:pStyle w:val="ListParagraph"/>
              <w:widowControl w:val="false"/>
              <w:numPr>
                <w:ilvl w:val="0"/>
                <w:numId w:val="18"/>
              </w:numPr>
              <w:jc w:val="left"/>
              <w:rPr>
                <w:rFonts w:cs="Arial"/>
                <w:szCs w:val="20"/>
                <w:lang w:val="en-GB"/>
              </w:rPr>
            </w:pPr>
            <w:r>
              <w:rPr>
                <w:rFonts w:cs="Arial"/>
                <w:b/>
                <w:szCs w:val="20"/>
                <w:lang w:val="en-GB"/>
              </w:rPr>
              <w:t>Task 4.1.:</w:t>
            </w:r>
            <w:r>
              <w:rPr>
                <w:rFonts w:cs="Arial"/>
                <w:szCs w:val="20"/>
                <w:lang w:val="en-GB"/>
              </w:rPr>
              <w:t xml:space="preserve"> Expanding, managing and animating the LEAP-RE community</w:t>
            </w:r>
          </w:p>
          <w:p>
            <w:pPr>
              <w:pStyle w:val="ListParagraph"/>
              <w:widowControl w:val="false"/>
              <w:numPr>
                <w:ilvl w:val="0"/>
                <w:numId w:val="6"/>
              </w:numPr>
              <w:ind w:left="1127" w:hanging="360"/>
              <w:jc w:val="left"/>
              <w:rPr>
                <w:rFonts w:cs="Arial"/>
                <w:szCs w:val="20"/>
                <w:lang w:val="en-GB"/>
              </w:rPr>
            </w:pPr>
            <w:r>
              <w:rPr>
                <w:rFonts w:cs="Arial"/>
                <w:szCs w:val="20"/>
                <w:lang w:val="en-GB"/>
              </w:rPr>
              <w:t>workshop contributions</w:t>
            </w:r>
          </w:p>
          <w:p>
            <w:pPr>
              <w:pStyle w:val="ListParagraph"/>
              <w:widowControl w:val="false"/>
              <w:numPr>
                <w:ilvl w:val="0"/>
                <w:numId w:val="6"/>
              </w:numPr>
              <w:ind w:left="1127" w:hanging="360"/>
              <w:jc w:val="left"/>
              <w:rPr>
                <w:rFonts w:cs="Arial"/>
                <w:szCs w:val="20"/>
                <w:lang w:val="en-GB"/>
              </w:rPr>
            </w:pPr>
            <w:r>
              <w:rPr>
                <w:rFonts w:cs="Arial"/>
                <w:szCs w:val="20"/>
                <w:lang w:val="en-GB"/>
              </w:rPr>
              <w:t>contributions to the clustering process</w:t>
            </w:r>
          </w:p>
          <w:p>
            <w:pPr>
              <w:pStyle w:val="ListParagraph"/>
              <w:widowControl w:val="false"/>
              <w:numPr>
                <w:ilvl w:val="0"/>
                <w:numId w:val="19"/>
              </w:numPr>
              <w:spacing w:lineRule="auto" w:line="252" w:before="0" w:after="0"/>
              <w:ind w:left="1127" w:hanging="360"/>
              <w:contextualSpacing/>
              <w:jc w:val="left"/>
              <w:rPr>
                <w:lang w:val="en-GB"/>
              </w:rPr>
            </w:pPr>
            <w:r>
              <w:rPr>
                <w:lang w:val="en-GB"/>
              </w:rPr>
              <w:t>contributions to stakeholder surveys</w:t>
            </w:r>
          </w:p>
          <w:p>
            <w:pPr>
              <w:pStyle w:val="ListParagraph"/>
              <w:widowControl w:val="false"/>
              <w:numPr>
                <w:ilvl w:val="0"/>
                <w:numId w:val="6"/>
              </w:numPr>
              <w:ind w:left="1127" w:hanging="360"/>
              <w:jc w:val="left"/>
              <w:rPr>
                <w:rFonts w:cs="Arial"/>
                <w:szCs w:val="20"/>
                <w:lang w:val="en-GB"/>
              </w:rPr>
            </w:pPr>
            <w:r>
              <w:rPr>
                <w:rFonts w:cs="Arial"/>
                <w:szCs w:val="20"/>
                <w:lang w:val="en-GB"/>
              </w:rPr>
              <w:t>building a knowledge management and communication framework (Sorting House Mechanism and Sorting House Network, including building an online community)</w:t>
            </w:r>
          </w:p>
          <w:p>
            <w:pPr>
              <w:pStyle w:val="ListParagraph"/>
              <w:widowControl w:val="false"/>
              <w:numPr>
                <w:ilvl w:val="0"/>
                <w:numId w:val="20"/>
              </w:numPr>
              <w:jc w:val="left"/>
              <w:rPr>
                <w:rFonts w:cs="Arial"/>
                <w:szCs w:val="20"/>
                <w:lang w:val="en-GB"/>
              </w:rPr>
            </w:pPr>
            <w:r>
              <w:rPr>
                <w:rFonts w:cs="Arial"/>
                <w:b/>
                <w:szCs w:val="20"/>
                <w:lang w:val="en-GB"/>
              </w:rPr>
              <w:t xml:space="preserve">Task 5.1 </w:t>
            </w:r>
            <w:r>
              <w:rPr>
                <w:rFonts w:cs="Arial"/>
                <w:szCs w:val="20"/>
                <w:lang w:val="en-GB"/>
              </w:rPr>
              <w:t>M&amp;E Concept and Impact Assessment</w:t>
            </w:r>
            <w:r>
              <w:rPr>
                <w:rFonts w:cs="Arial"/>
                <w:b/>
                <w:szCs w:val="20"/>
                <w:lang w:val="en-GB"/>
              </w:rPr>
              <w:t xml:space="preserve"> &amp; Task 4.2.: </w:t>
            </w:r>
            <w:r>
              <w:rPr>
                <w:rFonts w:cs="Arial"/>
                <w:szCs w:val="20"/>
                <w:lang w:val="en-GB"/>
              </w:rPr>
              <w:t>Knowledge capitalisation, valorisation, &amp; scientific dissemination</w:t>
            </w:r>
          </w:p>
          <w:p>
            <w:pPr>
              <w:pStyle w:val="ListParagraph"/>
              <w:widowControl w:val="false"/>
              <w:numPr>
                <w:ilvl w:val="0"/>
                <w:numId w:val="6"/>
              </w:numPr>
              <w:ind w:left="1127" w:hanging="360"/>
              <w:jc w:val="left"/>
              <w:rPr>
                <w:rFonts w:cs="Arial"/>
                <w:szCs w:val="20"/>
                <w:lang w:val="en-GB"/>
              </w:rPr>
            </w:pPr>
            <w:r>
              <w:rPr>
                <w:rFonts w:cs="Arial"/>
                <w:szCs w:val="20"/>
                <w:lang w:val="en-GB"/>
              </w:rPr>
              <w:t>building a knowledge management and communication framework (Sorting House Mechanism and Sorting House Network, including building an online community)</w:t>
            </w:r>
          </w:p>
          <w:p>
            <w:pPr>
              <w:pStyle w:val="ListParagraph"/>
              <w:widowControl w:val="false"/>
              <w:numPr>
                <w:ilvl w:val="0"/>
                <w:numId w:val="6"/>
              </w:numPr>
              <w:ind w:left="1127" w:hanging="360"/>
              <w:jc w:val="left"/>
              <w:rPr>
                <w:rFonts w:cs="Arial"/>
                <w:szCs w:val="20"/>
                <w:lang w:val="en-GB"/>
              </w:rPr>
            </w:pPr>
            <w:r>
              <w:rPr>
                <w:rFonts w:cs="Arial"/>
                <w:szCs w:val="20"/>
                <w:lang w:val="en-GB"/>
              </w:rPr>
              <w:t>designing a coordination and infrastructure approach for long-term MEL activities</w:t>
            </w:r>
          </w:p>
          <w:p>
            <w:pPr>
              <w:pStyle w:val="ListParagraph"/>
              <w:widowControl w:val="false"/>
              <w:numPr>
                <w:ilvl w:val="0"/>
                <w:numId w:val="21"/>
              </w:numPr>
              <w:jc w:val="left"/>
              <w:rPr>
                <w:rFonts w:cs="Arial"/>
                <w:szCs w:val="20"/>
                <w:lang w:val="en-GB"/>
              </w:rPr>
            </w:pPr>
            <w:r>
              <w:rPr>
                <w:rFonts w:cs="Arial"/>
                <w:b/>
                <w:szCs w:val="20"/>
                <w:lang w:val="en-GB"/>
              </w:rPr>
              <w:t>Task 4.2.:</w:t>
            </w:r>
            <w:r>
              <w:rPr>
                <w:rFonts w:cs="Arial"/>
                <w:szCs w:val="20"/>
                <w:lang w:val="en-GB"/>
              </w:rPr>
              <w:t xml:space="preserve"> Knowledge Capitalisation</w:t>
            </w:r>
          </w:p>
          <w:p>
            <w:pPr>
              <w:pStyle w:val="ListParagraph"/>
              <w:widowControl w:val="false"/>
              <w:numPr>
                <w:ilvl w:val="1"/>
                <w:numId w:val="22"/>
              </w:numPr>
              <w:jc w:val="left"/>
              <w:rPr>
                <w:rFonts w:cs="Arial"/>
                <w:szCs w:val="20"/>
                <w:lang w:val="en-GB"/>
              </w:rPr>
            </w:pPr>
            <w:r>
              <w:rPr>
                <w:rFonts w:cs="Arial"/>
                <w:szCs w:val="20"/>
                <w:lang w:val="en-GB"/>
              </w:rPr>
              <w:t>Contributing dialogue outcomes to review and update of MARs</w:t>
            </w:r>
          </w:p>
          <w:p>
            <w:pPr>
              <w:pStyle w:val="ListParagraph"/>
              <w:widowControl w:val="false"/>
              <w:numPr>
                <w:ilvl w:val="1"/>
                <w:numId w:val="23"/>
              </w:numPr>
              <w:jc w:val="left"/>
              <w:rPr>
                <w:rFonts w:cs="Arial"/>
                <w:szCs w:val="20"/>
                <w:lang w:val="en-GB"/>
              </w:rPr>
            </w:pPr>
            <w:r>
              <w:rPr>
                <w:rFonts w:cs="Arial"/>
                <w:szCs w:val="20"/>
                <w:lang w:val="en-GB"/>
              </w:rPr>
              <w:t>Formulate a survey in accordance with the scientific dissemination guidelines in order to collect the results of the dissemination plans from Pillar 2 WPs and Pillar 1 awarded projects</w:t>
            </w:r>
          </w:p>
          <w:p>
            <w:pPr>
              <w:pStyle w:val="ListParagraph"/>
              <w:widowControl w:val="false"/>
              <w:numPr>
                <w:ilvl w:val="0"/>
                <w:numId w:val="24"/>
              </w:numPr>
              <w:jc w:val="left"/>
              <w:rPr>
                <w:rFonts w:cs="Arial"/>
                <w:szCs w:val="20"/>
                <w:lang w:val="en-GB"/>
              </w:rPr>
            </w:pPr>
            <w:r>
              <w:rPr>
                <w:rFonts w:cs="Arial"/>
                <w:b/>
                <w:szCs w:val="20"/>
                <w:lang w:val="en-GB"/>
              </w:rPr>
              <w:t xml:space="preserve">Task 4.3.: </w:t>
            </w:r>
            <w:r>
              <w:rPr>
                <w:rFonts w:cs="Arial"/>
                <w:szCs w:val="20"/>
                <w:lang w:val="en-GB"/>
              </w:rPr>
              <w:t xml:space="preserve">Innovation Accelerator </w:t>
            </w:r>
          </w:p>
          <w:p>
            <w:pPr>
              <w:pStyle w:val="ListParagraph"/>
              <w:widowControl w:val="false"/>
              <w:numPr>
                <w:ilvl w:val="0"/>
                <w:numId w:val="6"/>
              </w:numPr>
              <w:ind w:left="1127" w:hanging="360"/>
              <w:jc w:val="left"/>
              <w:rPr>
                <w:rFonts w:cs="Arial"/>
                <w:szCs w:val="20"/>
                <w:lang w:val="en-GB"/>
              </w:rPr>
            </w:pPr>
            <w:r>
              <w:rPr>
                <w:rFonts w:cs="Arial"/>
                <w:szCs w:val="20"/>
                <w:lang w:val="en-GB"/>
              </w:rPr>
              <w:t>building a knowledge management and communication framework (Sorting House Mechanism and Sorting House Network)</w:t>
            </w:r>
          </w:p>
          <w:p>
            <w:pPr>
              <w:pStyle w:val="ListParagraph"/>
              <w:widowControl w:val="false"/>
              <w:numPr>
                <w:ilvl w:val="0"/>
                <w:numId w:val="25"/>
              </w:numPr>
              <w:jc w:val="left"/>
              <w:rPr>
                <w:rFonts w:cs="Arial"/>
                <w:b/>
                <w:b/>
                <w:szCs w:val="20"/>
                <w:lang w:val="en-GB"/>
              </w:rPr>
            </w:pPr>
            <w:r>
              <w:rPr>
                <w:rFonts w:cs="Arial"/>
                <w:b/>
                <w:szCs w:val="20"/>
                <w:lang w:val="en-GB"/>
              </w:rPr>
              <w:t xml:space="preserve">Task 4.4.: </w:t>
            </w:r>
            <w:r>
              <w:rPr>
                <w:rFonts w:cs="Arial"/>
                <w:szCs w:val="20"/>
                <w:lang w:val="en-GB"/>
              </w:rPr>
              <w:t>Programme communication</w:t>
            </w:r>
          </w:p>
          <w:p>
            <w:pPr>
              <w:pStyle w:val="ListParagraph"/>
              <w:widowControl w:val="false"/>
              <w:numPr>
                <w:ilvl w:val="0"/>
                <w:numId w:val="6"/>
              </w:numPr>
              <w:ind w:left="1127" w:hanging="360"/>
              <w:jc w:val="left"/>
              <w:rPr>
                <w:rFonts w:cs="Arial"/>
                <w:szCs w:val="20"/>
                <w:lang w:val="en-GB"/>
              </w:rPr>
            </w:pPr>
            <w:r>
              <w:rPr>
                <w:rFonts w:cs="Arial"/>
                <w:szCs w:val="20"/>
                <w:lang w:val="en-GB"/>
              </w:rPr>
              <w:t>Communication plan and material</w:t>
            </w:r>
          </w:p>
          <w:p>
            <w:pPr>
              <w:pStyle w:val="ListParagraph"/>
              <w:widowControl w:val="false"/>
              <w:numPr>
                <w:ilvl w:val="0"/>
                <w:numId w:val="6"/>
              </w:numPr>
              <w:ind w:left="1127" w:hanging="360"/>
              <w:jc w:val="left"/>
              <w:rPr>
                <w:rFonts w:cs="Arial"/>
                <w:szCs w:val="20"/>
                <w:lang w:val="en-GB"/>
              </w:rPr>
            </w:pPr>
            <w:r>
              <w:rPr>
                <w:rFonts w:cs="Arial"/>
                <w:szCs w:val="20"/>
                <w:lang w:val="en-GB"/>
              </w:rPr>
              <w:t>Awareness strategy</w:t>
            </w:r>
          </w:p>
          <w:p>
            <w:pPr>
              <w:pStyle w:val="ListParagraph"/>
              <w:widowControl w:val="false"/>
              <w:numPr>
                <w:ilvl w:val="0"/>
                <w:numId w:val="6"/>
              </w:numPr>
              <w:spacing w:before="60" w:after="60"/>
              <w:ind w:left="1127" w:hanging="360"/>
              <w:contextualSpacing/>
              <w:jc w:val="left"/>
              <w:rPr>
                <w:rFonts w:cs="Arial"/>
                <w:szCs w:val="20"/>
                <w:lang w:val="en-GB"/>
              </w:rPr>
            </w:pPr>
            <w:r>
              <w:rPr>
                <w:rFonts w:cs="Arial"/>
                <w:szCs w:val="20"/>
                <w:lang w:val="en-GB"/>
              </w:rPr>
              <w:t>Design of digital workspaces</w:t>
            </w:r>
          </w:p>
        </w:tc>
        <w:tc>
          <w:tcPr>
            <w:tcW w:w="1984"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PAUWES &amp; DLR</w:t>
            </w:r>
          </w:p>
        </w:tc>
      </w:tr>
      <w:tr>
        <w:trPr>
          <w:trHeight w:val="1390" w:hRule="atLeast"/>
        </w:trPr>
        <w:tc>
          <w:tcPr>
            <w:tcW w:w="1321" w:type="dxa"/>
            <w:tcBorders>
              <w:top w:val="single" w:sz="4" w:space="0" w:color="4472C4"/>
              <w:bottom w:val="single" w:sz="4" w:space="0" w:color="4472C4"/>
            </w:tcBorders>
            <w:shd w:color="auto" w:fill="auto" w:val="clear"/>
          </w:tcPr>
          <w:p>
            <w:pPr>
              <w:pStyle w:val="Normal"/>
              <w:widowControl w:val="false"/>
              <w:spacing w:before="60" w:after="60"/>
              <w:jc w:val="left"/>
              <w:rPr>
                <w:rFonts w:cs="Arial"/>
                <w:szCs w:val="20"/>
                <w:lang w:val="en-GB"/>
              </w:rPr>
            </w:pPr>
            <w:r>
              <w:rPr>
                <w:rFonts w:cs="Arial"/>
                <w:szCs w:val="20"/>
                <w:lang w:val="en-GB"/>
              </w:rPr>
              <w:t>3</w:t>
            </w:r>
          </w:p>
        </w:tc>
        <w:tc>
          <w:tcPr>
            <w:tcW w:w="6287" w:type="dxa"/>
            <w:tcBorders>
              <w:top w:val="single" w:sz="4" w:space="0" w:color="4472C4"/>
              <w:bottom w:val="single" w:sz="4" w:space="0" w:color="4472C4"/>
            </w:tcBorders>
            <w:shd w:color="auto" w:fill="auto" w:val="clear"/>
          </w:tcPr>
          <w:p>
            <w:pPr>
              <w:pStyle w:val="Normal"/>
              <w:widowControl w:val="false"/>
              <w:spacing w:before="60" w:after="60"/>
              <w:jc w:val="left"/>
              <w:rPr>
                <w:rFonts w:cs="Arial"/>
                <w:b/>
                <w:b/>
                <w:szCs w:val="20"/>
                <w:lang w:val="en-GB"/>
              </w:rPr>
            </w:pPr>
            <w:r>
              <w:rPr>
                <w:rFonts w:cs="Arial"/>
                <w:b/>
                <w:szCs w:val="20"/>
                <w:lang w:val="en-GB"/>
              </w:rPr>
              <w:t>Task 5.3: Strategy for RE research-capacity in Africa</w:t>
            </w:r>
          </w:p>
          <w:p>
            <w:pPr>
              <w:pStyle w:val="ListParagraph"/>
              <w:widowControl w:val="false"/>
              <w:numPr>
                <w:ilvl w:val="0"/>
                <w:numId w:val="26"/>
              </w:numPr>
              <w:jc w:val="left"/>
              <w:rPr>
                <w:rFonts w:cs="Arial"/>
                <w:szCs w:val="20"/>
                <w:lang w:val="en-GB"/>
              </w:rPr>
            </w:pPr>
            <w:r>
              <w:rPr>
                <w:rFonts w:cs="Arial"/>
                <w:b/>
                <w:szCs w:val="20"/>
                <w:lang w:val="en-GB"/>
              </w:rPr>
              <w:t>Task 3.2</w:t>
            </w:r>
            <w:r>
              <w:rPr>
                <w:rFonts w:cs="Arial"/>
                <w:szCs w:val="20"/>
                <w:lang w:val="en-GB"/>
              </w:rPr>
              <w:t> Identifies a set of contents and training structure for capacity building activities on technical and horizontal skills. This will serve as input for WP4 (for implementation) and WP5 (feeding the long-term strategy for capacity building) and will complement further indication from WP2</w:t>
            </w:r>
            <w:r>
              <w:rPr>
                <w:rFonts w:cs="Arial"/>
                <w:szCs w:val="20"/>
              </w:rPr>
              <w:t> </w:t>
            </w:r>
            <w:r>
              <w:rPr>
                <w:rFonts w:cs="Arial"/>
                <w:b/>
                <w:szCs w:val="20"/>
                <w:lang w:val="en-GB"/>
              </w:rPr>
              <w:t xml:space="preserve"> </w:t>
            </w:r>
          </w:p>
          <w:p>
            <w:pPr>
              <w:pStyle w:val="ListParagraph"/>
              <w:widowControl w:val="false"/>
              <w:numPr>
                <w:ilvl w:val="0"/>
                <w:numId w:val="27"/>
              </w:numPr>
              <w:jc w:val="left"/>
              <w:rPr>
                <w:rFonts w:cs="Arial"/>
                <w:szCs w:val="20"/>
                <w:lang w:val="en-GB"/>
              </w:rPr>
            </w:pPr>
            <w:r>
              <w:rPr>
                <w:rFonts w:cs="Arial"/>
                <w:b/>
                <w:szCs w:val="20"/>
                <w:lang w:val="en-GB"/>
              </w:rPr>
              <w:t>Task 4.1.:</w:t>
            </w:r>
            <w:r>
              <w:rPr>
                <w:rFonts w:cs="Arial"/>
                <w:szCs w:val="20"/>
                <w:lang w:val="en-GB"/>
              </w:rPr>
              <w:t xml:space="preserve"> Expanding, managing and animating the LEAP-RE community</w:t>
            </w:r>
          </w:p>
          <w:p>
            <w:pPr>
              <w:pStyle w:val="ListParagraph"/>
              <w:widowControl w:val="false"/>
              <w:numPr>
                <w:ilvl w:val="0"/>
                <w:numId w:val="6"/>
              </w:numPr>
              <w:spacing w:before="60" w:after="60"/>
              <w:ind w:left="1127" w:hanging="360"/>
              <w:contextualSpacing/>
              <w:jc w:val="left"/>
              <w:rPr>
                <w:rFonts w:cs="Arial"/>
                <w:szCs w:val="20"/>
              </w:rPr>
            </w:pPr>
            <w:r>
              <w:rPr>
                <w:rFonts w:cs="Arial"/>
                <w:szCs w:val="20"/>
                <w:lang w:val="en-GB"/>
              </w:rPr>
              <w:t>contribution to the stakeholder surveys</w:t>
            </w:r>
          </w:p>
        </w:tc>
        <w:tc>
          <w:tcPr>
            <w:tcW w:w="1984" w:type="dxa"/>
            <w:tcBorders>
              <w:top w:val="single" w:sz="4" w:space="0" w:color="4472C4"/>
              <w:bottom w:val="single" w:sz="4" w:space="0" w:color="4472C4"/>
            </w:tcBorders>
            <w:shd w:color="auto" w:fill="auto" w:val="clear"/>
          </w:tcPr>
          <w:p>
            <w:pPr>
              <w:pStyle w:val="Normal"/>
              <w:widowControl w:val="false"/>
              <w:spacing w:before="60" w:after="60"/>
              <w:jc w:val="left"/>
              <w:rPr>
                <w:rFonts w:cs="Arial"/>
                <w:szCs w:val="20"/>
                <w:lang w:val="en-GB"/>
              </w:rPr>
            </w:pPr>
            <w:r>
              <w:rPr>
                <w:rFonts w:cs="Arial"/>
                <w:szCs w:val="20"/>
                <w:lang w:val="en-GB"/>
              </w:rPr>
              <w:t xml:space="preserve">MESRS &amp; </w:t>
            </w:r>
            <w:r>
              <w:rPr>
                <w:rFonts w:cs="Arial"/>
                <w:szCs w:val="20"/>
                <w:lang w:val="de-DE"/>
              </w:rPr>
              <w:t>ZSI</w:t>
            </w:r>
          </w:p>
        </w:tc>
      </w:tr>
      <w:tr>
        <w:trPr>
          <w:trHeight w:val="1076" w:hRule="atLeast"/>
        </w:trPr>
        <w:tc>
          <w:tcPr>
            <w:tcW w:w="1321" w:type="dxa"/>
            <w:tcBorders>
              <w:top w:val="single" w:sz="4" w:space="0" w:color="4472C4"/>
              <w:bottom w:val="single" w:sz="4" w:space="0" w:color="000000"/>
            </w:tcBorders>
          </w:tcPr>
          <w:p>
            <w:pPr>
              <w:pStyle w:val="Normal"/>
              <w:widowControl w:val="false"/>
              <w:spacing w:before="60" w:after="60"/>
              <w:jc w:val="left"/>
              <w:rPr>
                <w:rFonts w:cs="Arial"/>
                <w:szCs w:val="20"/>
                <w:lang w:val="en-GB"/>
              </w:rPr>
            </w:pPr>
            <w:r>
              <w:rPr>
                <w:rFonts w:cs="Arial"/>
                <w:szCs w:val="20"/>
                <w:lang w:val="en-GB"/>
              </w:rPr>
              <w:t>4</w:t>
            </w:r>
          </w:p>
        </w:tc>
        <w:tc>
          <w:tcPr>
            <w:tcW w:w="6287" w:type="dxa"/>
            <w:tcBorders>
              <w:top w:val="single" w:sz="4" w:space="0" w:color="4472C4"/>
              <w:bottom w:val="single" w:sz="4" w:space="0" w:color="000000"/>
            </w:tcBorders>
          </w:tcPr>
          <w:p>
            <w:pPr>
              <w:pStyle w:val="Normal"/>
              <w:widowControl w:val="false"/>
              <w:spacing w:before="60" w:after="60"/>
              <w:jc w:val="left"/>
              <w:rPr>
                <w:rFonts w:cs="Arial"/>
                <w:b/>
                <w:b/>
                <w:szCs w:val="20"/>
                <w:lang w:val="en-GB"/>
              </w:rPr>
            </w:pPr>
            <w:r>
              <w:rPr>
                <w:rFonts w:cs="Arial"/>
                <w:b/>
                <w:szCs w:val="20"/>
                <w:lang w:val="en-GB"/>
              </w:rPr>
              <w:t>Task 5.4: Strategic ambition of the long-term partnership</w:t>
            </w:r>
          </w:p>
          <w:p>
            <w:pPr>
              <w:pStyle w:val="Normal"/>
              <w:widowControl w:val="false"/>
              <w:jc w:val="left"/>
              <w:rPr>
                <w:rFonts w:cs="Arial"/>
                <w:b/>
                <w:b/>
                <w:szCs w:val="20"/>
                <w:lang w:val="en-GB"/>
              </w:rPr>
            </w:pPr>
            <w:r>
              <w:rPr>
                <w:rFonts w:cs="Arial"/>
                <w:b/>
                <w:szCs w:val="20"/>
                <w:lang w:val="en-GB"/>
              </w:rPr>
              <w:t>WP4</w:t>
            </w:r>
          </w:p>
          <w:p>
            <w:pPr>
              <w:pStyle w:val="ListParagraph"/>
              <w:widowControl w:val="false"/>
              <w:numPr>
                <w:ilvl w:val="0"/>
                <w:numId w:val="28"/>
              </w:numPr>
              <w:jc w:val="left"/>
              <w:rPr>
                <w:rFonts w:cs="Arial"/>
                <w:szCs w:val="20"/>
                <w:lang w:val="en-GB"/>
              </w:rPr>
            </w:pPr>
            <w:r>
              <w:rPr>
                <w:rFonts w:cs="Arial"/>
                <w:b/>
                <w:szCs w:val="20"/>
                <w:lang w:val="en-GB"/>
              </w:rPr>
              <w:t xml:space="preserve">Task 4.2.: </w:t>
            </w:r>
            <w:r>
              <w:rPr>
                <w:rFonts w:cs="Arial"/>
                <w:szCs w:val="20"/>
                <w:lang w:val="en-GB"/>
              </w:rPr>
              <w:t>Knowledge capitalisation, valorisation, &amp; scientific dissemination</w:t>
            </w:r>
          </w:p>
          <w:p>
            <w:pPr>
              <w:pStyle w:val="ListParagraph"/>
              <w:widowControl w:val="false"/>
              <w:numPr>
                <w:ilvl w:val="0"/>
                <w:numId w:val="6"/>
              </w:numPr>
              <w:ind w:left="1127" w:hanging="360"/>
              <w:jc w:val="left"/>
              <w:rPr>
                <w:rFonts w:cs="Arial"/>
                <w:szCs w:val="20"/>
                <w:lang w:val="en-GB"/>
              </w:rPr>
            </w:pPr>
            <w:r>
              <w:rPr>
                <w:rFonts w:cs="Arial"/>
                <w:szCs w:val="20"/>
                <w:lang w:val="en-GB"/>
              </w:rPr>
              <w:t>Reflecting on the TCIP approach along the existing MARs</w:t>
            </w:r>
          </w:p>
          <w:p>
            <w:pPr>
              <w:pStyle w:val="ListParagraph"/>
              <w:widowControl w:val="false"/>
              <w:numPr>
                <w:ilvl w:val="0"/>
                <w:numId w:val="6"/>
              </w:numPr>
              <w:ind w:left="1127" w:hanging="360"/>
              <w:jc w:val="left"/>
              <w:rPr>
                <w:rFonts w:cs="Arial"/>
                <w:szCs w:val="20"/>
                <w:lang w:val="en-GB"/>
              </w:rPr>
            </w:pPr>
            <w:r>
              <w:rPr>
                <w:rFonts w:cs="Arial"/>
                <w:szCs w:val="20"/>
                <w:lang w:val="en-GB"/>
              </w:rPr>
              <w:t>building a knowledge management and communication framework (Sorting House Mechanism and Sorting House Network)</w:t>
            </w:r>
          </w:p>
          <w:p>
            <w:pPr>
              <w:pStyle w:val="ListParagraph"/>
              <w:widowControl w:val="false"/>
              <w:numPr>
                <w:ilvl w:val="0"/>
                <w:numId w:val="29"/>
              </w:numPr>
              <w:jc w:val="left"/>
              <w:rPr>
                <w:rFonts w:cs="Arial"/>
                <w:szCs w:val="20"/>
                <w:lang w:val="en-GB"/>
              </w:rPr>
            </w:pPr>
            <w:r>
              <w:rPr>
                <w:rFonts w:cs="Arial"/>
                <w:b/>
                <w:szCs w:val="20"/>
                <w:lang w:val="en-GB"/>
              </w:rPr>
              <w:t xml:space="preserve">Task 4.3.: </w:t>
            </w:r>
            <w:r>
              <w:rPr>
                <w:rFonts w:cs="Arial"/>
                <w:szCs w:val="20"/>
                <w:lang w:val="en-GB"/>
              </w:rPr>
              <w:t xml:space="preserve">Innovation Accelerator </w:t>
            </w:r>
          </w:p>
          <w:p>
            <w:pPr>
              <w:pStyle w:val="ListParagraph"/>
              <w:widowControl w:val="false"/>
              <w:numPr>
                <w:ilvl w:val="0"/>
                <w:numId w:val="6"/>
              </w:numPr>
              <w:ind w:left="1127" w:hanging="360"/>
              <w:jc w:val="left"/>
              <w:rPr>
                <w:rFonts w:cs="Arial"/>
                <w:szCs w:val="20"/>
                <w:lang w:val="en-GB"/>
              </w:rPr>
            </w:pPr>
            <w:r>
              <w:rPr>
                <w:rFonts w:cs="Arial"/>
                <w:szCs w:val="20"/>
                <w:lang w:val="en-GB"/>
              </w:rPr>
              <w:t>building a knowledge management and communication framework (Sorting House Mechanism and Sorting House Network)</w:t>
            </w:r>
          </w:p>
          <w:p>
            <w:pPr>
              <w:pStyle w:val="ListParagraph"/>
              <w:widowControl w:val="false"/>
              <w:numPr>
                <w:ilvl w:val="0"/>
                <w:numId w:val="6"/>
              </w:numPr>
              <w:ind w:left="1127" w:hanging="360"/>
              <w:jc w:val="left"/>
              <w:rPr>
                <w:rFonts w:cs="Arial"/>
                <w:szCs w:val="20"/>
                <w:lang w:val="en-GB"/>
              </w:rPr>
            </w:pPr>
            <w:r>
              <w:rPr>
                <w:rFonts w:cs="Arial"/>
                <w:szCs w:val="20"/>
                <w:lang w:val="en-GB"/>
              </w:rPr>
            </w:r>
          </w:p>
          <w:p>
            <w:pPr>
              <w:pStyle w:val="ListParagraph"/>
              <w:widowControl w:val="false"/>
              <w:numPr>
                <w:ilvl w:val="0"/>
                <w:numId w:val="30"/>
              </w:numPr>
              <w:jc w:val="left"/>
              <w:rPr>
                <w:rFonts w:cs="Arial"/>
                <w:b/>
                <w:b/>
                <w:szCs w:val="20"/>
                <w:lang w:val="en-GB"/>
              </w:rPr>
            </w:pPr>
            <w:r>
              <w:rPr>
                <w:rFonts w:cs="Arial"/>
                <w:b/>
                <w:szCs w:val="20"/>
                <w:lang w:val="en-GB"/>
              </w:rPr>
              <w:t xml:space="preserve">Task 4.4.: </w:t>
            </w:r>
            <w:r>
              <w:rPr>
                <w:rFonts w:cs="Arial"/>
                <w:szCs w:val="20"/>
                <w:lang w:val="en-GB"/>
              </w:rPr>
              <w:t>Programme communication</w:t>
            </w:r>
          </w:p>
          <w:p>
            <w:pPr>
              <w:pStyle w:val="ListParagraph"/>
              <w:widowControl w:val="false"/>
              <w:numPr>
                <w:ilvl w:val="0"/>
                <w:numId w:val="6"/>
              </w:numPr>
              <w:ind w:left="1127" w:hanging="360"/>
              <w:jc w:val="left"/>
              <w:rPr>
                <w:rFonts w:cs="Arial"/>
                <w:szCs w:val="20"/>
                <w:lang w:val="en-GB"/>
              </w:rPr>
            </w:pPr>
            <w:r>
              <w:rPr>
                <w:rFonts w:cs="Arial"/>
                <w:szCs w:val="20"/>
                <w:lang w:val="en-GB"/>
              </w:rPr>
              <w:t>Communication plan and material</w:t>
            </w:r>
          </w:p>
          <w:p>
            <w:pPr>
              <w:pStyle w:val="ListParagraph"/>
              <w:widowControl w:val="false"/>
              <w:numPr>
                <w:ilvl w:val="0"/>
                <w:numId w:val="6"/>
              </w:numPr>
              <w:ind w:left="1127" w:hanging="360"/>
              <w:jc w:val="left"/>
              <w:rPr>
                <w:rFonts w:cs="Arial"/>
                <w:szCs w:val="20"/>
                <w:lang w:val="en-GB"/>
              </w:rPr>
            </w:pPr>
            <w:r>
              <w:rPr>
                <w:rFonts w:cs="Arial"/>
                <w:szCs w:val="20"/>
                <w:lang w:val="en-GB"/>
              </w:rPr>
              <w:t>Awareness strategy</w:t>
            </w:r>
          </w:p>
          <w:p>
            <w:pPr>
              <w:pStyle w:val="ListParagraph"/>
              <w:widowControl w:val="false"/>
              <w:numPr>
                <w:ilvl w:val="0"/>
                <w:numId w:val="6"/>
              </w:numPr>
              <w:ind w:left="1127" w:hanging="360"/>
              <w:jc w:val="left"/>
              <w:rPr>
                <w:rFonts w:cs="Arial"/>
                <w:szCs w:val="20"/>
                <w:lang w:val="en-GB"/>
              </w:rPr>
            </w:pPr>
            <w:r>
              <w:rPr>
                <w:rFonts w:cs="Arial"/>
                <w:szCs w:val="20"/>
                <w:lang w:val="en-GB"/>
              </w:rPr>
              <w:t>Design of digital workspaces</w:t>
            </w:r>
          </w:p>
          <w:p>
            <w:pPr>
              <w:pStyle w:val="ListParagraph"/>
              <w:widowControl w:val="false"/>
              <w:numPr>
                <w:ilvl w:val="0"/>
                <w:numId w:val="31"/>
              </w:numPr>
              <w:jc w:val="left"/>
              <w:rPr>
                <w:rFonts w:cs="Arial"/>
                <w:b/>
                <w:b/>
                <w:szCs w:val="20"/>
                <w:lang w:val="en-GB"/>
              </w:rPr>
            </w:pPr>
            <w:r>
              <w:rPr>
                <w:rFonts w:cs="Arial"/>
                <w:b/>
                <w:szCs w:val="20"/>
                <w:lang w:val="en-GB"/>
              </w:rPr>
              <w:t xml:space="preserve">WP6 - Building the partnership </w:t>
            </w:r>
          </w:p>
          <w:p>
            <w:pPr>
              <w:pStyle w:val="ListParagraph"/>
              <w:widowControl w:val="false"/>
              <w:numPr>
                <w:ilvl w:val="0"/>
                <w:numId w:val="6"/>
              </w:numPr>
              <w:ind w:left="1127" w:hanging="360"/>
              <w:jc w:val="left"/>
              <w:rPr>
                <w:rFonts w:cs="Arial"/>
                <w:szCs w:val="20"/>
                <w:lang w:val="en-GB"/>
              </w:rPr>
            </w:pPr>
            <w:r>
              <w:rPr>
                <w:rFonts w:cs="Arial"/>
                <w:szCs w:val="20"/>
                <w:lang w:val="en-GB"/>
              </w:rPr>
              <w:t xml:space="preserve">Task 6.1: Strategic design of the partnership </w:t>
            </w:r>
          </w:p>
          <w:p>
            <w:pPr>
              <w:pStyle w:val="ListParagraph"/>
              <w:widowControl w:val="false"/>
              <w:numPr>
                <w:ilvl w:val="0"/>
                <w:numId w:val="6"/>
              </w:numPr>
              <w:spacing w:before="60" w:after="60"/>
              <w:ind w:left="1127" w:hanging="360"/>
              <w:contextualSpacing/>
              <w:jc w:val="left"/>
              <w:rPr>
                <w:rFonts w:cs="Arial"/>
                <w:szCs w:val="20"/>
                <w:lang w:val="en-GB"/>
              </w:rPr>
            </w:pPr>
            <w:r>
              <w:rPr>
                <w:rFonts w:cs="Arial"/>
                <w:szCs w:val="20"/>
                <w:lang w:val="en-GB"/>
              </w:rPr>
              <w:t>Task 6.2: Partnership governance</w:t>
            </w:r>
          </w:p>
        </w:tc>
        <w:tc>
          <w:tcPr>
            <w:tcW w:w="1984" w:type="dxa"/>
            <w:tcBorders>
              <w:top w:val="single" w:sz="4" w:space="0" w:color="4472C4"/>
              <w:bottom w:val="single" w:sz="4" w:space="0" w:color="000000"/>
            </w:tcBorders>
          </w:tcPr>
          <w:p>
            <w:pPr>
              <w:pStyle w:val="Normal"/>
              <w:widowControl w:val="false"/>
              <w:spacing w:before="60" w:after="60"/>
              <w:jc w:val="left"/>
              <w:rPr>
                <w:rFonts w:cs="Arial"/>
                <w:szCs w:val="20"/>
                <w:highlight w:val="yellow"/>
                <w:lang w:val="en-GB"/>
              </w:rPr>
            </w:pPr>
            <w:r>
              <w:rPr>
                <w:rFonts w:cs="Arial"/>
                <w:szCs w:val="20"/>
                <w:lang w:val="en-GB"/>
              </w:rPr>
              <w:t>PAUWES &amp; DLR</w:t>
            </w:r>
          </w:p>
        </w:tc>
      </w:tr>
    </w:tbl>
    <w:p>
      <w:pPr>
        <w:pStyle w:val="Heading2"/>
        <w:rPr/>
      </w:pPr>
      <w:bookmarkStart w:id="29" w:name="_Toc64621550"/>
      <w:commentRangeStart w:id="12"/>
      <w:r>
        <w:rPr/>
        <w:t>Risks</w:t>
      </w:r>
      <w:bookmarkEnd w:id="29"/>
      <w:r>
        <w:rPr/>
        <w:t xml:space="preserve"> </w:t>
      </w:r>
      <w:commentRangeEnd w:id="12"/>
      <w:r>
        <w:commentReference w:id="12"/>
      </w:r>
      <w:r>
        <w:rPr/>
      </w:r>
    </w:p>
    <w:tbl>
      <w:tblPr>
        <w:tblW w:w="935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709"/>
        <w:gridCol w:w="3062"/>
        <w:gridCol w:w="4308"/>
        <w:gridCol w:w="710"/>
        <w:gridCol w:w="567"/>
      </w:tblGrid>
      <w:tr>
        <w:trPr>
          <w:tblHeader w:val="true"/>
        </w:trPr>
        <w:tc>
          <w:tcPr>
            <w:tcW w:w="9356" w:type="dxa"/>
            <w:gridSpan w:val="5"/>
            <w:tcBorders>
              <w:top w:val="single" w:sz="4" w:space="0" w:color="000000"/>
              <w:bottom w:val="single" w:sz="4" w:space="0" w:color="4472C4"/>
            </w:tcBorders>
            <w:shd w:color="auto" w:fill="F2F2F2" w:themeFill="background1" w:themeFillShade="f2" w:val="clear"/>
          </w:tcPr>
          <w:p>
            <w:pPr>
              <w:pStyle w:val="Annotationtext"/>
              <w:widowControl w:val="false"/>
              <w:rPr>
                <w:rFonts w:ascii="Calibri" w:hAnsi="Calibri" w:cs="Calibri" w:asciiTheme="minorHAnsi" w:cstheme="minorHAnsi" w:hAnsiTheme="minorHAnsi"/>
                <w:lang w:val="en-GB"/>
              </w:rPr>
            </w:pPr>
            <w:r>
              <w:rPr>
                <w:rFonts w:cs="Calibri" w:ascii="Calibri" w:hAnsi="Calibri" w:asciiTheme="minorHAnsi" w:cstheme="minorHAnsi" w:hAnsiTheme="minorHAnsi"/>
                <w:lang w:val="en-GB"/>
              </w:rPr>
              <w:t xml:space="preserve">Contractual risks (number, description, risk-mitigation), </w:t>
            </w:r>
            <w:r>
              <w:rPr>
                <w:rFonts w:cs="Calibri" w:ascii="Calibri" w:hAnsi="Calibri" w:asciiTheme="minorHAnsi" w:cstheme="minorHAnsi" w:hAnsiTheme="minorHAnsi"/>
                <w:b/>
                <w:lang w:val="en-GB"/>
              </w:rPr>
              <w:t>probability (1=low; 5=high)</w:t>
            </w:r>
            <w:r>
              <w:rPr>
                <w:rFonts w:cs="Calibri" w:ascii="Calibri" w:hAnsi="Calibri" w:asciiTheme="minorHAnsi" w:cstheme="minorHAnsi" w:hAnsiTheme="minorHAnsi"/>
                <w:lang w:val="en-GB"/>
              </w:rPr>
              <w:t xml:space="preserve"> that the risk occurs and </w:t>
            </w:r>
            <w:r>
              <w:rPr>
                <w:rFonts w:cs="Calibri" w:ascii="Calibri" w:hAnsi="Calibri" w:asciiTheme="minorHAnsi" w:cstheme="minorHAnsi" w:hAnsiTheme="minorHAnsi"/>
                <w:b/>
                <w:lang w:val="en-GB"/>
              </w:rPr>
              <w:t>impact (1=low; 5=high)</w:t>
            </w:r>
            <w:r>
              <w:rPr>
                <w:rFonts w:cs="Calibri" w:ascii="Calibri" w:hAnsi="Calibri" w:asciiTheme="minorHAnsi" w:cstheme="minorHAnsi" w:hAnsiTheme="minorHAnsi"/>
                <w:lang w:val="en-GB"/>
              </w:rPr>
              <w:t xml:space="preserve"> if the risk occurs. Other risks (not in GA) can be added so they can be followed during the project. Risk mitigation: </w:t>
            </w:r>
            <w:r>
              <w:rPr>
                <w:rFonts w:cs="Calibri" w:ascii="Calibri" w:hAnsi="Calibri" w:asciiTheme="minorHAnsi" w:cstheme="minorHAnsi" w:hAnsiTheme="minorHAnsi"/>
                <w:b/>
                <w:lang w:val="en-GB"/>
              </w:rPr>
              <w:t>P=preventive actions</w:t>
            </w:r>
            <w:r>
              <w:rPr>
                <w:rFonts w:cs="Calibri" w:ascii="Calibri" w:hAnsi="Calibri" w:asciiTheme="minorHAnsi" w:cstheme="minorHAnsi" w:hAnsiTheme="minorHAnsi"/>
                <w:lang w:val="en-GB"/>
              </w:rPr>
              <w:t xml:space="preserve"> / </w:t>
            </w:r>
            <w:r>
              <w:rPr>
                <w:rFonts w:cs="Calibri" w:ascii="Calibri" w:hAnsi="Calibri" w:asciiTheme="minorHAnsi" w:cstheme="minorHAnsi" w:hAnsiTheme="minorHAnsi"/>
                <w:b/>
                <w:lang w:val="en-GB"/>
              </w:rPr>
              <w:t>C=contingency actions</w:t>
            </w:r>
            <w:r>
              <w:rPr>
                <w:rFonts w:cs="Calibri" w:ascii="Calibri" w:hAnsi="Calibri" w:asciiTheme="minorHAnsi" w:cstheme="minorHAnsi" w:hAnsiTheme="minorHAnsi"/>
                <w:lang w:val="en-GB"/>
              </w:rPr>
              <w:t>.</w:t>
            </w:r>
          </w:p>
          <w:p>
            <w:pPr>
              <w:pStyle w:val="Annotationtext"/>
              <w:widowControl w:val="false"/>
              <w:rPr>
                <w:rFonts w:cs="Calibri" w:cstheme="minorHAnsi"/>
                <w:b/>
                <w:b/>
                <w:bCs/>
                <w:lang w:val="en-GB"/>
              </w:rPr>
            </w:pPr>
            <w:r>
              <w:rPr>
                <w:rFonts w:cs="Calibri" w:cstheme="minorHAnsi"/>
                <w:b/>
                <w:bCs/>
                <w:lang w:val="en-GB"/>
              </w:rPr>
            </w:r>
          </w:p>
        </w:tc>
      </w:tr>
      <w:tr>
        <w:trPr>
          <w:tblHeader w:val="true"/>
        </w:trPr>
        <w:tc>
          <w:tcPr>
            <w:tcW w:w="709"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left"/>
              <w:rPr>
                <w:rFonts w:cs="Calibri" w:cstheme="minorHAnsi"/>
                <w:b/>
                <w:b/>
                <w:bCs/>
                <w:lang w:val="en-GB"/>
              </w:rPr>
            </w:pPr>
            <w:r>
              <w:rPr>
                <w:rFonts w:cs="Calibri" w:cstheme="minorHAnsi"/>
                <w:b/>
                <w:bCs/>
                <w:lang w:val="en-GB"/>
              </w:rPr>
              <w:t>Number</w:t>
            </w:r>
          </w:p>
        </w:tc>
        <w:tc>
          <w:tcPr>
            <w:tcW w:w="3062"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left"/>
              <w:rPr>
                <w:rFonts w:cs="Calibri" w:cstheme="minorHAnsi"/>
                <w:b/>
                <w:b/>
                <w:bCs/>
                <w:lang w:val="en-GB"/>
              </w:rPr>
            </w:pPr>
            <w:r>
              <w:rPr>
                <w:rFonts w:cs="Calibri" w:cstheme="minorHAnsi"/>
                <w:b/>
                <w:bCs/>
                <w:lang w:val="en-GB"/>
              </w:rPr>
              <w:t>Risk description</w:t>
            </w:r>
          </w:p>
        </w:tc>
        <w:tc>
          <w:tcPr>
            <w:tcW w:w="4308"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left"/>
              <w:rPr>
                <w:rFonts w:cs="Calibri" w:cstheme="minorHAnsi"/>
                <w:b/>
                <w:b/>
                <w:bCs/>
                <w:lang w:val="en-GB"/>
              </w:rPr>
            </w:pPr>
            <w:r>
              <w:rPr>
                <w:rFonts w:cs="Calibri" w:cstheme="minorHAnsi"/>
                <w:b/>
                <w:bCs/>
                <w:lang w:val="en-GB"/>
              </w:rPr>
              <w:t>Risk mitigation</w:t>
            </w:r>
          </w:p>
        </w:tc>
        <w:tc>
          <w:tcPr>
            <w:tcW w:w="710"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center"/>
              <w:rPr>
                <w:rFonts w:cs="Calibri" w:cstheme="minorHAnsi"/>
                <w:b/>
                <w:b/>
                <w:bCs/>
                <w:lang w:val="en-GB"/>
              </w:rPr>
            </w:pPr>
            <w:r>
              <w:rPr>
                <w:rFonts w:cs="Calibri" w:cstheme="minorHAnsi"/>
                <w:b/>
                <w:bCs/>
                <w:lang w:val="en-GB"/>
              </w:rPr>
              <w:t>Probability</w:t>
            </w:r>
          </w:p>
        </w:tc>
        <w:tc>
          <w:tcPr>
            <w:tcW w:w="567"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center"/>
              <w:rPr>
                <w:rFonts w:cs="Calibri" w:cstheme="minorHAnsi"/>
                <w:b/>
                <w:b/>
                <w:bCs/>
                <w:lang w:val="en-GB"/>
              </w:rPr>
            </w:pPr>
            <w:r>
              <w:rPr>
                <w:rFonts w:cs="Calibri" w:cstheme="minorHAnsi"/>
                <w:b/>
                <w:bCs/>
                <w:lang w:val="en-GB"/>
              </w:rPr>
              <w:t>Impact</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1</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color w:val="000000"/>
                <w:lang w:eastAsia="de-DE"/>
              </w:rPr>
              <w:t>Uncertainties linked to COVID pandemic If it occurs: Impacts on collaboration modes</w:t>
            </w:r>
          </w:p>
        </w:tc>
        <w:tc>
          <w:tcPr>
            <w:tcW w:w="4308"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color w:val="000000"/>
                <w:lang w:eastAsia="de-DE"/>
              </w:rPr>
              <w:t>(P) The risk and impact will be monitored from the LEAP-RE perspective including during proposal evaluation (P) Use of virtual meetings (C) The programme is set to start in Jan. 2021; if needed, the start could be delayed</w:t>
            </w:r>
          </w:p>
        </w:tc>
        <w:tc>
          <w:tcPr>
            <w:tcW w:w="710"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4</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3</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Manageability of very large consortium impact if it occurs: Lack of alignment of some partners with programme objectives</w:t>
            </w:r>
          </w:p>
        </w:tc>
        <w:tc>
          <w:tcPr>
            <w:tcW w:w="4308"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Programme coordination and PMB of experienced professionals, with sufficient dedicated time and effort (C) Organisation of general workshops with all partners allow to realign on objectives. Workshops will serves as an opportunity to consult the LEAP-RE partners and make sure that they are align with the project objectives consultation of all the LEAP-RE partner</w:t>
            </w:r>
          </w:p>
        </w:tc>
        <w:tc>
          <w:tcPr>
            <w:tcW w:w="710"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4</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Complexity of the programme structure impact if risk occurs: Delays or even failure to deliver</w:t>
            </w:r>
          </w:p>
        </w:tc>
        <w:tc>
          <w:tcPr>
            <w:tcW w:w="4308"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Solid managerial structure and work plan. Pillar management by delegation. Regular PMB meetings. (P) Detailed Work Plans with clear responsibilities for all</w:t>
            </w:r>
          </w:p>
        </w:tc>
        <w:tc>
          <w:tcPr>
            <w:tcW w:w="710"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5</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Increased risk of defaulting partners during 5 years Impact if occurs: Missing link possible and therefore missing functionalities, if input of one party is default</w:t>
            </w:r>
          </w:p>
        </w:tc>
        <w:tc>
          <w:tcPr>
            <w:tcW w:w="4308"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A large majority of partners are only involved in 1-2 WPs, which prevents any systemic risk (no domino effect) (P) Experienced programme coordination team (C) Access to large community allows to easily find partner replacements (C) WP and Task leaders monitor risks and flag problems to enable timely mitigation</w:t>
            </w:r>
          </w:p>
        </w:tc>
        <w:tc>
          <w:tcPr>
            <w:tcW w:w="710"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4</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6</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Problems in conflict resolutions Impact if occurs: Delays, departure of a partner or failure to deliver the final product</w:t>
            </w:r>
          </w:p>
        </w:tc>
        <w:tc>
          <w:tcPr>
            <w:tcW w:w="4308"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Develop continuous mutual trust. Regular meetings (P) Conflict resolution process in Consortium Agreement (C) Perform a progressive de-escalation by reducing tension and building step-by-step solutions. Appoint a mediator(s) to solve conflicts.</w:t>
            </w:r>
          </w:p>
        </w:tc>
        <w:tc>
          <w:tcPr>
            <w:tcW w:w="710"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3</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7</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Weak partner commitment due to lack of physical meetings Impact if occurs: Limited interaction among parties and commitment, especially regarding the inter-WP activities</w:t>
            </w:r>
          </w:p>
        </w:tc>
        <w:tc>
          <w:tcPr>
            <w:tcW w:w="4308"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Use of virtual meetings is becoming the ‘new normal’ (P) Three general workshops (C) Organization of regular virtual meetings and increase of involvement of parties on common activities</w:t>
            </w:r>
          </w:p>
        </w:tc>
        <w:tc>
          <w:tcPr>
            <w:tcW w:w="710"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17</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EU policy shifts Impact: Lack of endorsement of future partnership (EC)</w:t>
            </w:r>
          </w:p>
        </w:tc>
        <w:tc>
          <w:tcPr>
            <w:tcW w:w="4308"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Continuous dialogue (P) Financial sustainability plan not relying on EC</w:t>
            </w:r>
          </w:p>
        </w:tc>
        <w:tc>
          <w:tcPr>
            <w:tcW w:w="710"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3</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highlight w:val="yellow"/>
                <w:lang w:val="en-GB"/>
              </w:rPr>
            </w:pPr>
            <w:r>
              <w:rPr>
                <w:rFonts w:cs="Calibri" w:cstheme="minorHAnsi"/>
                <w:b/>
                <w:highlight w:val="yellow"/>
                <w:lang w:val="en-GB"/>
              </w:rPr>
              <w:t>New</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lang w:val="en-GB"/>
              </w:rPr>
            </w:pPr>
            <w:r>
              <w:rPr>
                <w:rFonts w:cs="Calibri" w:cstheme="minorHAnsi"/>
                <w:lang w:val="en-GB"/>
              </w:rPr>
              <w:t>Involvements of European research institutions in participating to train African capacities</w:t>
            </w:r>
          </w:p>
        </w:tc>
        <w:tc>
          <w:tcPr>
            <w:tcW w:w="4308" w:type="dxa"/>
            <w:tcBorders>
              <w:top w:val="single" w:sz="4" w:space="0" w:color="4472C4"/>
              <w:bottom w:val="single" w:sz="4" w:space="0" w:color="4472C4"/>
            </w:tcBorders>
          </w:tcPr>
          <w:p>
            <w:pPr>
              <w:pStyle w:val="Normal"/>
              <w:widowControl w:val="false"/>
              <w:spacing w:before="60" w:after="60"/>
              <w:jc w:val="left"/>
              <w:rPr>
                <w:rFonts w:cs="Calibri" w:cstheme="minorHAnsi"/>
                <w:lang w:val="en-GB"/>
              </w:rPr>
            </w:pPr>
            <w:r>
              <w:rPr>
                <w:rFonts w:cs="Calibri" w:cstheme="minorHAnsi"/>
                <w:lang w:val="en-GB"/>
              </w:rPr>
              <w:t>Sensibilization, rely on the partner institutions of the project</w:t>
            </w:r>
          </w:p>
        </w:tc>
        <w:tc>
          <w:tcPr>
            <w:tcW w:w="710"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3</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000000"/>
            </w:tcBorders>
          </w:tcPr>
          <w:p>
            <w:pPr>
              <w:pStyle w:val="Normal"/>
              <w:widowControl w:val="false"/>
              <w:spacing w:before="60" w:after="60"/>
              <w:jc w:val="left"/>
              <w:rPr>
                <w:rFonts w:cs="Calibri" w:cstheme="minorHAnsi"/>
                <w:b/>
                <w:b/>
                <w:highlight w:val="yellow"/>
                <w:lang w:val="en-GB"/>
              </w:rPr>
            </w:pPr>
            <w:r>
              <w:rPr>
                <w:rFonts w:cs="Calibri" w:cstheme="minorHAnsi"/>
                <w:b/>
                <w:highlight w:val="yellow"/>
                <w:lang w:val="en-GB"/>
              </w:rPr>
              <w:t>New</w:t>
            </w:r>
          </w:p>
        </w:tc>
        <w:tc>
          <w:tcPr>
            <w:tcW w:w="3062" w:type="dxa"/>
            <w:tcBorders>
              <w:top w:val="single" w:sz="4" w:space="0" w:color="4472C4"/>
              <w:bottom w:val="single" w:sz="4" w:space="0" w:color="000000"/>
            </w:tcBorders>
          </w:tcPr>
          <w:p>
            <w:pPr>
              <w:pStyle w:val="Normal"/>
              <w:widowControl w:val="false"/>
              <w:spacing w:before="60" w:after="60"/>
              <w:jc w:val="left"/>
              <w:rPr>
                <w:rFonts w:cs="Calibri" w:cstheme="minorHAnsi"/>
                <w:lang w:val="en-GB"/>
              </w:rPr>
            </w:pPr>
            <w:r>
              <w:rPr>
                <w:rFonts w:cs="Calibri" w:cstheme="minorHAnsi"/>
                <w:lang w:val="en-GB"/>
              </w:rPr>
              <w:t>Lack of response and attention in the AU-EU HLPD and relevant ministries of the member states to the WP5 process and its results</w:t>
            </w:r>
          </w:p>
        </w:tc>
        <w:tc>
          <w:tcPr>
            <w:tcW w:w="4308" w:type="dxa"/>
            <w:tcBorders>
              <w:top w:val="single" w:sz="4" w:space="0" w:color="4472C4"/>
              <w:bottom w:val="single" w:sz="4" w:space="0" w:color="000000"/>
            </w:tcBorders>
          </w:tcPr>
          <w:p>
            <w:pPr>
              <w:pStyle w:val="Normal"/>
              <w:widowControl w:val="false"/>
              <w:spacing w:before="60" w:after="60"/>
              <w:jc w:val="left"/>
              <w:rPr>
                <w:rFonts w:cs="Calibri" w:cstheme="minorHAnsi"/>
                <w:lang w:val="en-GB"/>
              </w:rPr>
            </w:pPr>
            <w:r>
              <w:rPr>
                <w:rFonts w:cs="Calibri" w:cstheme="minorHAnsi"/>
                <w:lang w:val="en-GB"/>
              </w:rPr>
              <w:t>Constant contact with the HLPD Bureau and the ministries / project management agencies involved in LEAP-RE</w:t>
            </w:r>
          </w:p>
        </w:tc>
        <w:tc>
          <w:tcPr>
            <w:tcW w:w="710" w:type="dxa"/>
            <w:tcBorders>
              <w:top w:val="single" w:sz="4" w:space="0" w:color="4472C4"/>
              <w:bottom w:val="single" w:sz="4" w:space="0" w:color="000000"/>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5</w:t>
            </w:r>
          </w:p>
        </w:tc>
        <w:tc>
          <w:tcPr>
            <w:tcW w:w="567" w:type="dxa"/>
            <w:tcBorders>
              <w:top w:val="single" w:sz="4" w:space="0" w:color="4472C4"/>
              <w:bottom w:val="single" w:sz="4" w:space="0" w:color="000000"/>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bl>
    <w:p>
      <w:pPr>
        <w:pStyle w:val="Normal"/>
        <w:spacing w:before="60" w:after="60"/>
        <w:jc w:val="left"/>
        <w:rPr>
          <w:rFonts w:cs="Arial"/>
          <w:sz w:val="18"/>
          <w:szCs w:val="18"/>
          <w:lang w:val="en-GB"/>
        </w:rPr>
      </w:pPr>
      <w:r>
        <w:rPr/>
      </w:r>
    </w:p>
    <w:sectPr>
      <w:headerReference w:type="default" r:id="rId4"/>
      <w:footerReference w:type="default" r:id="rId5"/>
      <w:footerReference w:type="first" r:id="rId6"/>
      <w:type w:val="nextPage"/>
      <w:pgSz w:w="11906" w:h="16838"/>
      <w:pgMar w:left="1440" w:right="1440" w:header="708" w:top="1440" w:footer="708" w:bottom="1440" w:gutter="0"/>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tefan A. Haffner" w:date="2021-03-31T21:09: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 xml:space="preserve">All task coordinators: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Please check your work plans and all comments in this document and share your contributions as soon as possible and </w:t>
      </w:r>
      <w:r>
        <w:rPr>
          <w:rFonts w:ascii="Liberation Serif" w:hAnsi="Liberation Serif" w:eastAsia="DejaVu Sans" w:cs="DejaVu Sans"/>
          <w:b/>
          <w:color w:val="C00000"/>
          <w:sz w:val="24"/>
          <w:szCs w:val="24"/>
          <w:lang w:val="en-US" w:eastAsia="en-US" w:bidi="en-US"/>
        </w:rPr>
        <w:t>latest before Tu., 6 April 2021 | 10:00 CEST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The WP5 Gantt Chart has please also to be checked by you.</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Thank you for your kind collaboration.</w:t>
      </w:r>
    </w:p>
  </w:comment>
  <w:comment w:id="1" w:author="Stefan A. Haffner" w:date="2021-03-31T21:05: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5.3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both check your list of actions (page5) as well as the list of deliverables (page 14).</w:t>
      </w:r>
    </w:p>
    <w:p>
      <w:r>
        <w:rPr>
          <w:rFonts w:ascii="Liberation Serif" w:hAnsi="Liberation Serif" w:eastAsia="DejaVu Sans" w:cs="DejaVu Sans"/>
          <w:sz w:val="24"/>
          <w:szCs w:val="24"/>
          <w:lang w:val="en-US" w:eastAsia="en-US" w:bidi="en-US"/>
        </w:rPr>
      </w:r>
    </w:p>
  </w:comment>
  <w:comment w:id="2" w:author="ED" w:date="2021-04-01T11:38:00Z" w:initials="ED">
    <w:p>
      <w:r>
        <w:rPr>
          <w:rFonts w:ascii="Liberation Serif" w:hAnsi="Liberation Serif" w:eastAsia="DejaVu Sans" w:cs="DejaVu Sans"/>
          <w:sz w:val="24"/>
          <w:szCs w:val="24"/>
          <w:lang w:val="en-US" w:eastAsia="en-US" w:bidi="en-US"/>
        </w:rPr>
        <w:t xml:space="preserve">Dear all, while the final PM is correct, I believe that this description of having initially 2 PM is wrong, we were originally not involved in this task at all. If you could, please correct the development as mentioned here. </w:t>
      </w:r>
    </w:p>
  </w:comment>
  <w:comment w:id="3" w:author="ED" w:date="2021-04-01T11:42:00Z" w:initials="ED">
    <w:p>
      <w:r>
        <w:rPr>
          <w:rFonts w:ascii="Liberation Serif" w:hAnsi="Liberation Serif" w:eastAsia="DejaVu Sans" w:cs="DejaVu Sans"/>
          <w:sz w:val="24"/>
          <w:szCs w:val="24"/>
          <w:lang w:val="en-US" w:eastAsia="en-US" w:bidi="en-US"/>
        </w:rPr>
        <w:t xml:space="preserve">I suggest this kind of involvement because it focuses our contribution to year 1 of the project which makes the use of 1 PM more reasonable. See the comments below, it is not possible to contribute to three reports with 1 PM input. </w:t>
      </w:r>
    </w:p>
    <w:p>
      <w:r>
        <w:rPr>
          <w:rFonts w:ascii="Liberation Serif" w:hAnsi="Liberation Serif" w:eastAsia="DejaVu Sans" w:cs="DejaVu Sans"/>
          <w:sz w:val="24"/>
          <w:szCs w:val="24"/>
          <w:lang w:val="en-US" w:eastAsia="en-US" w:bidi="en-US"/>
        </w:rPr>
        <w:t>I guess you will need some « manpower » to implement interviews and we could take over some of them based, provide some input to interview guidelines and collect the data e.g. in an online focus group with partners.</w:t>
      </w:r>
    </w:p>
  </w:comment>
  <w:comment w:id="4" w:author="Stefan A. Haffner" w:date="2021-03-16T14:55: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5.1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note that D5.1 «Theory of Change, M&amp;E Approach and MEL Plan» is foreseen already in M9 (Jun. 2021).</w:t>
      </w:r>
    </w:p>
    <w:p>
      <w:r>
        <w:rPr>
          <w:rFonts w:ascii="Liberation Serif" w:hAnsi="Liberation Serif" w:eastAsia="DejaVu Sans" w:cs="DejaVu Sans"/>
          <w:sz w:val="24"/>
          <w:szCs w:val="24"/>
          <w:lang w:val="en-US" w:eastAsia="en-US" w:bidi="en-US"/>
        </w:rPr>
        <w:t>Please correct the dates of the actions here accordingly or inform LGI/DSI about the expected delay</w:t>
      </w:r>
    </w:p>
  </w:comment>
  <w:comment w:id="5" w:author="Stefan A. Haffner" w:date="2021-03-22T08:37: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5.1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come to an agreement with ZSI, refering to Dietmar’s comment below and share the result with LGI/DSI and the WP5 coordination.</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Comment Dietmar | ZSI | 18 Mar. 2021</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Provided that ZSI is actually allocated 1 PM, as discussed previously, we are happy to contribute to the conceptualisation of the Monitoring, Evaluation, and Learning exercise and also contribute to the one of the evaluation reports;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However, we do not see ourselves in a position to assume the responsibility for three evaluation reports (with only 1 PM in total) =&gt; please reassign the responsibilities …</w:t>
      </w:r>
    </w:p>
  </w:comment>
  <w:comment w:id="6" w:author="Stefan A. Haffner" w:date="2021-03-24T22:17: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5.3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both check and finalise and confirm the next version as a commonly agreed one.</w:t>
      </w:r>
    </w:p>
  </w:comment>
  <w:comment w:id="7" w:author="ED" w:date="2021-04-01T12:24:00Z" w:initials="ED">
    <w:p>
      <w:r>
        <w:rPr>
          <w:rFonts w:ascii="Liberation Serif" w:hAnsi="Liberation Serif" w:eastAsia="DejaVu Sans" w:cs="DejaVu Sans"/>
          <w:sz w:val="24"/>
          <w:szCs w:val="24"/>
          <w:lang w:val="en-US" w:eastAsia="en-US" w:bidi="en-US"/>
        </w:rPr>
        <w:t>I would put the point talking about the questionnaire (4.1) before the general point about the general coordination of T5.3</w:t>
      </w:r>
    </w:p>
  </w:comment>
  <w:comment w:id="8" w:author="Stefan A. Haffner" w:date="2021-03-31T20:38: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5.3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inform LGI/DSI and WP5 coordination about the delay and a new suggested deadline</w:t>
      </w:r>
    </w:p>
  </w:comment>
  <w:comment w:id="9" w:author="Stefan A. Haffner" w:date="2021-03-31T20:40: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5.3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inform LGI/DSI and WP5 coordination about the delay and a new suggested deadline</w:t>
      </w:r>
    </w:p>
  </w:comment>
  <w:comment w:id="10" w:author="Stefan A. Haffner" w:date="2021-03-31T20:42: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5.1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The GA gives contraditory information about the deadline and the related activities here.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inform LGI/DSI and WP5 coordination about whether M9 or M12 should be applied.</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 suggest to apply M12 (Sep. 2021) as the deadline for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D5.1 | Theory of Change, M&amp;E Approach and MEL Plan</w:t>
      </w:r>
    </w:p>
    <w:p>
      <w:r>
        <w:rPr>
          <w:rFonts w:ascii="Liberation Serif" w:hAnsi="Liberation Serif" w:eastAsia="DejaVu Sans" w:cs="DejaVu Sans"/>
          <w:sz w:val="24"/>
          <w:szCs w:val="24"/>
          <w:lang w:val="en-US" w:eastAsia="en-US" w:bidi="en-US"/>
        </w:rPr>
        <w:t>- Activity : Theoretical Framework Development</w:t>
      </w:r>
    </w:p>
    <w:p>
      <w:r>
        <w:rPr>
          <w:rFonts w:ascii="Liberation Serif" w:hAnsi="Liberation Serif" w:eastAsia="DejaVu Sans" w:cs="DejaVu Sans"/>
          <w:sz w:val="24"/>
          <w:szCs w:val="24"/>
          <w:lang w:val="en-US" w:eastAsia="en-US" w:bidi="en-US"/>
        </w:rPr>
        <w:t>- Activity : MEL Plan</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comment>
  <w:comment w:id="11" w:author="Stefan A. Haffner" w:date="2021-03-24T22:23: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 xml:space="preserve">All task coordinators: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Please check and finalise or confirm chapter 1.4 ‘Interaction/synergies with other WPs’ </w:t>
      </w:r>
    </w:p>
    <w:p>
      <w:r>
        <w:rPr>
          <w:rFonts w:ascii="Liberation Serif" w:hAnsi="Liberation Serif" w:eastAsia="DejaVu Sans" w:cs="DejaVu Sans"/>
          <w:sz w:val="24"/>
          <w:szCs w:val="24"/>
          <w:lang w:val="en-US" w:eastAsia="en-US" w:bidi="en-US"/>
        </w:rPr>
      </w:r>
    </w:p>
  </w:comment>
  <w:comment w:id="12" w:author="Stefan A. Haffner" w:date="2021-03-24T22:28: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All task coordinators:</w:t>
      </w:r>
      <w:r>
        <w:rPr>
          <w:rFonts w:ascii="Liberation Serif" w:hAnsi="Liberation Serif" w:eastAsia="DejaVu Sans" w:cs="DejaVu Sans"/>
          <w:color w:val="003399"/>
          <w:sz w:val="24"/>
          <w:szCs w:val="24"/>
          <w:lang w:val="en-US" w:eastAsia="en-US" w:bidi="en-US"/>
        </w:rPr>
        <w:t xml:space="preserve">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check and finalise or confirm chapter 1.5 ‘Risks’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RobotoCondensed-Regular">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jc w:val="right"/>
      <w:rPr>
        <w:sz w:val="20"/>
      </w:rPr>
    </w:pPr>
    <w:r>
      <w:rPr>
        <w:sz w:val="20"/>
      </w:rPr>
      <mc:AlternateContent>
        <mc:Choice Requires="wps">
          <w:drawing>
            <wp:anchor behindDoc="1" distT="0" distB="0" distL="0" distR="0" simplePos="0" locked="0" layoutInCell="0" allowOverlap="1" relativeHeight="57" wp14:anchorId="586DF944">
              <wp:simplePos x="0" y="0"/>
              <wp:positionH relativeFrom="column">
                <wp:posOffset>6350</wp:posOffset>
              </wp:positionH>
              <wp:positionV relativeFrom="paragraph">
                <wp:posOffset>-40005</wp:posOffset>
              </wp:positionV>
              <wp:extent cx="5614035" cy="476885"/>
              <wp:effectExtent l="0" t="0" r="6350" b="0"/>
              <wp:wrapNone/>
              <wp:docPr id="4" name="Text Box 24"/>
              <a:graphic xmlns:a="http://schemas.openxmlformats.org/drawingml/2006/main">
                <a:graphicData uri="http://schemas.microsoft.com/office/word/2010/wordprocessingShape">
                  <wps:wsp>
                    <wps:cNvSpPr/>
                    <wps:spPr>
                      <a:xfrm>
                        <a:off x="0" y="0"/>
                        <a:ext cx="5613480" cy="476280"/>
                      </a:xfrm>
                      <a:prstGeom prst="rect">
                        <a:avLst/>
                      </a:prstGeom>
                      <a:solidFill>
                        <a:schemeClr val="lt1"/>
                      </a:solidFill>
                      <a:ln w="6350">
                        <a:noFill/>
                      </a:ln>
                    </wps:spPr>
                    <wps:style>
                      <a:lnRef idx="0"/>
                      <a:fillRef idx="0"/>
                      <a:effectRef idx="0"/>
                      <a:fontRef idx="minor"/>
                    </wps:style>
                    <wps:txbx>
                      <w:txbxContent>
                        <w:sdt>
                          <w:sdtPr>
                            <w:docPartObj>
                              <w:docPartGallery w:val="Page Numbers (Bottom of Page)"/>
                              <w:docPartUnique w:val="true"/>
                            </w:docPartObj>
                            <w:id w:val="1360625811"/>
                          </w:sdtPr>
                          <w:sdtContent>
                            <w:p>
                              <w:pPr>
                                <w:pStyle w:val="Footer"/>
                                <w:spacing w:before="60" w:after="0"/>
                                <w:rPr>
                                  <w:lang w:val="en-GB"/>
                                </w:rPr>
                              </w:pPr>
                              <w:r>
                                <w:rPr>
                                  <w:b/>
                                  <w:sz w:val="18"/>
                                  <w:lang w:val="en-GB"/>
                                </w:rPr>
                                <w:t>LEAP-RE Project –</w:t>
                              </w:r>
                              <w:r>
                                <w:rPr>
                                  <w:i/>
                                  <w:sz w:val="18"/>
                                  <w:lang w:val="en-GB"/>
                                </w:rPr>
                                <w:t>Long-Term EU-AU Research and Innovation Partnership on Renewable Energy.</w:t>
                              </w:r>
                            </w:p>
                          </w:sdtContent>
                        </w:sdt>
                      </w:txbxContent>
                    </wps:txbx>
                    <wps:bodyPr>
                      <a:noAutofit/>
                    </wps:bodyPr>
                  </wps:wsp>
                </a:graphicData>
              </a:graphic>
            </wp:anchor>
          </w:drawing>
        </mc:Choice>
        <mc:Fallback>
          <w:pict>
            <v:rect id="shape_0" ID="Text Box 24" fillcolor="white" stroked="f" style="position:absolute;margin-left:0.5pt;margin-top:-3.15pt;width:441.95pt;height:37.45pt;mso-wrap-style:square;v-text-anchor:top" wp14:anchorId="586DF944">
              <v:fill o:detectmouseclick="t" type="solid" color2="black"/>
              <v:stroke color="#3465a4" weight="6480" joinstyle="round" endcap="flat"/>
              <v:textbox>
                <w:txbxContent>
                  <w:sdt>
                    <w:sdtPr>
                      <w:docPartObj>
                        <w:docPartGallery w:val="Page Numbers (Bottom of Page)"/>
                        <w:docPartUnique w:val="true"/>
                      </w:docPartObj>
                      <w:id w:val="1095169650"/>
                    </w:sdtPr>
                    <w:sdtContent>
                      <w:p>
                        <w:pPr>
                          <w:pStyle w:val="Footer"/>
                          <w:spacing w:before="60" w:after="0"/>
                          <w:rPr>
                            <w:lang w:val="en-GB"/>
                          </w:rPr>
                        </w:pPr>
                        <w:r>
                          <w:rPr>
                            <w:b/>
                            <w:sz w:val="18"/>
                            <w:lang w:val="en-GB"/>
                          </w:rPr>
                          <w:t>LEAP-RE Project –</w:t>
                        </w:r>
                        <w:r>
                          <w:rPr>
                            <w:i/>
                            <w:sz w:val="18"/>
                            <w:lang w:val="en-GB"/>
                          </w:rPr>
                          <w:t>Long-Term EU-AU Research and Innovation Partnership on Renewable Energy.</w:t>
                        </w:r>
                      </w:p>
                    </w:sdtContent>
                  </w:sdt>
                </w:txbxContent>
              </v:textbox>
              <w10:wrap type="none"/>
            </v:rect>
          </w:pict>
        </mc:Fallback>
      </mc:AlternateContent>
      <w:fldChar w:fldCharType="begin"/>
    </w:r>
    <w:r>
      <w:rPr>
        <w:sz w:val="20"/>
      </w:rPr>
      <w:instrText> PAGE </w:instrText>
    </w:r>
    <w:r>
      <w:rPr>
        <w:sz w:val="20"/>
      </w:rPr>
      <w:fldChar w:fldCharType="separate"/>
    </w:r>
    <w:r>
      <w:rPr>
        <w:sz w:val="20"/>
      </w:rPr>
      <w:t>13</w:t>
    </w:r>
    <w:r>
      <w:rPr>
        <w:sz w:val="20"/>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pPr>
    <w:r>
      <w:drawing>
        <wp:anchor behindDoc="1" distT="0" distB="0" distL="0" distR="0" simplePos="0" locked="0" layoutInCell="0" allowOverlap="1" relativeHeight="39">
          <wp:simplePos x="0" y="0"/>
          <wp:positionH relativeFrom="column">
            <wp:posOffset>-527050</wp:posOffset>
          </wp:positionH>
          <wp:positionV relativeFrom="paragraph">
            <wp:posOffset>67310</wp:posOffset>
          </wp:positionV>
          <wp:extent cx="429895" cy="292100"/>
          <wp:effectExtent l="0" t="0" r="0" b="0"/>
          <wp:wrapNone/>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
                  <a:stretch>
                    <a:fillRect/>
                  </a:stretch>
                </pic:blipFill>
                <pic:spPr bwMode="auto">
                  <a:xfrm>
                    <a:off x="0" y="0"/>
                    <a:ext cx="429895" cy="292100"/>
                  </a:xfrm>
                  <a:prstGeom prst="rect">
                    <a:avLst/>
                  </a:prstGeom>
                </pic:spPr>
              </pic:pic>
            </a:graphicData>
          </a:graphic>
        </wp:anchor>
      </w:drawing>
    </w:r>
    <w:r>
      <w:rPr/>
      <w:t>T</w:t>
    </w:r>
    <w:r>
      <w:rPr/>
      <w:t>his project has received funding from the European Commission’s Horizon 2020 Research and Innovation Programme. The content in this presentation reflects only the author(s)’s views. The European Commission is not responsible for any use that may be made of the information it contains.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60" w:after="0"/>
      <w:rPr/>
    </w:pPr>
    <w:r>
      <w:drawing>
        <wp:anchor behindDoc="1" distT="0" distB="0" distL="0" distR="0" simplePos="0" locked="0" layoutInCell="0" allowOverlap="1" relativeHeight="38">
          <wp:simplePos x="0" y="0"/>
          <wp:positionH relativeFrom="column">
            <wp:posOffset>5321300</wp:posOffset>
          </wp:positionH>
          <wp:positionV relativeFrom="paragraph">
            <wp:posOffset>-44450</wp:posOffset>
          </wp:positionV>
          <wp:extent cx="318135" cy="215900"/>
          <wp:effectExtent l="0" t="0" r="0" b="0"/>
          <wp:wrapNone/>
          <wp:docPr id="2"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1" descr=""/>
                  <pic:cNvPicPr>
                    <a:picLocks noChangeAspect="1" noChangeArrowheads="1"/>
                  </pic:cNvPicPr>
                </pic:nvPicPr>
                <pic:blipFill>
                  <a:blip r:embed="rId1"/>
                  <a:stretch>
                    <a:fillRect/>
                  </a:stretch>
                </pic:blipFill>
                <pic:spPr bwMode="auto">
                  <a:xfrm>
                    <a:off x="0" y="0"/>
                    <a:ext cx="318135" cy="215900"/>
                  </a:xfrm>
                  <a:prstGeom prst="rect">
                    <a:avLst/>
                  </a:prstGeom>
                </pic:spPr>
              </pic:pic>
            </a:graphicData>
          </a:graphic>
        </wp:anchor>
      </w:drawing>
    </w:r>
    <w:r>
      <w:rPr/>
      <w:t xml:space="preserve"> </w:t>
    </w:r>
    <w:r>
      <w:rPr/>
      <w:drawing>
        <wp:inline distT="0" distB="0" distL="0" distR="0">
          <wp:extent cx="1393825" cy="28956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2"/>
                  <a:stretch>
                    <a:fillRect/>
                  </a:stretch>
                </pic:blipFill>
                <pic:spPr bwMode="auto">
                  <a:xfrm>
                    <a:off x="0" y="0"/>
                    <a:ext cx="1393825" cy="289560"/>
                  </a:xfrm>
                  <a:prstGeom prst="rect">
                    <a:avLst/>
                  </a:prstGeom>
                </pic:spPr>
              </pic:pic>
            </a:graphicData>
          </a:graphic>
        </wp:inline>
      </w:drawing>
    </w:r>
    <w:r>
      <w:rPr>
        <w:rFonts w:cs="Calibri" w:cstheme="minorHAnsi"/>
        <w:i/>
        <w:sz w:val="18"/>
        <w:szCs w:val="18"/>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lowerLetter"/>
      <w:lvlText w:val="%1)"/>
      <w:lvlJc w:val="left"/>
      <w:pPr>
        <w:tabs>
          <w:tab w:val="num" w:pos="0"/>
        </w:tabs>
        <w:ind w:left="720" w:hanging="360"/>
      </w:pPr>
      <w:rPr>
        <w:rFonts w:ascii="Calibri" w:hAnsi="Calibri" w:eastAsia="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lowerLetter"/>
      <w:lvlText w:val="%1)"/>
      <w:lvlJc w:val="left"/>
      <w:pPr>
        <w:tabs>
          <w:tab w:val="num" w:pos="0"/>
        </w:tabs>
        <w:ind w:left="720" w:hanging="360"/>
      </w:pPr>
      <w:rPr>
        <w:rFonts w:ascii="Calibri" w:hAnsi="Calibri" w:eastAsia="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2"/>
    <w:lvlOverride w:ilvl="0">
      <w:startOverride w:val="1"/>
    </w:lvlOverride>
  </w:num>
  <w:num w:numId="14">
    <w:abstractNumId w:val="12"/>
  </w:num>
  <w:num w:numId="15">
    <w:abstractNumId w:val="12"/>
  </w:num>
  <w:num w:numId="16">
    <w:abstractNumId w:val="12"/>
  </w:num>
  <w:num w:numId="17">
    <w:abstractNumId w:val="9"/>
  </w:num>
  <w:num w:numId="18">
    <w:abstractNumId w:val="9"/>
  </w:num>
  <w:num w:numId="19">
    <w:abstractNumId w:val="6"/>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bering>
</file>

<file path=word/settings.xml><?xml version="1.0" encoding="utf-8"?>
<w:settings xmlns:w="http://schemas.openxmlformats.org/wordprocessingml/2006/main">
  <w:zoom w:percent="10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4fac"/>
    <w:pPr>
      <w:widowControl/>
      <w:bidi w:val="0"/>
      <w:spacing w:lineRule="auto" w:line="240" w:before="60" w:after="60"/>
      <w:jc w:val="both"/>
    </w:pPr>
    <w:rPr>
      <w:rFonts w:eastAsia="Times New Roman" w:cs="Times New Roman" w:ascii="Calibri" w:hAnsi="Calibri" w:asciiTheme="minorHAnsi" w:hAnsiTheme="minorHAnsi"/>
      <w:color w:val="auto"/>
      <w:kern w:val="0"/>
      <w:sz w:val="22"/>
      <w:szCs w:val="22"/>
      <w:lang w:val="en-US" w:eastAsia="en-US" w:bidi="ar-SA"/>
    </w:rPr>
  </w:style>
  <w:style w:type="paragraph" w:styleId="Heading1">
    <w:name w:val="Heading 1"/>
    <w:basedOn w:val="Normal"/>
    <w:next w:val="Normal"/>
    <w:link w:val="berschrift1Zchn"/>
    <w:qFormat/>
    <w:rsid w:val="003d4fac"/>
    <w:pPr>
      <w:keepNext w:val="true"/>
      <w:keepLines/>
      <w:numPr>
        <w:ilvl w:val="0"/>
        <w:numId w:val="1"/>
      </w:numPr>
      <w:spacing w:before="240" w:after="240"/>
      <w:outlineLvl w:val="0"/>
    </w:pPr>
    <w:rPr>
      <w:b/>
      <w:bCs/>
      <w:sz w:val="28"/>
      <w:szCs w:val="30"/>
      <w:lang w:val="en-GB"/>
    </w:rPr>
  </w:style>
  <w:style w:type="paragraph" w:styleId="Heading2">
    <w:name w:val="Heading 2"/>
    <w:basedOn w:val="Normal"/>
    <w:next w:val="Normal"/>
    <w:link w:val="berschrift2Zchn"/>
    <w:qFormat/>
    <w:rsid w:val="003d4fac"/>
    <w:pPr>
      <w:keepNext w:val="true"/>
      <w:keepLines/>
      <w:numPr>
        <w:ilvl w:val="1"/>
        <w:numId w:val="1"/>
      </w:numPr>
      <w:spacing w:before="240" w:after="120"/>
      <w:outlineLvl w:val="1"/>
    </w:pPr>
    <w:rPr>
      <w:b/>
      <w:bCs/>
      <w:color w:val="595959" w:themeColor="text1" w:themeTint="a6"/>
      <w:sz w:val="26"/>
      <w:szCs w:val="26"/>
      <w:lang w:val="en-GB"/>
    </w:rPr>
  </w:style>
  <w:style w:type="paragraph" w:styleId="Heading3">
    <w:name w:val="Heading 3"/>
    <w:basedOn w:val="Normal"/>
    <w:next w:val="Normal"/>
    <w:link w:val="berschrift3Zchn"/>
    <w:qFormat/>
    <w:rsid w:val="003d4fac"/>
    <w:pPr>
      <w:keepNext w:val="true"/>
      <w:keepLines/>
      <w:numPr>
        <w:ilvl w:val="2"/>
        <w:numId w:val="1"/>
      </w:numPr>
      <w:spacing w:before="120" w:after="120"/>
      <w:outlineLvl w:val="2"/>
    </w:pPr>
    <w:rPr>
      <w:b/>
      <w:bCs/>
      <w:i/>
      <w:color w:val="7F7F7F" w:themeColor="text1" w:themeTint="80"/>
      <w:sz w:val="24"/>
      <w:lang w:val="en-GB"/>
    </w:rPr>
  </w:style>
  <w:style w:type="paragraph" w:styleId="Heading4">
    <w:name w:val="Heading 4"/>
    <w:basedOn w:val="Normal"/>
    <w:next w:val="Normal"/>
    <w:link w:val="berschrift4Zchn"/>
    <w:qFormat/>
    <w:rsid w:val="003d4fac"/>
    <w:pPr>
      <w:keepNext w:val="true"/>
      <w:keepLines/>
      <w:numPr>
        <w:ilvl w:val="3"/>
        <w:numId w:val="1"/>
      </w:numPr>
      <w:outlineLvl w:val="3"/>
    </w:pPr>
    <w:rPr>
      <w:b/>
      <w:bCs/>
      <w:i/>
      <w:iCs/>
    </w:rPr>
  </w:style>
  <w:style w:type="paragraph" w:styleId="Heading5">
    <w:name w:val="Heading 5"/>
    <w:basedOn w:val="Normal"/>
    <w:next w:val="Normal"/>
    <w:link w:val="berschrift5Zchn"/>
    <w:qFormat/>
    <w:rsid w:val="003d4fac"/>
    <w:pPr>
      <w:keepNext w:val="true"/>
      <w:keepLines/>
      <w:numPr>
        <w:ilvl w:val="4"/>
        <w:numId w:val="1"/>
      </w:numPr>
      <w:spacing w:before="200" w:after="0"/>
      <w:outlineLvl w:val="4"/>
    </w:pPr>
    <w:rPr>
      <w:rFonts w:ascii="Cambria" w:hAnsi="Cambria"/>
      <w:color w:val="243F60"/>
    </w:rPr>
  </w:style>
  <w:style w:type="paragraph" w:styleId="Heading6">
    <w:name w:val="Heading 6"/>
    <w:basedOn w:val="Normal"/>
    <w:next w:val="Normal"/>
    <w:link w:val="berschrift6Zchn"/>
    <w:qFormat/>
    <w:rsid w:val="003d4fac"/>
    <w:pPr>
      <w:keepNext w:val="true"/>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berschrift7Zchn"/>
    <w:qFormat/>
    <w:rsid w:val="003d4fac"/>
    <w:pPr>
      <w:keepNext w:val="true"/>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berschrift8Zchn"/>
    <w:qFormat/>
    <w:rsid w:val="003d4fac"/>
    <w:pPr>
      <w:keepNext w:val="true"/>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link w:val="berschrift9Zchn"/>
    <w:qFormat/>
    <w:rsid w:val="003d4fac"/>
    <w:pPr>
      <w:keepNext w:val="true"/>
      <w:keepLines/>
      <w:numPr>
        <w:ilvl w:val="8"/>
        <w:numId w:val="1"/>
      </w:numPr>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qFormat/>
    <w:rsid w:val="003d4fac"/>
    <w:rPr>
      <w:rFonts w:eastAsia="Times New Roman" w:cs="Times New Roman"/>
      <w:b/>
      <w:bCs/>
      <w:sz w:val="28"/>
      <w:szCs w:val="30"/>
      <w:lang w:val="en-GB"/>
    </w:rPr>
  </w:style>
  <w:style w:type="character" w:styleId="Berschrift2Zchn" w:customStyle="1">
    <w:name w:val="Überschrift 2 Zchn"/>
    <w:basedOn w:val="DefaultParagraphFont"/>
    <w:link w:val="berschrift2"/>
    <w:qFormat/>
    <w:rsid w:val="003d4fac"/>
    <w:rPr>
      <w:rFonts w:eastAsia="Times New Roman" w:cs="Times New Roman"/>
      <w:b/>
      <w:bCs/>
      <w:color w:val="595959" w:themeColor="text1" w:themeTint="a6"/>
      <w:sz w:val="26"/>
      <w:szCs w:val="26"/>
      <w:lang w:val="en-GB"/>
    </w:rPr>
  </w:style>
  <w:style w:type="character" w:styleId="Berschrift3Zchn" w:customStyle="1">
    <w:name w:val="Überschrift 3 Zchn"/>
    <w:basedOn w:val="DefaultParagraphFont"/>
    <w:link w:val="berschrift3"/>
    <w:uiPriority w:val="9"/>
    <w:qFormat/>
    <w:rsid w:val="003d4fac"/>
    <w:rPr>
      <w:rFonts w:eastAsia="Times New Roman" w:cs="Times New Roman"/>
      <w:b/>
      <w:bCs/>
      <w:i/>
      <w:color w:val="7F7F7F" w:themeColor="text1" w:themeTint="80"/>
      <w:sz w:val="24"/>
      <w:lang w:val="en-GB"/>
    </w:rPr>
  </w:style>
  <w:style w:type="character" w:styleId="Berschrift4Zchn" w:customStyle="1">
    <w:name w:val="Überschrift 4 Zchn"/>
    <w:basedOn w:val="DefaultParagraphFont"/>
    <w:link w:val="berschrift4"/>
    <w:uiPriority w:val="9"/>
    <w:qFormat/>
    <w:rsid w:val="003d4fac"/>
    <w:rPr>
      <w:rFonts w:eastAsia="Times New Roman" w:cs="Times New Roman"/>
      <w:b/>
      <w:bCs/>
      <w:i/>
      <w:iCs/>
      <w:lang w:val="en-US"/>
    </w:rPr>
  </w:style>
  <w:style w:type="character" w:styleId="Berschrift5Zchn" w:customStyle="1">
    <w:name w:val="Überschrift 5 Zchn"/>
    <w:basedOn w:val="DefaultParagraphFont"/>
    <w:link w:val="berschrift5"/>
    <w:uiPriority w:val="9"/>
    <w:qFormat/>
    <w:rsid w:val="003d4fac"/>
    <w:rPr>
      <w:rFonts w:ascii="Cambria" w:hAnsi="Cambria" w:eastAsia="Times New Roman" w:cs="Times New Roman"/>
      <w:color w:val="243F60"/>
      <w:lang w:val="en-US"/>
    </w:rPr>
  </w:style>
  <w:style w:type="character" w:styleId="Berschrift6Zchn" w:customStyle="1">
    <w:name w:val="Überschrift 6 Zchn"/>
    <w:basedOn w:val="DefaultParagraphFont"/>
    <w:link w:val="berschrift6"/>
    <w:uiPriority w:val="9"/>
    <w:qFormat/>
    <w:rsid w:val="003d4fac"/>
    <w:rPr>
      <w:rFonts w:ascii="Cambria" w:hAnsi="Cambria" w:eastAsia="Times New Roman" w:cs="Times New Roman"/>
      <w:i/>
      <w:iCs/>
      <w:color w:val="243F60"/>
      <w:lang w:val="en-US"/>
    </w:rPr>
  </w:style>
  <w:style w:type="character" w:styleId="Berschrift7Zchn" w:customStyle="1">
    <w:name w:val="Überschrift 7 Zchn"/>
    <w:basedOn w:val="DefaultParagraphFont"/>
    <w:link w:val="berschrift7"/>
    <w:uiPriority w:val="9"/>
    <w:qFormat/>
    <w:rsid w:val="003d4fac"/>
    <w:rPr>
      <w:rFonts w:ascii="Cambria" w:hAnsi="Cambria" w:eastAsia="Times New Roman" w:cs="Times New Roman"/>
      <w:i/>
      <w:iCs/>
      <w:color w:val="404040"/>
      <w:lang w:val="en-US"/>
    </w:rPr>
  </w:style>
  <w:style w:type="character" w:styleId="Berschrift8Zchn" w:customStyle="1">
    <w:name w:val="Überschrift 8 Zchn"/>
    <w:basedOn w:val="DefaultParagraphFont"/>
    <w:link w:val="berschrift8"/>
    <w:uiPriority w:val="9"/>
    <w:qFormat/>
    <w:rsid w:val="003d4fac"/>
    <w:rPr>
      <w:rFonts w:ascii="Cambria" w:hAnsi="Cambria" w:eastAsia="Times New Roman" w:cs="Times New Roman"/>
      <w:color w:val="404040"/>
      <w:sz w:val="20"/>
      <w:szCs w:val="20"/>
      <w:lang w:val="en-US"/>
    </w:rPr>
  </w:style>
  <w:style w:type="character" w:styleId="Berschrift9Zchn" w:customStyle="1">
    <w:name w:val="Überschrift 9 Zchn"/>
    <w:basedOn w:val="DefaultParagraphFont"/>
    <w:link w:val="berschrift9"/>
    <w:uiPriority w:val="9"/>
    <w:qFormat/>
    <w:rsid w:val="003d4fac"/>
    <w:rPr>
      <w:rFonts w:ascii="Cambria" w:hAnsi="Cambria" w:eastAsia="Times New Roman" w:cs="Times New Roman"/>
      <w:i/>
      <w:iCs/>
      <w:color w:val="404040"/>
      <w:sz w:val="20"/>
      <w:szCs w:val="20"/>
      <w:lang w:val="en-US"/>
    </w:rPr>
  </w:style>
  <w:style w:type="character" w:styleId="KeinLeerraumZchn" w:customStyle="1">
    <w:name w:val="Kein Leerraum Zchn"/>
    <w:basedOn w:val="DefaultParagraphFont"/>
    <w:link w:val="KeinLeerraum"/>
    <w:uiPriority w:val="1"/>
    <w:qFormat/>
    <w:rsid w:val="003d4fac"/>
    <w:rPr>
      <w:rFonts w:eastAsia="" w:eastAsiaTheme="minorEastAsia"/>
      <w:lang w:val="en-US"/>
    </w:rPr>
  </w:style>
  <w:style w:type="character" w:styleId="KopfzeileZchn" w:customStyle="1">
    <w:name w:val="Kopfzeile Zchn"/>
    <w:basedOn w:val="DefaultParagraphFont"/>
    <w:link w:val="Kopfzeile"/>
    <w:uiPriority w:val="99"/>
    <w:qFormat/>
    <w:rsid w:val="003d4fac"/>
    <w:rPr/>
  </w:style>
  <w:style w:type="character" w:styleId="FuzeileZchn" w:customStyle="1">
    <w:name w:val="Fußzeile Zchn"/>
    <w:basedOn w:val="DefaultParagraphFont"/>
    <w:link w:val="Fuzeile"/>
    <w:uiPriority w:val="99"/>
    <w:qFormat/>
    <w:rsid w:val="003d4fac"/>
    <w:rPr/>
  </w:style>
  <w:style w:type="character" w:styleId="TitelZchn" w:customStyle="1">
    <w:name w:val="Titel Zchn"/>
    <w:basedOn w:val="DefaultParagraphFont"/>
    <w:link w:val="Titel"/>
    <w:uiPriority w:val="10"/>
    <w:qFormat/>
    <w:rsid w:val="003d4fac"/>
    <w:rPr>
      <w:rFonts w:ascii="Calibri Light" w:hAnsi="Calibri Light" w:eastAsia="Times New Roman" w:cs="Times New Roman" w:asciiTheme="majorHAnsi" w:hAnsiTheme="majorHAnsi"/>
      <w:b/>
      <w:spacing w:val="5"/>
      <w:kern w:val="2"/>
      <w:sz w:val="72"/>
      <w:szCs w:val="52"/>
      <w:lang w:val="en-GB"/>
    </w:rPr>
  </w:style>
  <w:style w:type="character" w:styleId="UntertitelZchn" w:customStyle="1">
    <w:name w:val="Untertitel Zchn"/>
    <w:basedOn w:val="DefaultParagraphFont"/>
    <w:link w:val="Untertitel"/>
    <w:uiPriority w:val="11"/>
    <w:qFormat/>
    <w:rsid w:val="003d4fac"/>
    <w:rPr>
      <w:rFonts w:eastAsia="Times New Roman" w:cs="Times New Roman"/>
      <w:b/>
      <w:iCs/>
      <w:spacing w:val="15"/>
      <w:sz w:val="44"/>
      <w:szCs w:val="24"/>
      <w:lang w:val="en-US"/>
    </w:rPr>
  </w:style>
  <w:style w:type="character" w:styleId="Strong">
    <w:name w:val="Strong"/>
    <w:uiPriority w:val="22"/>
    <w:qFormat/>
    <w:rsid w:val="003d4fac"/>
    <w:rPr>
      <w:b/>
      <w:bCs/>
    </w:rPr>
  </w:style>
  <w:style w:type="character" w:styleId="InternetLink">
    <w:name w:val="Hyperlink"/>
    <w:uiPriority w:val="99"/>
    <w:unhideWhenUsed/>
    <w:rsid w:val="003d4fac"/>
    <w:rPr>
      <w:color w:val="0000FF"/>
      <w:u w:val="single"/>
    </w:rPr>
  </w:style>
  <w:style w:type="character" w:styleId="H1Char" w:customStyle="1">
    <w:name w:val="H1 Char"/>
    <w:basedOn w:val="DefaultParagraphFont"/>
    <w:link w:val="H1"/>
    <w:uiPriority w:val="1"/>
    <w:qFormat/>
    <w:rsid w:val="003d4fac"/>
    <w:rPr>
      <w:rFonts w:eastAsia="Times New Roman" w:cs="Times New Roman"/>
      <w:b/>
      <w:bCs/>
      <w:sz w:val="30"/>
      <w:szCs w:val="30"/>
      <w:lang w:val="en-GB"/>
    </w:rPr>
  </w:style>
  <w:style w:type="character" w:styleId="UnresolvedMention" w:customStyle="1">
    <w:name w:val="Unresolved Mention"/>
    <w:basedOn w:val="DefaultParagraphFont"/>
    <w:uiPriority w:val="99"/>
    <w:semiHidden/>
    <w:unhideWhenUsed/>
    <w:qFormat/>
    <w:rsid w:val="003d4fac"/>
    <w:rPr>
      <w:color w:val="808080"/>
      <w:shd w:fill="E6E6E6" w:val="clear"/>
    </w:rPr>
  </w:style>
  <w:style w:type="character" w:styleId="SprechblasentextZchn" w:customStyle="1">
    <w:name w:val="Sprechblasentext Zchn"/>
    <w:basedOn w:val="DefaultParagraphFont"/>
    <w:link w:val="Sprechblasentext"/>
    <w:uiPriority w:val="99"/>
    <w:semiHidden/>
    <w:qFormat/>
    <w:rsid w:val="009f275e"/>
    <w:rPr>
      <w:rFonts w:ascii="Segoe UI" w:hAnsi="Segoe UI" w:eastAsia="Times New Roman" w:cs="Segoe UI"/>
      <w:sz w:val="18"/>
      <w:szCs w:val="18"/>
      <w:lang w:val="en-US"/>
    </w:rPr>
  </w:style>
  <w:style w:type="character" w:styleId="KommentartextZchn" w:customStyle="1">
    <w:name w:val="Kommentartext Zchn"/>
    <w:basedOn w:val="DefaultParagraphFont"/>
    <w:link w:val="Kommentartext"/>
    <w:semiHidden/>
    <w:qFormat/>
    <w:rsid w:val="009b18f0"/>
    <w:rPr>
      <w:rFonts w:ascii="Arial" w:hAnsi="Arial" w:eastAsia="Times New Roman" w:cs="Times New Roman"/>
      <w:sz w:val="20"/>
      <w:szCs w:val="20"/>
      <w:lang w:eastAsia="fr-FR"/>
    </w:rPr>
  </w:style>
  <w:style w:type="character" w:styleId="PlaceholderText">
    <w:name w:val="Placeholder Text"/>
    <w:basedOn w:val="DefaultParagraphFont"/>
    <w:uiPriority w:val="99"/>
    <w:semiHidden/>
    <w:qFormat/>
    <w:rsid w:val="00b05155"/>
    <w:rPr>
      <w:color w:val="808080"/>
    </w:rPr>
  </w:style>
  <w:style w:type="character" w:styleId="Annotationreference">
    <w:name w:val="annotation reference"/>
    <w:basedOn w:val="DefaultParagraphFont"/>
    <w:uiPriority w:val="99"/>
    <w:semiHidden/>
    <w:unhideWhenUsed/>
    <w:qFormat/>
    <w:rsid w:val="0053175d"/>
    <w:rPr>
      <w:sz w:val="16"/>
      <w:szCs w:val="16"/>
    </w:rPr>
  </w:style>
  <w:style w:type="character" w:styleId="KommentarthemaZchn" w:customStyle="1">
    <w:name w:val="Kommentarthema Zchn"/>
    <w:basedOn w:val="KommentartextZchn"/>
    <w:link w:val="Kommentarthema"/>
    <w:uiPriority w:val="99"/>
    <w:semiHidden/>
    <w:qFormat/>
    <w:rsid w:val="00193db5"/>
    <w:rPr>
      <w:rFonts w:ascii="Arial" w:hAnsi="Arial" w:eastAsia="Times New Roman" w:cs="Times New Roman"/>
      <w:b/>
      <w:bCs/>
      <w:sz w:val="20"/>
      <w:szCs w:val="20"/>
      <w:lang w:val="en-US" w:eastAsia="fr-FR"/>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KeinLeerraumZchn"/>
    <w:uiPriority w:val="1"/>
    <w:qFormat/>
    <w:rsid w:val="003d4fac"/>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KopfzeileZchn"/>
    <w:uiPriority w:val="99"/>
    <w:unhideWhenUsed/>
    <w:rsid w:val="003d4fac"/>
    <w:pPr>
      <w:tabs>
        <w:tab w:val="clear" w:pos="708"/>
        <w:tab w:val="center" w:pos="4513" w:leader="none"/>
        <w:tab w:val="right" w:pos="9026" w:leader="none"/>
      </w:tabs>
      <w:spacing w:before="60" w:after="0"/>
    </w:pPr>
    <w:rPr/>
  </w:style>
  <w:style w:type="paragraph" w:styleId="Footer">
    <w:name w:val="Footer"/>
    <w:basedOn w:val="Normal"/>
    <w:link w:val="FuzeileZchn"/>
    <w:uiPriority w:val="99"/>
    <w:unhideWhenUsed/>
    <w:rsid w:val="003d4fac"/>
    <w:pPr>
      <w:tabs>
        <w:tab w:val="clear" w:pos="708"/>
        <w:tab w:val="center" w:pos="4513" w:leader="none"/>
        <w:tab w:val="right" w:pos="9026" w:leader="none"/>
      </w:tabs>
      <w:spacing w:before="60" w:after="0"/>
    </w:pPr>
    <w:rPr/>
  </w:style>
  <w:style w:type="paragraph" w:styleId="Title">
    <w:name w:val="Title"/>
    <w:basedOn w:val="Normal"/>
    <w:next w:val="Normal"/>
    <w:link w:val="TitelZchn"/>
    <w:uiPriority w:val="10"/>
    <w:qFormat/>
    <w:rsid w:val="003d4fac"/>
    <w:pPr>
      <w:widowControl w:val="false"/>
      <w:spacing w:before="240" w:after="240"/>
      <w:contextualSpacing/>
      <w:jc w:val="center"/>
    </w:pPr>
    <w:rPr>
      <w:rFonts w:ascii="Calibri Light" w:hAnsi="Calibri Light" w:asciiTheme="majorHAnsi" w:hAnsiTheme="majorHAnsi"/>
      <w:b/>
      <w:spacing w:val="5"/>
      <w:kern w:val="2"/>
      <w:sz w:val="72"/>
      <w:szCs w:val="52"/>
      <w:lang w:val="en-GB"/>
    </w:rPr>
  </w:style>
  <w:style w:type="paragraph" w:styleId="Subtitle">
    <w:name w:val="Subtitle"/>
    <w:basedOn w:val="Normal"/>
    <w:next w:val="Normal"/>
    <w:link w:val="UntertitelZchn"/>
    <w:uiPriority w:val="11"/>
    <w:qFormat/>
    <w:rsid w:val="003d4fac"/>
    <w:pPr>
      <w:spacing w:before="120" w:after="360"/>
      <w:jc w:val="center"/>
    </w:pPr>
    <w:rPr>
      <w:b/>
      <w:iCs/>
      <w:spacing w:val="15"/>
      <w:sz w:val="44"/>
      <w:szCs w:val="24"/>
    </w:rPr>
  </w:style>
  <w:style w:type="paragraph" w:styleId="Nessunaspaziatura1" w:customStyle="1">
    <w:name w:val="Nessuna spaziatura1"/>
    <w:uiPriority w:val="1"/>
    <w:qFormat/>
    <w:rsid w:val="003d4fac"/>
    <w:pPr>
      <w:widowControl/>
      <w:bidi w:val="0"/>
      <w:spacing w:lineRule="auto" w:line="240" w:before="60" w:after="60"/>
      <w:jc w:val="both"/>
    </w:pPr>
    <w:rPr>
      <w:rFonts w:ascii="Arial" w:hAnsi="Arial" w:eastAsia="Times New Roman" w:cs="Times New Roman"/>
      <w:color w:val="auto"/>
      <w:kern w:val="0"/>
      <w:sz w:val="22"/>
      <w:szCs w:val="22"/>
      <w:lang w:val="en-US" w:eastAsia="en-US" w:bidi="ar-SA"/>
    </w:rPr>
  </w:style>
  <w:style w:type="paragraph" w:styleId="Author" w:customStyle="1">
    <w:name w:val="Author"/>
    <w:qFormat/>
    <w:rsid w:val="003d4fac"/>
    <w:pPr>
      <w:widowControl/>
      <w:bidi w:val="0"/>
      <w:spacing w:lineRule="auto" w:line="240" w:before="0" w:after="0"/>
      <w:jc w:val="left"/>
    </w:pPr>
    <w:rPr>
      <w:rFonts w:eastAsia="Times New Roman" w:cs="Times New Roman" w:ascii="Calibri" w:hAnsi="Calibri" w:asciiTheme="minorHAnsi" w:hAnsiTheme="minorHAnsi"/>
      <w:b/>
      <w:color w:val="auto"/>
      <w:kern w:val="0"/>
      <w:sz w:val="22"/>
      <w:szCs w:val="22"/>
      <w:lang w:val="en-US" w:eastAsia="en-US" w:bidi="ar-SA"/>
    </w:rPr>
  </w:style>
  <w:style w:type="paragraph" w:styleId="Affiliation" w:customStyle="1">
    <w:name w:val="Affiliation"/>
    <w:qFormat/>
    <w:rsid w:val="003d4fac"/>
    <w:pPr>
      <w:widowControl/>
      <w:bidi w:val="0"/>
      <w:spacing w:lineRule="auto" w:line="240" w:before="0" w:after="0"/>
      <w:jc w:val="left"/>
    </w:pPr>
    <w:rPr>
      <w:rFonts w:eastAsia="Times New Roman" w:cs="Times New Roman" w:ascii="Calibri" w:hAnsi="Calibri" w:asciiTheme="minorHAnsi" w:hAnsiTheme="minorHAnsi"/>
      <w:i/>
      <w:color w:val="auto"/>
      <w:kern w:val="0"/>
      <w:sz w:val="22"/>
      <w:szCs w:val="22"/>
      <w:lang w:val="en-GB" w:eastAsia="en-US" w:bidi="ar-SA"/>
    </w:rPr>
  </w:style>
  <w:style w:type="paragraph" w:styleId="Bodytxt" w:customStyle="1">
    <w:name w:val="Body txt"/>
    <w:qFormat/>
    <w:rsid w:val="003d4fac"/>
    <w:pPr>
      <w:widowControl/>
      <w:bidi w:val="0"/>
      <w:spacing w:lineRule="auto" w:line="264" w:before="120" w:after="120"/>
      <w:jc w:val="left"/>
    </w:pPr>
    <w:rPr>
      <w:rFonts w:eastAsia="Times New Roman" w:cs="Times New Roman" w:ascii="Calibri" w:hAnsi="Calibri" w:asciiTheme="minorHAnsi" w:hAnsiTheme="minorHAnsi"/>
      <w:color w:val="auto"/>
      <w:kern w:val="0"/>
      <w:sz w:val="22"/>
      <w:szCs w:val="22"/>
      <w:lang w:val="en-GB" w:eastAsia="en-US" w:bidi="ar-SA"/>
    </w:rPr>
  </w:style>
  <w:style w:type="paragraph" w:styleId="Contents1">
    <w:name w:val="TOC 1"/>
    <w:basedOn w:val="Normal"/>
    <w:next w:val="Normal"/>
    <w:autoRedefine/>
    <w:uiPriority w:val="39"/>
    <w:unhideWhenUsed/>
    <w:qFormat/>
    <w:rsid w:val="003d4fac"/>
    <w:pPr>
      <w:spacing w:before="120" w:after="120"/>
      <w:jc w:val="left"/>
    </w:pPr>
    <w:rPr>
      <w:rFonts w:cs="Calibri" w:cstheme="minorHAnsi"/>
      <w:b/>
      <w:bCs/>
      <w:caps/>
      <w:sz w:val="20"/>
      <w:szCs w:val="20"/>
    </w:rPr>
  </w:style>
  <w:style w:type="paragraph" w:styleId="Contents2">
    <w:name w:val="TOC 2"/>
    <w:basedOn w:val="Normal"/>
    <w:next w:val="Normal"/>
    <w:autoRedefine/>
    <w:uiPriority w:val="39"/>
    <w:unhideWhenUsed/>
    <w:qFormat/>
    <w:rsid w:val="003d4fac"/>
    <w:pPr>
      <w:spacing w:before="0" w:after="0"/>
      <w:ind w:left="220" w:hanging="0"/>
      <w:jc w:val="left"/>
    </w:pPr>
    <w:rPr>
      <w:rFonts w:cs="Calibri" w:cstheme="minorHAnsi"/>
      <w:smallCaps/>
      <w:sz w:val="20"/>
      <w:szCs w:val="20"/>
    </w:rPr>
  </w:style>
  <w:style w:type="paragraph" w:styleId="Tableoffigures">
    <w:name w:val="table of figures"/>
    <w:basedOn w:val="Normal"/>
    <w:next w:val="Normal"/>
    <w:uiPriority w:val="99"/>
    <w:unhideWhenUsed/>
    <w:qFormat/>
    <w:rsid w:val="003d4fac"/>
    <w:pPr>
      <w:ind w:left="440" w:hanging="440"/>
    </w:pPr>
    <w:rPr/>
  </w:style>
  <w:style w:type="paragraph" w:styleId="H1" w:customStyle="1">
    <w:name w:val="H1"/>
    <w:link w:val="H1Char"/>
    <w:uiPriority w:val="1"/>
    <w:qFormat/>
    <w:rsid w:val="003d4fac"/>
    <w:pPr>
      <w:widowControl/>
      <w:bidi w:val="0"/>
      <w:spacing w:lineRule="auto" w:line="240" w:before="0" w:after="0"/>
      <w:jc w:val="left"/>
    </w:pPr>
    <w:rPr>
      <w:rFonts w:eastAsia="Times New Roman" w:cs="Times New Roman" w:ascii="Calibri" w:hAnsi="Calibri" w:asciiTheme="minorHAnsi" w:hAnsiTheme="minorHAnsi"/>
      <w:b/>
      <w:bCs/>
      <w:color w:val="auto"/>
      <w:kern w:val="0"/>
      <w:sz w:val="30"/>
      <w:szCs w:val="30"/>
      <w:lang w:val="en-GB" w:eastAsia="en-US" w:bidi="ar-SA"/>
    </w:rPr>
  </w:style>
  <w:style w:type="paragraph" w:styleId="ListParagraph">
    <w:name w:val="List Paragraph"/>
    <w:basedOn w:val="Normal"/>
    <w:uiPriority w:val="34"/>
    <w:qFormat/>
    <w:rsid w:val="003d4fac"/>
    <w:pPr>
      <w:spacing w:before="60" w:after="60"/>
      <w:ind w:left="720" w:hanging="0"/>
      <w:contextualSpacing/>
    </w:pPr>
    <w:rPr/>
  </w:style>
  <w:style w:type="paragraph" w:styleId="Contents3">
    <w:name w:val="TOC 3"/>
    <w:basedOn w:val="Normal"/>
    <w:next w:val="Normal"/>
    <w:autoRedefine/>
    <w:uiPriority w:val="39"/>
    <w:unhideWhenUsed/>
    <w:qFormat/>
    <w:rsid w:val="003d4fac"/>
    <w:pPr>
      <w:spacing w:before="0" w:after="0"/>
      <w:ind w:left="440" w:hanging="0"/>
      <w:jc w:val="left"/>
    </w:pPr>
    <w:rPr>
      <w:rFonts w:cs="Calibri" w:cstheme="minorHAnsi"/>
      <w:i/>
      <w:iCs/>
      <w:sz w:val="20"/>
      <w:szCs w:val="20"/>
    </w:rPr>
  </w:style>
  <w:style w:type="paragraph" w:styleId="Caption1">
    <w:name w:val="caption"/>
    <w:basedOn w:val="Normal"/>
    <w:next w:val="Normal"/>
    <w:qFormat/>
    <w:rsid w:val="003d4fac"/>
    <w:pPr>
      <w:spacing w:before="120" w:after="120"/>
      <w:jc w:val="center"/>
    </w:pPr>
    <w:rPr>
      <w:rFonts w:ascii="Arial" w:hAnsi="Arial"/>
      <w:b/>
      <w:sz w:val="20"/>
      <w:szCs w:val="24"/>
      <w:lang w:val="en-GB"/>
    </w:rPr>
  </w:style>
  <w:style w:type="paragraph" w:styleId="Graphic" w:customStyle="1">
    <w:name w:val="graphic"/>
    <w:basedOn w:val="Normal"/>
    <w:qFormat/>
    <w:rsid w:val="003d4fac"/>
    <w:pPr>
      <w:keepNext w:val="true"/>
      <w:spacing w:lineRule="auto" w:line="264" w:before="120" w:after="120"/>
      <w:jc w:val="center"/>
    </w:pPr>
    <w:rPr/>
  </w:style>
  <w:style w:type="paragraph" w:styleId="Biblio" w:customStyle="1">
    <w:name w:val="Biblio"/>
    <w:qFormat/>
    <w:rsid w:val="003d4fac"/>
    <w:pPr>
      <w:widowControl/>
      <w:bidi w:val="0"/>
      <w:spacing w:lineRule="auto" w:line="312" w:before="120" w:after="120"/>
      <w:ind w:left="567" w:hanging="567"/>
      <w:jc w:val="left"/>
    </w:pPr>
    <w:rPr>
      <w:rFonts w:eastAsia="Times New Roman" w:cs="Times New Roman" w:ascii="Calibri" w:hAnsi="Calibri" w:asciiTheme="minorHAnsi" w:hAnsiTheme="minorHAnsi"/>
      <w:color w:val="auto"/>
      <w:kern w:val="0"/>
      <w:sz w:val="22"/>
      <w:szCs w:val="22"/>
      <w:lang w:val="en-GB" w:eastAsia="en-US" w:bidi="ar-SA"/>
    </w:rPr>
  </w:style>
  <w:style w:type="paragraph" w:styleId="BalloonText">
    <w:name w:val="Balloon Text"/>
    <w:basedOn w:val="Normal"/>
    <w:link w:val="SprechblasentextZchn"/>
    <w:uiPriority w:val="99"/>
    <w:semiHidden/>
    <w:unhideWhenUsed/>
    <w:qFormat/>
    <w:rsid w:val="009f275e"/>
    <w:pPr>
      <w:spacing w:before="0" w:after="0"/>
    </w:pPr>
    <w:rPr>
      <w:rFonts w:ascii="Segoe UI" w:hAnsi="Segoe UI" w:cs="Segoe UI"/>
      <w:sz w:val="18"/>
      <w:szCs w:val="18"/>
    </w:rPr>
  </w:style>
  <w:style w:type="paragraph" w:styleId="Annotationtext">
    <w:name w:val="annotation text"/>
    <w:basedOn w:val="Normal"/>
    <w:link w:val="KommentartextZchn"/>
    <w:semiHidden/>
    <w:qFormat/>
    <w:rsid w:val="009b18f0"/>
    <w:pPr>
      <w:spacing w:before="0" w:after="0"/>
    </w:pPr>
    <w:rPr>
      <w:rFonts w:ascii="Arial" w:hAnsi="Arial"/>
      <w:sz w:val="20"/>
      <w:szCs w:val="20"/>
      <w:lang w:val="fr-FR" w:eastAsia="fr-FR"/>
    </w:rPr>
  </w:style>
  <w:style w:type="paragraph" w:styleId="Contents4">
    <w:name w:val="TOC 4"/>
    <w:basedOn w:val="Normal"/>
    <w:next w:val="Normal"/>
    <w:autoRedefine/>
    <w:uiPriority w:val="39"/>
    <w:unhideWhenUsed/>
    <w:rsid w:val="00cc4e3c"/>
    <w:pPr>
      <w:spacing w:lineRule="auto" w:line="259" w:before="0" w:after="100"/>
      <w:ind w:left="660" w:hanging="0"/>
      <w:jc w:val="left"/>
    </w:pPr>
    <w:rPr>
      <w:rFonts w:eastAsia="" w:cs="" w:cstheme="minorBidi" w:eastAsiaTheme="minorEastAsia"/>
    </w:rPr>
  </w:style>
  <w:style w:type="paragraph" w:styleId="Contents5">
    <w:name w:val="TOC 5"/>
    <w:basedOn w:val="Normal"/>
    <w:next w:val="Normal"/>
    <w:autoRedefine/>
    <w:uiPriority w:val="39"/>
    <w:unhideWhenUsed/>
    <w:rsid w:val="00cc4e3c"/>
    <w:pPr>
      <w:spacing w:lineRule="auto" w:line="259" w:before="0" w:after="100"/>
      <w:ind w:left="880" w:hanging="0"/>
      <w:jc w:val="left"/>
    </w:pPr>
    <w:rPr>
      <w:rFonts w:eastAsia="" w:cs="" w:cstheme="minorBidi" w:eastAsiaTheme="minorEastAsia"/>
    </w:rPr>
  </w:style>
  <w:style w:type="paragraph" w:styleId="Contents6">
    <w:name w:val="TOC 6"/>
    <w:basedOn w:val="Normal"/>
    <w:next w:val="Normal"/>
    <w:autoRedefine/>
    <w:uiPriority w:val="39"/>
    <w:unhideWhenUsed/>
    <w:rsid w:val="00cc4e3c"/>
    <w:pPr>
      <w:spacing w:lineRule="auto" w:line="259" w:before="0" w:after="100"/>
      <w:ind w:left="1100" w:hanging="0"/>
      <w:jc w:val="left"/>
    </w:pPr>
    <w:rPr>
      <w:rFonts w:eastAsia="" w:cs="" w:cstheme="minorBidi" w:eastAsiaTheme="minorEastAsia"/>
    </w:rPr>
  </w:style>
  <w:style w:type="paragraph" w:styleId="Contents7">
    <w:name w:val="TOC 7"/>
    <w:basedOn w:val="Normal"/>
    <w:next w:val="Normal"/>
    <w:autoRedefine/>
    <w:uiPriority w:val="39"/>
    <w:unhideWhenUsed/>
    <w:rsid w:val="00cc4e3c"/>
    <w:pPr>
      <w:spacing w:lineRule="auto" w:line="259" w:before="0" w:after="100"/>
      <w:ind w:left="1320" w:hanging="0"/>
      <w:jc w:val="left"/>
    </w:pPr>
    <w:rPr>
      <w:rFonts w:eastAsia="" w:cs="" w:cstheme="minorBidi" w:eastAsiaTheme="minorEastAsia"/>
    </w:rPr>
  </w:style>
  <w:style w:type="paragraph" w:styleId="Contents8">
    <w:name w:val="TOC 8"/>
    <w:basedOn w:val="Normal"/>
    <w:next w:val="Normal"/>
    <w:autoRedefine/>
    <w:uiPriority w:val="39"/>
    <w:unhideWhenUsed/>
    <w:rsid w:val="00cc4e3c"/>
    <w:pPr>
      <w:spacing w:lineRule="auto" w:line="259" w:before="0" w:after="100"/>
      <w:ind w:left="1540" w:hanging="0"/>
      <w:jc w:val="left"/>
    </w:pPr>
    <w:rPr>
      <w:rFonts w:eastAsia="" w:cs="" w:cstheme="minorBidi" w:eastAsiaTheme="minorEastAsia"/>
    </w:rPr>
  </w:style>
  <w:style w:type="paragraph" w:styleId="Contents9">
    <w:name w:val="TOC 9"/>
    <w:basedOn w:val="Normal"/>
    <w:next w:val="Normal"/>
    <w:autoRedefine/>
    <w:uiPriority w:val="39"/>
    <w:unhideWhenUsed/>
    <w:rsid w:val="00cc4e3c"/>
    <w:pPr>
      <w:spacing w:lineRule="auto" w:line="259" w:before="0" w:after="100"/>
      <w:ind w:left="1760" w:hanging="0"/>
      <w:jc w:val="left"/>
    </w:pPr>
    <w:rPr>
      <w:rFonts w:eastAsia="" w:cs="" w:cstheme="minorBidi" w:eastAsiaTheme="minorEastAsia"/>
    </w:rPr>
  </w:style>
  <w:style w:type="paragraph" w:styleId="Revision">
    <w:name w:val="Revision"/>
    <w:uiPriority w:val="99"/>
    <w:semiHidden/>
    <w:qFormat/>
    <w:rsid w:val="00df583a"/>
    <w:pPr>
      <w:widowControl/>
      <w:bidi w:val="0"/>
      <w:spacing w:lineRule="auto" w:line="240" w:before="0" w:after="0"/>
      <w:jc w:val="left"/>
    </w:pPr>
    <w:rPr>
      <w:rFonts w:eastAsia="Times New Roman" w:cs="Times New Roman" w:ascii="Calibri" w:hAnsi="Calibri" w:asciiTheme="minorHAnsi" w:hAnsiTheme="minorHAnsi"/>
      <w:color w:val="auto"/>
      <w:kern w:val="0"/>
      <w:sz w:val="22"/>
      <w:szCs w:val="22"/>
      <w:lang w:val="en-US" w:eastAsia="en-US" w:bidi="ar-SA"/>
    </w:rPr>
  </w:style>
  <w:style w:type="paragraph" w:styleId="Annotationsubject">
    <w:name w:val="annotation subject"/>
    <w:basedOn w:val="Annotationtext"/>
    <w:next w:val="Annotationtext"/>
    <w:link w:val="KommentarthemaZchn"/>
    <w:uiPriority w:val="99"/>
    <w:semiHidden/>
    <w:unhideWhenUsed/>
    <w:qFormat/>
    <w:rsid w:val="00193db5"/>
    <w:pPr>
      <w:spacing w:before="60" w:after="60"/>
    </w:pPr>
    <w:rPr>
      <w:rFonts w:ascii="Calibri" w:hAnsi="Calibri" w:asciiTheme="minorHAnsi" w:hAnsiTheme="minorHAnsi"/>
      <w:b/>
      <w:bCs/>
      <w:lang w:val="en-US" w:eastAsia="en-US"/>
    </w:rPr>
  </w:style>
  <w:style w:type="paragraph" w:styleId="NormalWeb">
    <w:name w:val="Normal (Web)"/>
    <w:basedOn w:val="Normal"/>
    <w:uiPriority w:val="99"/>
    <w:semiHidden/>
    <w:unhideWhenUsed/>
    <w:qFormat/>
    <w:rsid w:val="00e46942"/>
    <w:pPr>
      <w:spacing w:beforeAutospacing="1" w:afterAutospacing="1"/>
      <w:jc w:val="left"/>
    </w:pPr>
    <w:rPr>
      <w:rFonts w:ascii="Times New Roman" w:hAnsi="Times New Roman"/>
      <w:sz w:val="24"/>
      <w:szCs w:val="24"/>
      <w:lang w:val="de-DE" w:eastAsia="de-D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c16729"/>
    <w:pPr>
      <w:spacing w:after="0" w:line="240" w:lineRule="auto"/>
    </w:pPr>
    <w:rPr>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NormaleTabelle"/>
    <w:uiPriority w:val="59"/>
    <w:rsid w:val="00571fc7"/>
    <w:pPr>
      <w:spacing w:after="0" w:line="240" w:lineRule="auto"/>
    </w:pPr>
    <w:rPr>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vosviewer.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FDF7B-C29F-41ED-A34B-05E66FACC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LibreOffice/7.0.4.2$Linux_X86_64 LibreOffice_project/00$Build-2</Application>
  <AppVersion>15.0000</AppVersion>
  <Pages>19</Pages>
  <Words>5983</Words>
  <Characters>33472</Characters>
  <CharactersWithSpaces>38859</CharactersWithSpaces>
  <Paragraphs>640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2021-04-01T10:15:00Z</dcterms:created>
  <dc:creator>Motunrayo SHAFAU</dc:creator>
  <dc:description/>
  <dc:language>en-IE</dc:language>
  <cp:lastModifiedBy>ED</cp:lastModifiedBy>
  <dcterms:modified xsi:type="dcterms:W3CDTF">2021-04-01T10:25:00Z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