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1565C0"/>
          <w:sz w:val="64"/>
          <w:szCs w:val="64"/>
        </w:rPr>
        <w:t xml:space="preserve">网上银行系统</w:t>
      </w:r>
    </w:p>
    <w:p>
      <w:pPr>
        <w:spacing w:after="200"/>
        <w:jc w:val="center"/>
      </w:pPr>
      <w:r>
        <w:rPr>
          <w:color w:val="1976D2"/>
          <w:sz w:val="44"/>
          <w:szCs w:val="44"/>
        </w:rPr>
        <w:t xml:space="preserve">成员D · 交易服务模块</w:t>
      </w:r>
    </w:p>
    <w:p>
      <w:pPr>
        <w:spacing w:after="160"/>
        <w:jc w:val="center"/>
      </w:pPr>
      <w:r>
        <w:rPr>
          <w:i/>
          <w:iCs/>
          <w:color w:val="546E7A"/>
          <w:sz w:val="28"/>
          <w:szCs w:val="28"/>
        </w:rPr>
        <w:t xml:space="preserve">技术设计与接口文档</w:t>
      </w:r>
    </w:p>
    <w:p>
      <w:pPr>
        <w:spacing w:after="80"/>
        <w:jc w:val="center"/>
      </w:pPr>
      <w:r>
        <w:rPr>
          <w:color w:val="78909C"/>
          <w:sz w:val="22"/>
          <w:szCs w:val="22"/>
        </w:rPr>
        <w:t xml:space="preserve">Transaction Service v1.0.0</w:t>
      </w:r>
    </w:p>
    <w:p>
      <w:pPr>
        <w:jc w:val="center"/>
      </w:pPr>
      <w:r>
        <w:rPr>
          <w:color w:val="78909C"/>
          <w:sz w:val="22"/>
          <w:szCs w:val="22"/>
        </w:rPr>
        <w:t xml:space="preserve">2024 年 6 月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565C0"/>
          <w:sz w:val="36"/>
          <w:szCs w:val="36"/>
        </w:rPr>
        <w:t xml:space="preserve">1. 模块概述</w:t>
      </w:r>
    </w:p>
    <w:p>
      <w:pPr>
        <w:spacing w:after="120"/>
      </w:pPr>
      <w:r>
        <w:rPr>
          <w:sz w:val="22"/>
          <w:szCs w:val="22"/>
        </w:rPr>
        <w:t xml:space="preserve">本模块是网上银行系统中的"交易服务"，由成员D负责实现。功能覆盖三种核心交易操作：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转账（账户间资金划转）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存款（向账户存入资金）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取款（从账户提取资金）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模块在保证数据一致性的同时，通过悲观锁与数据库事务机制处理高并发场景，并集成 JWT 认证确保接口安全。</w:t>
      </w:r>
    </w:p>
    <w:p>
      <w:pPr>
        <w:pBdr>
          <w:bottom w:val="single" w:color="ECEFF1" w:sz="4" w:space="6"/>
        </w:pBdr>
        <w:spacing w:after="200" w:before="200"/>
      </w:pP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1.1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分类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运行环境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JDK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核心框架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 Boot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3.2.0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安全框架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 Security + JWT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6.x / 0.11.5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持久层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 Data JPA + Hibernate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3.x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数据库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MySQL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8.0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文档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SpringDoc OpenAPI (Swagger)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2.3.0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构建工具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Maven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3.8+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辅助工具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Lombok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最新稳定版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1.2 模块职责边界</w:t>
      </w:r>
    </w:p>
    <w:p>
      <w:pPr>
        <w:spacing w:after="120"/>
      </w:pPr>
      <w:r>
        <w:rPr>
          <w:sz w:val="22"/>
          <w:szCs w:val="22"/>
        </w:rPr>
        <w:t xml:space="preserve">本模块仅负责交易执行逻辑，与其他成员的边界如下：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依赖方向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交互内容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依赖成员B（认证）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 Token 解析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共享 jwt.secret 密钥，本模块仅做解析不签发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依赖成员C（账户）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accounts 表读写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通过 JPA 直接操作，集成阶段可改为 Feign 调用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被成员E（账单）使用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transactions 表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成员E直接查询此表实现历史查询与导出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被成员F（管理员）使用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transactions 表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成员F查询此表实现交易监控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565C0"/>
          <w:sz w:val="36"/>
          <w:szCs w:val="36"/>
        </w:rPr>
        <w:t xml:space="preserve">2. 工程结构</w:t>
      </w:r>
    </w:p>
    <w:p>
      <w:pPr>
        <w:spacing w:after="120"/>
      </w:pPr>
      <w:r>
        <w:rPr>
          <w:sz w:val="22"/>
          <w:szCs w:val="22"/>
        </w:rPr>
        <w:t xml:space="preserve">Maven 标准目录布局，包路径：com.bank.transaction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transaction-service/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├── pom.xml                           # Maven 依赖管理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└── src/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├── main/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├── java/com/bank/transaction/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├── TransactionServiceApplication.java   # 启动类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├── controller/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└── TransactionController.java       # REST 接口层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├── service/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TransactionService.java          # 服务接口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└── TransactionServiceImpl.java      # 业务实现（核心）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├── entity/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Transaction.java                 # 交易记录实体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└── Account.java                     # 账户实体（Stub）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├── repository/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TransactionRepository.java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└── AccountRepository.java           # 含悲观锁查询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├── dto/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TransferRequest.java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DepositRequest.java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WithdrawRequest.java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TransactionResponse.java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└── ApiResponse.java                 # 统一响应包装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├── enums/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TransactionType.java             # 交易类型枚举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└── TransactionStatus.java           # 交易状态枚举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├── exception/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BusinessException.java           # 业务异常基类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InsufficientBalanceException.java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AccountNotFoundException.java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TransactionLimitException.java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├── AccountStatusException.java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│   └── GlobalExceptionHandler.java      # 全局异常处理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└── config/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    ├── SecurityConfig.java              # Spring Security 配置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    ├── JwtAuthenticationFilter.java     # JWT 过滤器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    ├── JwtTokenUtil.java                # Token 解析工具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    ├── SwaggerConfig.java               # OpenAPI 配置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    ├── TransactionProperties.java       # 业务规则配置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│       └── TransactionNoGenerator.java      # 流水号生成器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└── resources/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    ├── application.yml                      # 主配置文件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    └── schema.sql                           # 建表脚本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└── test/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└── java/com/bank/transaction/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  └── TransactionServiceTest.java          # 单元测试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565C0"/>
          <w:sz w:val="36"/>
          <w:szCs w:val="36"/>
        </w:rPr>
        <w:t xml:space="preserve">3. 数据库设计</w:t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3.1 transactions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BIGINT PK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transaction_no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VARCHAR(32)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业务流水号（唯一索引）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transaction_type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TRANSFER_OUT / DEPOSIT / WITHDRAWAL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PENDING / SUCCESS / FAILED / ROLLED_BACK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from_account_id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付款方账户ID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to_account_id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收款方账户ID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DECIMAL(19,2)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交易金额（正数）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from_balance_before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DECIMAL(19,2)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付款方交易前余额快照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from_balance_after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DECIMAL(19,2)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付款方交易后余额快照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to_balance_before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DECIMAL(19,2)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收款方交易前余额快照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to_balance_after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DECIMAL(19,2)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收款方交易后余额快照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交易备注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failure_reason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失败原因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operator_id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操作人用户ID（来自JWT）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operator_ip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操作人IP地址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创建时间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3.2 索引设计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索引名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类型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uk_transaction_no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transaction_no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唯一索引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防止重复流水号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idx_from_account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from_account_id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普通索引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查询付款方历史记录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idx_to_account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to_account_id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普通索引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查询收款方历史记录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idx_created_at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普通索引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按时间范围查询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idx_from_account_created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from_account_id, created_at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联合索引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单日限额累计查询（覆盖索引）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565C0"/>
          <w:sz w:val="36"/>
          <w:szCs w:val="36"/>
        </w:rPr>
        <w:t xml:space="preserve">4. 核心业务逻辑</w:t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4.1 事务控制策略</w:t>
      </w:r>
    </w:p>
    <w:p>
      <w:pPr>
        <w:spacing w:after="120"/>
      </w:pPr>
      <w:r>
        <w:rPr>
          <w:sz w:val="22"/>
          <w:szCs w:val="22"/>
        </w:rPr>
        <w:t xml:space="preserve">所有写操作均使用以下事务配置：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@Transactional(isolation = Isolation.REPEATABLE_READ, rollbackFor = Exception.class)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选用 REPEATABLE_READ 的原因：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防止不可重复读（同一事务内两次读取余额值不一致）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配合悲观锁，彻底杜绝并发超扣问题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MySQL InnoDB 默认隔离级别，无额外性能开销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i/>
          <w:iCs/>
          <w:color w:val="E65100"/>
          <w:sz w:val="20"/>
          <w:szCs w:val="20"/>
        </w:rPr>
        <w:t xml:space="preserve">💡 任意步骤抛出异常（含业务异常）均会触发全量回滚，不会出现余额扣除但记录未写入的中间状态。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4.2 并发安全：悲观锁防超扣</w:t>
      </w:r>
    </w:p>
    <w:p>
      <w:pPr>
        <w:spacing w:after="120"/>
      </w:pPr>
      <w:r>
        <w:rPr>
          <w:sz w:val="22"/>
          <w:szCs w:val="22"/>
        </w:rPr>
        <w:t xml:space="preserve">账户余额变更时，通过 SELECT ... FOR UPDATE 对目标行加写锁：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-- 转账场景，两账户按 ID 升序依次加锁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SELECT * FROM accounts WHERE id = ? FOR UPDATE;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转账加锁顺序算法（防死锁）：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取 fromAccountId 和 toAccountId，按数值升序排列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先对 ID 较小的账户加锁，再对 ID 较大的账户加锁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任何并发转账请求都会遵循同一加锁顺序，避免循环等待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i/>
          <w:iCs/>
          <w:color w:val="E65100"/>
          <w:sz w:val="20"/>
          <w:szCs w:val="20"/>
        </w:rPr>
        <w:t xml:space="preserve">💡 例：A→B 的转账与 B→A 的转账同时发生时，两者都会先锁 min(A,B)，确保无死锁。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4.3 转账完整流程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步骤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操作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失败处理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校验 fromId ≠ toId，金额在 [minAmount, singleLimit] 范围内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抛出 BusinessException / TransactionLimitException，事务回滚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按 ID 升序对两账户加悲观写锁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账户不存在则抛出 AccountNotFoundException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验证两账户均为 ACTIVE 状态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抛出 AccountStatusException，事务回滚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查询今日已转账总额，加本次金额判断是否超 dailyLimit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抛出 TransactionLimitException，事务回滚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判断 fromAccount.balance &gt;= amount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余额不足则抛出 InsufficientBalanceException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fromAccount.balance -= amount；toAccount.balance += amount；保存两条账户记录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JPA 异常则事务回滚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生成流水号，写入 transactions 表（status=SUCCESS）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持久化失败则全量回滚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4.4 流水号生成规则</w:t>
      </w:r>
    </w:p>
    <w:p>
      <w:pPr>
        <w:spacing w:after="120"/>
      </w:pPr>
      <w:r>
        <w:rPr>
          <w:sz w:val="22"/>
          <w:szCs w:val="22"/>
        </w:rPr>
        <w:t xml:space="preserve">格式：TXN + yyyyMMddHHmmssSSS + 6位随机数（共26位）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示例：TXN202406101530121234789012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时间戳精确到毫秒，同毫秒内不同随机数避免碰撞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数据库 transaction_no 字段设有唯一索引，提供最终兜底保障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生成逻辑封装在 TransactionNoGenerator 组件，便于后续替换为雪花算法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4.5 限额规则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操作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规则项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默认值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配置路径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转账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单笔最小金额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¥0.01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transaction.transfer.min-amount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转账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单笔最大金额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¥100,000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transaction.transfer.single-limit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转账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单日累计限额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¥500,000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transaction.transfer.daily-limit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存款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单笔最小金额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¥0.01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transaction.deposit.min-amount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存款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单笔最大金额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¥500,000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transaction.deposit.max-amount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取款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单笔最小金额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¥0.01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transaction.withdraw.min-amount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取款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单笔最大金额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¥20,000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transaction.withdraw.single-limit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取款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单日累计限额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¥50,000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transaction.withdraw.daily-limit</w:t>
            </w:r>
          </w:p>
        </w:tc>
      </w:tr>
    </w:tbl>
    <w:p>
      <w:pPr>
        <w:spacing w:after="120"/>
        <w:ind w:left="360"/>
      </w:pPr>
      <w:r>
        <w:rPr>
          <w:i/>
          <w:iCs/>
          <w:color w:val="E65100"/>
          <w:sz w:val="20"/>
          <w:szCs w:val="20"/>
        </w:rPr>
        <w:t xml:space="preserve">💡 所有限额值均可通过修改 application.yml 调整，无需修改代码。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565C0"/>
          <w:sz w:val="36"/>
          <w:szCs w:val="36"/>
        </w:rPr>
        <w:t xml:space="preserve">5. API 接口文档</w:t>
      </w:r>
    </w:p>
    <w:p>
      <w:pPr>
        <w:spacing w:after="120"/>
      </w:pPr>
      <w:r>
        <w:rPr>
          <w:sz w:val="22"/>
          <w:szCs w:val="22"/>
        </w:rPr>
        <w:t xml:space="preserve">Base URL: /api/v1/transactions    认证：所有接口需携带 Authorization: Bearer &lt;JWT Token&gt;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5.1 POST /transfer — 转账</w:t>
      </w:r>
    </w:p>
    <w:p>
      <w:pPr>
        <w:pStyle w:val="Heading3"/>
        <w:spacing w:after="100" w:before="200"/>
      </w:pPr>
      <w:r>
        <w:rPr>
          <w:b/>
          <w:bCs/>
          <w:color w:val="37474F"/>
          <w:sz w:val="24"/>
          <w:szCs w:val="24"/>
        </w:rPr>
        <w:t xml:space="preserve">请求体（application/json）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必填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fromAccountId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不能为空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付款方账户ID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toAccountId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不能为空，且 ≠ fromAccountId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收款方账户ID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BigDecimal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≥ 0.01，最多2位小数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转账金额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remark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最多200字符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交易备注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74F"/>
          <w:sz w:val="24"/>
          <w:szCs w:val="24"/>
        </w:rPr>
        <w:t xml:space="preserve">请求示例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"fromAccountId": 1001,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"toAccountId": 1002,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"amount": 500.00,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"remark": "房租"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74F"/>
          <w:sz w:val="24"/>
          <w:szCs w:val="24"/>
        </w:rPr>
        <w:t xml:space="preserve">成功响应（HTTP 200）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"code":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"message": "转账成功",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"data":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"transactionNo": "TXN202406101530121234789012",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"transactionType": "TRANSFER_OUT",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"status": "SUCCESS",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"fromAccountId": 1001,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"toAccountId": 1002,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"amount": 500.00,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"fromBalanceAfter": 4500.00,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"toBalanceAfter": 1500.00,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"createdAt": "2024-06-10T15:30:12"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"timestamp": "2024-06-10T15:30:12"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5.2 POST /deposit — 存款</w:t>
      </w:r>
    </w:p>
    <w:p>
      <w:pPr>
        <w:pStyle w:val="Heading3"/>
        <w:spacing w:after="100" w:before="200"/>
      </w:pPr>
      <w:r>
        <w:rPr>
          <w:b/>
          <w:bCs/>
          <w:color w:val="37474F"/>
          <w:sz w:val="24"/>
          <w:szCs w:val="24"/>
        </w:rPr>
        <w:t xml:space="preserve">请求体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accountId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目标账户ID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BigDecimal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存款金额（≥ 0.01，最多2位小数）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remark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备注（最多200字符）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5.3 POST /withdraw — 取款</w:t>
      </w:r>
    </w:p>
    <w:p>
      <w:pPr>
        <w:pStyle w:val="Heading3"/>
        <w:spacing w:after="100" w:before="200"/>
      </w:pPr>
      <w:r>
        <w:rPr>
          <w:b/>
          <w:bCs/>
          <w:color w:val="37474F"/>
          <w:sz w:val="24"/>
          <w:szCs w:val="24"/>
        </w:rPr>
        <w:t xml:space="preserve">请求体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accountId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取款账户ID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BigDecimal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取款金额（≥ 0.01，最多2位小数）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remark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备注（最多200字符）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5.4 错误响应规范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HTTP 状态码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code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场景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4000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请求参数校验失败（@Valid）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4001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账户不存在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4002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账户余额不足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4003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超出限额（单笔或单日）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4004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账户状态异常（冻结/注销）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4005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转账付款与收款账户相同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5000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系统内部错误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74F"/>
          <w:sz w:val="24"/>
          <w:szCs w:val="24"/>
        </w:rPr>
        <w:t xml:space="preserve">错误响应示例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"code": 4002,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"message": "账户余额不足，无法完成本次交易",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"data":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"timestamp": "2024-06-10T15:30:12"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565C0"/>
          <w:sz w:val="36"/>
          <w:szCs w:val="36"/>
        </w:rPr>
        <w:t xml:space="preserve">6. 部署与配置</w:t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6.1 application.yml 关键配置项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配置项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server.port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8083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服务监听端口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spring.datasource.url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（见文件）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MySQL 连接串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jwt.secret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（需与成员B一致）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 签名密钥，≥32字符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transaction.transfer.daily-limit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500000.00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单日转账总限额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transaction.withdraw.daily-limit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50000.00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单日取款总限额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6.2 快速启动步骤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确保 MySQL 8.0 已运行，执行 src/main/resources/schema.sql 创建表结构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修改 application.yml 中的数据库连接信息和 jwt.secret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执行 mvn clean package -DskipTests 构建 JAR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运行 java -jar target/transaction-service-1.0.0-SNAPSHOT.jar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访问 http://localhost:8083/swagger-ui.html 查看接口文档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6.3 与其他模块集成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jwt.secret 必须与成员B（认证服务）保持完全一致，否则 Token 验证失败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accounts 表由成员C负责维护，请确认表结构与 Account.java 实体一致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成员E（账单模块）可直接查询 transactions 表，无需调用本模块接口</w:t>
      </w:r>
    </w:p>
    <w:p>
      <w:pPr>
        <w:spacing w:after="120"/>
        <w:ind w:left="360"/>
      </w:pPr>
      <w:r>
        <w:rPr>
          <w:i/>
          <w:iCs/>
          <w:color w:val="E65100"/>
          <w:sz w:val="20"/>
          <w:szCs w:val="20"/>
        </w:rPr>
        <w:t xml:space="preserve">💡 建议团队统一使用一个 MySQL 实例，各模块操作同一个 online_bank 数据库。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565C0"/>
          <w:sz w:val="36"/>
          <w:szCs w:val="36"/>
        </w:rPr>
        <w:t xml:space="preserve">7. 测试说明</w:t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7.1 单元测试覆盖</w:t>
      </w:r>
    </w:p>
    <w:p>
      <w:pPr>
        <w:spacing w:after="120"/>
      </w:pPr>
      <w:r>
        <w:rPr>
          <w:sz w:val="22"/>
          <w:szCs w:val="22"/>
        </w:rPr>
        <w:t xml:space="preserve">测试文件：src/test/java/com/bank/transaction/TransactionServiceTest.java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deposit_success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正常金额存款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余额增加，返回 SUCCESS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deposit_frozenAccount_throws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向冻结账户存款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抛出 AccountStatusException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withdraw_success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余额充足时取款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余额减少，返回 SUCCESS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withdraw_insufficientBalance_throws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余额不足时取款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抛出 InsufficientBalanceException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withdraw_exceedDailyLimit_throws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超出单日取款限额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抛出 TransactionLimitException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transfer_success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正常账户间转账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双方余额正确更新，返回 SUCCESS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transfer_sameAccount_throws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付款收款为同一账户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抛出 BusinessException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7.2 运行测试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运行全部单元测试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mvn test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仅运行交易服务测试类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mvn test -Dtest=TransactionServiceTest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565C0"/>
          <w:sz w:val="36"/>
          <w:szCs w:val="36"/>
        </w:rPr>
        <w:t xml:space="preserve">8. 设计决策说明</w:t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8.1 为何使用悲观锁而非乐观锁</w:t>
      </w:r>
    </w:p>
    <w:p>
      <w:pPr>
        <w:spacing w:after="120"/>
      </w:pPr>
      <w:r>
        <w:rPr>
          <w:sz w:val="22"/>
          <w:szCs w:val="22"/>
        </w:rPr>
        <w:t xml:space="preserve">银行转账场景下，并发冲突概率较高（多用户同时操作同一账户），乐观锁在冲突时需要应用层重试，逻辑复杂且用户体验差。悲观锁（SELECT FOR UPDATE）在事务提交前阻塞其他修改，确保一次成功，更适合金融场景。</w:t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8.2 余额快照的意义</w:t>
      </w:r>
    </w:p>
    <w:p>
      <w:pPr>
        <w:spacing w:after="120"/>
      </w:pPr>
      <w:r>
        <w:rPr>
          <w:sz w:val="22"/>
          <w:szCs w:val="22"/>
        </w:rPr>
        <w:t xml:space="preserve">交易记录中同时保存了交易前后的余额快照（balance_before/after），这样即使账户余额因其他操作发生变化，每一笔交易的历史状态仍然可追溯，便于对账和审计。</w:t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8.3 Account 实体为何定义为 Stub</w:t>
      </w:r>
    </w:p>
    <w:p>
      <w:pPr>
        <w:spacing w:after="120"/>
      </w:pPr>
      <w:r>
        <w:rPr>
          <w:sz w:val="22"/>
          <w:szCs w:val="22"/>
        </w:rPr>
        <w:t xml:space="preserve">accounts 表由成员C负责，本模块以最小依赖原则声明 Account 实体，仅包含交易操作所需字段。如团队后续采用微服务架构，可将直接 JPA 调用替换为 OpenFeign HTTP 调用，对外接口无需变更。</w:t>
      </w:r>
    </w:p>
    <w:p>
      <w:pPr>
        <w:pStyle w:val="Heading2"/>
        <w:pBdr>
          <w:bottom w:val="single" w:color="1976D2" w:sz="2" w:space="4"/>
        </w:pBdr>
        <w:spacing w:after="160" w:before="300"/>
      </w:pPr>
      <w:r>
        <w:rPr>
          <w:b/>
          <w:bCs/>
          <w:color w:val="1976D2"/>
          <w:sz w:val="28"/>
          <w:szCs w:val="28"/>
        </w:rPr>
        <w:t xml:space="preserve">8.4 不使用 Redis 缓存的处理方式</w:t>
      </w:r>
    </w:p>
    <w:p>
      <w:pPr>
        <w:spacing w:after="120"/>
      </w:pPr>
      <w:r>
        <w:rPr>
          <w:sz w:val="22"/>
          <w:szCs w:val="22"/>
        </w:rPr>
        <w:t xml:space="preserve">按项目要求不使用 Redis。限额累计查询通过数据库复合索引（from_account_id + created_at）保证查询效率。对于学生项目规模，此方案足够且简单可靠。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2026-06-10T03:01:49.892Z</dcterms:created>
  <dcterms:modified xsi:type="dcterms:W3CDTF">2026-06-10T03:01:49.892Z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