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FDC2" w14:textId="77777777" w:rsidR="00AF72EC" w:rsidRPr="0059224E" w:rsidRDefault="00AF72EC" w:rsidP="00AF72EC">
      <w:pPr>
        <w:jc w:val="center"/>
        <w:rPr>
          <w:rFonts w:asciiTheme="minorHAnsi" w:eastAsia="ＭＳ ゴシック" w:hAnsiTheme="minorHAnsi" w:cs="ＭＳ ゴシック"/>
          <w:b/>
          <w:sz w:val="24"/>
          <w:szCs w:val="24"/>
        </w:rPr>
      </w:pPr>
      <w:r>
        <w:rPr>
          <w:rFonts w:asciiTheme="minorHAnsi" w:eastAsia="ＭＳ ゴシック" w:hAnsiTheme="minorHAnsi" w:cs="ＭＳ ゴシック" w:hint="eastAsia"/>
          <w:b/>
          <w:sz w:val="24"/>
          <w:szCs w:val="24"/>
        </w:rPr>
        <w:t>レポート課題　高校進学に伴う機会費用と便益について</w:t>
      </w:r>
    </w:p>
    <w:p w14:paraId="672A6659" w14:textId="77777777" w:rsidR="00AF72EC" w:rsidRPr="0059224E" w:rsidRDefault="00AF72EC" w:rsidP="00AF72EC">
      <w:pPr>
        <w:tabs>
          <w:tab w:val="left" w:pos="216"/>
        </w:tabs>
        <w:rPr>
          <w:rFonts w:asciiTheme="minorHAnsi" w:eastAsia="ＭＳ ゴシック" w:hAnsiTheme="minorHAnsi" w:cs="Times New Roman"/>
          <w:b/>
          <w:sz w:val="24"/>
          <w:szCs w:val="24"/>
        </w:rPr>
      </w:pPr>
      <w:r>
        <w:rPr>
          <w:rFonts w:asciiTheme="minorHAnsi" w:eastAsia="ＭＳ ゴシック" w:hAnsiTheme="minorHAnsi" w:cs="Times New Roman"/>
          <w:b/>
          <w:sz w:val="24"/>
          <w:szCs w:val="24"/>
        </w:rPr>
        <w:tab/>
      </w:r>
    </w:p>
    <w:p w14:paraId="7B69AFE3" w14:textId="56C098CA" w:rsidR="00AF72EC" w:rsidRPr="0059224E" w:rsidRDefault="00AF72EC" w:rsidP="00AF72EC">
      <w:pPr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>情</w:t>
      </w:r>
      <w:r>
        <w:rPr>
          <w:rFonts w:asciiTheme="minorHAnsi" w:eastAsia="ＭＳ ゴシック" w:hAnsiTheme="minorHAnsi" w:cs="ＭＳ ゴシック"/>
          <w:b/>
          <w:sz w:val="24"/>
          <w:szCs w:val="24"/>
        </w:rPr>
        <w:t>17-0</w:t>
      </w:r>
      <w:r w:rsidR="00361840">
        <w:rPr>
          <w:rFonts w:asciiTheme="minorHAnsi" w:eastAsia="ＭＳ ゴシック" w:hAnsiTheme="minorHAnsi" w:cs="ＭＳ ゴシック" w:hint="eastAsia"/>
          <w:b/>
          <w:sz w:val="24"/>
          <w:szCs w:val="24"/>
        </w:rPr>
        <w:t>000</w:t>
      </w:r>
      <w:r w:rsidR="00361840">
        <w:rPr>
          <w:rFonts w:asciiTheme="minorHAnsi" w:eastAsia="ＭＳ ゴシック" w:hAnsiTheme="minorHAnsi" w:cs="ＭＳ ゴシック" w:hint="eastAsia"/>
          <w:b/>
          <w:sz w:val="24"/>
          <w:szCs w:val="24"/>
        </w:rPr>
        <w:t xml:space="preserve">　あいうえお</w:t>
      </w:r>
    </w:p>
    <w:p w14:paraId="2CBB3E48" w14:textId="4591D3FC" w:rsidR="00AF72EC" w:rsidRDefault="00AF72EC" w:rsidP="00AF72EC">
      <w:pPr>
        <w:ind w:firstLineChars="114" w:firstLine="281"/>
        <w:jc w:val="center"/>
        <w:rPr>
          <w:rFonts w:asciiTheme="minorHAnsi" w:eastAsia="ＭＳ ゴシック" w:hAnsiTheme="minorHAnsi" w:cs="ＭＳ ゴシック"/>
          <w:b/>
          <w:sz w:val="24"/>
          <w:szCs w:val="24"/>
        </w:rPr>
      </w:pPr>
      <w:bookmarkStart w:id="0" w:name="_GoBack"/>
      <w:bookmarkEnd w:id="0"/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 xml:space="preserve">指導教員　</w:t>
      </w:r>
      <w:r w:rsidR="00361840">
        <w:rPr>
          <w:rFonts w:asciiTheme="minorHAnsi" w:eastAsia="ＭＳ ゴシック" w:hAnsiTheme="minorHAnsi" w:cs="ＭＳ ゴシック" w:hint="eastAsia"/>
          <w:b/>
          <w:sz w:val="24"/>
          <w:szCs w:val="24"/>
        </w:rPr>
        <w:t>かきくけこ</w:t>
      </w:r>
    </w:p>
    <w:p w14:paraId="067E3B66" w14:textId="77777777" w:rsidR="00361840" w:rsidRPr="0059224E" w:rsidRDefault="00361840" w:rsidP="00361840">
      <w:pPr>
        <w:rPr>
          <w:rFonts w:asciiTheme="minorHAnsi" w:eastAsia="ＭＳ ゴシック" w:hAnsiTheme="minorHAnsi" w:cs="Times New Roman" w:hint="eastAsia"/>
          <w:b/>
          <w:sz w:val="24"/>
          <w:szCs w:val="24"/>
        </w:rPr>
      </w:pPr>
    </w:p>
    <w:p w14:paraId="0A37501D" w14:textId="77777777" w:rsidR="00AF72EC" w:rsidRPr="0059224E" w:rsidRDefault="00AF72EC" w:rsidP="00AF72EC">
      <w:pPr>
        <w:jc w:val="center"/>
        <w:rPr>
          <w:rFonts w:asciiTheme="minorHAnsi" w:eastAsia="ＭＳ ゴシック" w:hAnsiTheme="minorHAnsi" w:cs="Times New Roman"/>
          <w:sz w:val="24"/>
          <w:szCs w:val="24"/>
        </w:rPr>
      </w:pPr>
    </w:p>
    <w:p w14:paraId="17CCE8B9" w14:textId="77777777" w:rsidR="00AF72EC" w:rsidRPr="00C51991" w:rsidRDefault="00AF72EC" w:rsidP="00AF72EC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１</w:t>
      </w:r>
      <w:r>
        <w:rPr>
          <w:rFonts w:asciiTheme="minorHAnsi" w:hAnsiTheme="minorHAnsi" w:cs="ＭＳ 明朝"/>
          <w:b/>
        </w:rPr>
        <w:t xml:space="preserve">. </w:t>
      </w:r>
      <w:r>
        <w:rPr>
          <w:rFonts w:asciiTheme="minorHAnsi" w:hAnsiTheme="minorHAnsi" w:cs="ＭＳ 明朝" w:hint="eastAsia"/>
          <w:b/>
        </w:rPr>
        <w:t>はじめに</w:t>
      </w:r>
    </w:p>
    <w:p w14:paraId="0DA627D3" w14:textId="76A7FED0" w:rsidR="00AF72EC" w:rsidRDefault="00AF72EC" w:rsidP="27C51F07">
      <w:pPr>
        <w:ind w:firstLineChars="100" w:firstLine="206"/>
        <w:rPr>
          <w:rFonts w:ascii="Arial" w:eastAsiaTheme="minorEastAsia" w:hAnsi="Arial" w:cs="Arial"/>
          <w:color w:val="222222"/>
          <w:sz w:val="20"/>
          <w:szCs w:val="20"/>
        </w:rPr>
      </w:pPr>
      <w:r w:rsidRPr="27C51F07">
        <w:rPr>
          <w:rFonts w:asciiTheme="minorHAnsi" w:eastAsiaTheme="majorEastAsia" w:hAnsiTheme="minorHAnsi" w:cs="Arial"/>
          <w:color w:val="222222"/>
          <w:kern w:val="0"/>
          <w:sz w:val="20"/>
          <w:szCs w:val="20"/>
          <w:shd w:val="clear" w:color="auto" w:fill="FFFFFF"/>
        </w:rPr>
        <w:t>2018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年</w:t>
      </w:r>
      <w:r w:rsidRPr="27C51F07">
        <w:rPr>
          <w:rFonts w:asciiTheme="minorHAnsi" w:eastAsiaTheme="minorEastAsia" w:hAnsiTheme="minorHAnsi" w:cs="Arial"/>
          <w:color w:val="222222"/>
          <w:kern w:val="0"/>
          <w:sz w:val="20"/>
          <w:szCs w:val="20"/>
          <w:shd w:val="clear" w:color="auto" w:fill="FFFFFF"/>
        </w:rPr>
        <w:t>4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月、将棋の藤井聡太六段は悩んだ末、高校進学を決めた。高校進学をするか否かという判断は、誰もが直面する問題ではあるが、プロ棋士として活躍している彼にとっては、より一層、難しい問題であった。本レポートでは、高校進学によって起こる事柄を、機会費用と便益の観点から分類し、高校進学という決断が藤井六段にとって、便益が機会費用を上回ることを提示する。本稿の構成は以下に示す通りである。続く第</w:t>
      </w:r>
      <w:r w:rsidRPr="27C51F07">
        <w:rPr>
          <w:rFonts w:asciiTheme="minorHAnsi" w:eastAsiaTheme="minorEastAsia" w:hAnsiTheme="minorHAnsi" w:cs="Arial"/>
          <w:color w:val="222222"/>
          <w:kern w:val="0"/>
          <w:sz w:val="20"/>
          <w:szCs w:val="20"/>
          <w:shd w:val="clear" w:color="auto" w:fill="FFFFFF"/>
        </w:rPr>
        <w:t>2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章では本レポートが依拠する考え方について説明する。第</w:t>
      </w:r>
      <w:r w:rsidRPr="27C51F07">
        <w:rPr>
          <w:rFonts w:asciiTheme="minorHAnsi" w:eastAsiaTheme="minorEastAsia" w:hAnsiTheme="minorHAnsi" w:cs="Arial"/>
          <w:color w:val="222222"/>
          <w:kern w:val="0"/>
          <w:sz w:val="20"/>
          <w:szCs w:val="20"/>
          <w:shd w:val="clear" w:color="auto" w:fill="FFFFFF"/>
        </w:rPr>
        <w:t>3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章で仮説を設定し、その検証方法および検証結果を述べる。第</w:t>
      </w:r>
      <w:r w:rsidRPr="27C51F07">
        <w:rPr>
          <w:rFonts w:asciiTheme="minorHAnsi" w:eastAsiaTheme="minorEastAsia" w:hAnsiTheme="minorHAnsi" w:cs="Arial"/>
          <w:color w:val="222222"/>
          <w:kern w:val="0"/>
          <w:sz w:val="20"/>
          <w:szCs w:val="20"/>
          <w:shd w:val="clear" w:color="auto" w:fill="FFFFFF"/>
        </w:rPr>
        <w:t>4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章では本レポートから得られた発見事項に対する考えを述べる。</w:t>
      </w:r>
    </w:p>
    <w:p w14:paraId="5DAB6C7B" w14:textId="77777777" w:rsidR="00262544" w:rsidRPr="00C143DB" w:rsidRDefault="00262544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024BFBC7" w14:textId="77777777" w:rsidR="00AF72EC" w:rsidRPr="00C143DB" w:rsidRDefault="00AF72EC" w:rsidP="00AF72EC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>２</w:t>
      </w:r>
      <w:r>
        <w:rPr>
          <w:rFonts w:asciiTheme="minorHAnsi" w:hAnsiTheme="minorHAnsi" w:cs="ＭＳ 明朝"/>
          <w:b/>
        </w:rPr>
        <w:t xml:space="preserve">. </w:t>
      </w:r>
      <w:r>
        <w:rPr>
          <w:rFonts w:asciiTheme="minorHAnsi" w:hAnsiTheme="minorHAnsi" w:cs="ＭＳ 明朝" w:hint="eastAsia"/>
          <w:b/>
        </w:rPr>
        <w:t>用語の定義とモデル化</w:t>
      </w:r>
    </w:p>
    <w:p w14:paraId="30E1070F" w14:textId="77777777" w:rsidR="00AF72EC" w:rsidRDefault="00AF72EC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まず、本レポートで使用する２つの専門用語について定義する。</w:t>
      </w:r>
      <w:r w:rsidR="00EF72A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１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つ目は便益である。資料１）によると、便益とは便利で有益なこと、とある。便利で有益なものの１つとして、お金が挙げられることから、ここでは</w:t>
      </w:r>
      <w:r w:rsidR="00262544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賞金額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を一つの指標として用いる。２つ目は機会費用である。資料２）によると、機会費用とはある行動を選択することによって失われる、他の選択可能な行動のうちの最大利益とされている。ここでは、高校進学をしなかったときの最大利益とする。</w:t>
      </w:r>
      <w:r w:rsidR="004A5485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次に、機会費用と便益を比較する方法について、進学した場合としなかった場合のプロ棋士としての</w:t>
      </w:r>
      <w:r w:rsidR="00262544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賞金額</w:t>
      </w:r>
      <w:r w:rsidR="004A5485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を比較し、進学した場合のほうが</w:t>
      </w:r>
      <w:r w:rsidR="007567B2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より</w:t>
      </w:r>
      <w:r w:rsidR="00262544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賞金額</w:t>
      </w:r>
      <w:r w:rsidR="004A5485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が高いことを証明する。</w:t>
      </w:r>
      <w:r w:rsidR="00EF72A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また、ここでは資料３）のデータを用いる。</w:t>
      </w:r>
    </w:p>
    <w:p w14:paraId="02EB378F" w14:textId="77777777" w:rsidR="00262544" w:rsidRDefault="00262544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5BC30D23" w14:textId="77777777" w:rsidR="00AF72EC" w:rsidRPr="0059224E" w:rsidRDefault="00AF72EC" w:rsidP="00AF72EC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>３</w:t>
      </w:r>
      <w:r>
        <w:rPr>
          <w:rFonts w:asciiTheme="minorHAnsi" w:hAnsiTheme="minorHAnsi" w:cs="ＭＳ 明朝"/>
          <w:b/>
        </w:rPr>
        <w:t xml:space="preserve">. </w:t>
      </w:r>
      <w:r>
        <w:rPr>
          <w:rFonts w:asciiTheme="minorHAnsi" w:hAnsiTheme="minorHAnsi" w:cs="ＭＳ 明朝" w:hint="eastAsia"/>
          <w:b/>
        </w:rPr>
        <w:t>検証</w:t>
      </w:r>
    </w:p>
    <w:p w14:paraId="6F73572E" w14:textId="77777777" w:rsidR="00BF110D" w:rsidRDefault="00260B4D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資料３）では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2017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年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月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日から同年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12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月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31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日までの獲得賞金・対局料ベスト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10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が氏名と賞金額（単位は万円）がリストアップされている。このデータを各々の学歴（中卒か高卒以上か）によって、分類し、それぞれの賞金額の平均を算出した。</w:t>
      </w:r>
    </w:p>
    <w:p w14:paraId="6326D415" w14:textId="77777777" w:rsidR="00BF110D" w:rsidRDefault="00BF110D" w:rsidP="00BF110D">
      <w:pP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※ここでは、中卒を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0,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高卒以上を１とする。</w:t>
      </w:r>
    </w:p>
    <w:p w14:paraId="37BFBFDE" w14:textId="77777777" w:rsidR="00BF110D" w:rsidRDefault="00262544" w:rsidP="00BF110D">
      <w:pP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表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tbl>
      <w:tblPr>
        <w:tblW w:w="425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1"/>
        <w:gridCol w:w="1291"/>
        <w:gridCol w:w="861"/>
      </w:tblGrid>
      <w:tr w:rsidR="00BF110D" w:rsidRPr="00BF110D" w14:paraId="2417CED4" w14:textId="77777777" w:rsidTr="00BF110D">
        <w:trPr>
          <w:trHeight w:val="164"/>
        </w:trPr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EE501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名前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F804B" w14:textId="77777777" w:rsidR="00BF110D" w:rsidRPr="00BF110D" w:rsidRDefault="00262544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賞金額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0F864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高校</w:t>
            </w:r>
          </w:p>
        </w:tc>
      </w:tr>
      <w:tr w:rsidR="00BF110D" w:rsidRPr="00BF110D" w14:paraId="739AB14B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1C37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渡辺明棋王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4984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7,534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41BE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165F708C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CF2D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佐藤天彦名人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AFCF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7,255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0A0C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4427BC0C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1692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羽生善治竜王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7BF7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5,070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4315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BF110D" w:rsidRPr="00BF110D" w14:paraId="09D4F5D8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339B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久保利明王将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C353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3,019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F001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BF110D" w:rsidRPr="00BF110D" w14:paraId="42FBB279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D42E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丸山忠久九段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E84B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2,908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AAB8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483BB6E7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727E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稲葉陽八段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8B1E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2,801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4E3C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2C403129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2DBE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菅井竜也王位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5845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2,363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FDDF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no data</w:t>
            </w:r>
          </w:p>
        </w:tc>
      </w:tr>
      <w:tr w:rsidR="00BF110D" w:rsidRPr="00BF110D" w14:paraId="3DE5CD80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C103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中村太地王座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E1BD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2,144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D2414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18F5574C" w14:textId="77777777" w:rsidTr="00BF110D">
        <w:trPr>
          <w:trHeight w:val="164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AD38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松尾歩八段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A79C9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1,985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FE02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BF110D" w:rsidRPr="00BF110D" w14:paraId="6C68BB7C" w14:textId="77777777" w:rsidTr="00BF110D">
        <w:trPr>
          <w:trHeight w:val="164"/>
        </w:trPr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4029C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佐藤康光九段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BC41B" w14:textId="77777777" w:rsidR="00BF110D" w:rsidRPr="00BF110D" w:rsidRDefault="00BF110D" w:rsidP="00BF110D">
            <w:pPr>
              <w:widowControl/>
              <w:jc w:val="right"/>
              <w:rPr>
                <w:rFonts w:ascii="メイリオ" w:eastAsia="メイリオ" w:hAnsi="メイリオ" w:cs="ＭＳ Ｐゴシック"/>
                <w:color w:val="4D4241"/>
                <w:kern w:val="0"/>
                <w:sz w:val="16"/>
                <w:szCs w:val="16"/>
              </w:rPr>
            </w:pPr>
            <w:r w:rsidRPr="00BF110D">
              <w:rPr>
                <w:rFonts w:ascii="メイリオ" w:eastAsia="メイリオ" w:hAnsi="メイリオ" w:cs="ＭＳ Ｐゴシック" w:hint="eastAsia"/>
                <w:color w:val="4D4241"/>
                <w:kern w:val="0"/>
                <w:sz w:val="16"/>
                <w:szCs w:val="16"/>
              </w:rPr>
              <w:t>1,967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2D521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BF110D" w:rsidRPr="00BF110D" w14:paraId="0CFAA7F6" w14:textId="77777777" w:rsidTr="00BF110D">
        <w:trPr>
          <w:trHeight w:val="16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08A7" w14:textId="77777777" w:rsidR="00BF110D" w:rsidRPr="00BF110D" w:rsidRDefault="00BF110D" w:rsidP="00BF110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平均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0C97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BF110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3704.6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A809" w14:textId="77777777" w:rsidR="00BF110D" w:rsidRPr="00BF110D" w:rsidRDefault="00BF110D" w:rsidP="00BF110D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4C95FD6" w14:textId="77777777" w:rsidR="00260B4D" w:rsidRDefault="00262544" w:rsidP="00262544">
      <w:pP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表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2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262544" w:rsidRPr="00262544" w14:paraId="4EDFC8EA" w14:textId="77777777" w:rsidTr="00262544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375E" w14:textId="77777777" w:rsidR="00262544" w:rsidRPr="00262544" w:rsidRDefault="00262544" w:rsidP="0026254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2625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学歴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69DF" w14:textId="77777777" w:rsidR="00262544" w:rsidRPr="00262544" w:rsidRDefault="00262544" w:rsidP="0026254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2625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中卒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767E9" w14:textId="77777777" w:rsidR="00262544" w:rsidRPr="00262544" w:rsidRDefault="00262544" w:rsidP="0026254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2625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高卒以上</w:t>
            </w:r>
          </w:p>
        </w:tc>
      </w:tr>
      <w:tr w:rsidR="00262544" w:rsidRPr="00262544" w14:paraId="622D2F67" w14:textId="77777777" w:rsidTr="00262544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16FD" w14:textId="77777777" w:rsidR="00262544" w:rsidRPr="00262544" w:rsidRDefault="00262544" w:rsidP="0026254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賞金額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383" w14:textId="77777777" w:rsidR="00262544" w:rsidRPr="00262544" w:rsidRDefault="00262544" w:rsidP="0026254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2625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3358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DB06" w14:textId="77777777" w:rsidR="00262544" w:rsidRPr="00262544" w:rsidRDefault="00262544" w:rsidP="0026254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2625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4101.5</w:t>
            </w:r>
          </w:p>
        </w:tc>
      </w:tr>
    </w:tbl>
    <w:p w14:paraId="35E419B2" w14:textId="77777777" w:rsidR="00262544" w:rsidRDefault="00262544" w:rsidP="00262544">
      <w:pP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本評価結果では、中卒の平均賞金額が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3358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万円、高卒以上の場合が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4101.5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万円となり、この手法では高卒以上の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lastRenderedPageBreak/>
        <w:t>ほうが賞金額が高いという結果を導くことができた。</w:t>
      </w:r>
    </w:p>
    <w:p w14:paraId="3968DC8D" w14:textId="77777777" w:rsidR="00AF72EC" w:rsidRPr="0059224E" w:rsidRDefault="00AF72EC" w:rsidP="00AF72EC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>４．まとめ</w:t>
      </w:r>
    </w:p>
    <w:p w14:paraId="273C4111" w14:textId="6E3423F6" w:rsidR="00EB0772" w:rsidRDefault="00262544" w:rsidP="27C51F07">
      <w:pPr>
        <w:ind w:firstLineChars="100" w:firstLine="206"/>
        <w:rPr>
          <w:rFonts w:ascii="Arial" w:eastAsiaTheme="minorEastAsia" w:hAnsi="Arial" w:cs="Arial"/>
          <w:color w:val="222222"/>
          <w:sz w:val="20"/>
          <w:szCs w:val="20"/>
        </w:rPr>
      </w:pP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今回のレポートでは、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2016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年以前のデータを考慮していないが学歴と賞金額の関係を実際の数値として、示すことが可能になったという点で、得るものがあり、その差が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700</w:t>
      </w:r>
      <w:r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万円以上という数値に関しても決して低くはないと考える。しかし、</w:t>
      </w:r>
      <w:r w:rsidR="003B45A7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プロ棋士の収入として、将棋教室やイベントでの報酬がある点。また、高校進学のメリットとして、学校というコミュニティーの中で生活することにより、視野、知見が広まったり、交友関係が広がること、同年代の友人と有益な時間が過ごせることなどがあり、藤井六段が高校生活の中で何に重きを置くかによって、便益が変わるという点。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以上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2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点からこのレポートの手法が本当に有用であるかは、まだ議論の余地がある。プロ棋士として強くなるには、将棋盤に、</w:t>
      </w:r>
      <w:r w:rsidR="27C51F07" w:rsidRPr="27C51F07">
        <w:rPr>
          <w:rFonts w:ascii="Arial" w:eastAsiaTheme="minorEastAsia" w:hAnsi="Arial" w:cs="Arial"/>
          <w:color w:val="222222"/>
          <w:sz w:val="20"/>
          <w:szCs w:val="20"/>
        </w:rPr>
        <w:t>より多くの時間、</w:t>
      </w:r>
      <w:r w:rsidR="005C514A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向かう必要がある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。しかし、高校での様々な経験はその後の人生でも必ず役に立つ。将棋と学業を両立させて、すべてをプラスにし、高校進学という一手が最善手になるべく、充実した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3</w:t>
      </w:r>
      <w:r w:rsidR="00EB0772" w:rsidRPr="27C51F07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年を送ってほしい。</w:t>
      </w:r>
    </w:p>
    <w:p w14:paraId="59FF6CFD" w14:textId="77777777" w:rsidR="00AF72EC" w:rsidRPr="0059224E" w:rsidRDefault="00AF72EC" w:rsidP="00AF72EC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>５．参考資料</w:t>
      </w:r>
    </w:p>
    <w:p w14:paraId="248B83CD" w14:textId="77777777" w:rsidR="00AF72EC" w:rsidRDefault="00AF72EC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１）コトバンク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便益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Pr="008A4A9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URL:</w:t>
      </w:r>
      <w:r w:rsidRPr="00AF72EC">
        <w:t xml:space="preserve"> </w:t>
      </w:r>
      <w:r w:rsidRPr="00AF72EC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https://kotobank.jp/word/</w:t>
      </w:r>
      <w:r w:rsidRP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便益</w:t>
      </w:r>
      <w:r w:rsidRP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-22819</w:t>
      </w:r>
    </w:p>
    <w:p w14:paraId="240FDB1A" w14:textId="77777777" w:rsidR="00AF72EC" w:rsidRDefault="004F7A5F" w:rsidP="00AF72EC">
      <w:pPr>
        <w:ind w:firstLineChars="100" w:firstLine="206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２</w:t>
      </w:r>
      <w:r w:rsid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）金融情報サイト</w:t>
      </w:r>
      <w:r w:rsid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機会費用</w:t>
      </w:r>
      <w:r w:rsid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="00AF72EC" w:rsidRPr="008A4A9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URL:</w:t>
      </w:r>
      <w:r w:rsidR="00AF72EC" w:rsidRPr="008A4A9A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https://www.ifinance.ne.jp/glossary/business/bus029.html</w:t>
      </w:r>
    </w:p>
    <w:p w14:paraId="3F68F6A4" w14:textId="77777777" w:rsidR="008820AD" w:rsidRPr="005C514A" w:rsidRDefault="00EF72AA" w:rsidP="005C514A">
      <w:pPr>
        <w:ind w:firstLineChars="100" w:firstLine="206"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３）日本将棋連盟</w:t>
      </w:r>
      <w:r w:rsidR="00AF72EC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2017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年獲得賞金・対局料ベスト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10</w:t>
      </w:r>
      <w:r w:rsidR="005C514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,</w:t>
      </w:r>
      <w:r w:rsidR="005C514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　</w:t>
      </w:r>
      <w:r w:rsidR="00AF72EC" w:rsidRPr="008A4A9A"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URL:</w:t>
      </w:r>
      <w:r w:rsidR="00AF72EC" w:rsidRPr="008A4A9A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https://www.ifinance.ne.jp/glossary/business/bus029.html</w:t>
      </w:r>
    </w:p>
    <w:sectPr w:rsidR="008820AD" w:rsidRPr="005C514A" w:rsidSect="005C514A">
      <w:headerReference w:type="default" r:id="rId8"/>
      <w:endnotePr>
        <w:numFmt w:val="decimal"/>
      </w:endnotePr>
      <w:pgSz w:w="11906" w:h="16838" w:code="9"/>
      <w:pgMar w:top="720" w:right="720" w:bottom="720" w:left="720" w:header="851" w:footer="992" w:gutter="0"/>
      <w:pgNumType w:start="1"/>
      <w:cols w:space="425"/>
      <w:docGrid w:type="linesAndChars" w:linePitch="325" w:charSpace="12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F396" w14:textId="77777777" w:rsidR="00217DE7" w:rsidRDefault="00217DE7" w:rsidP="00636C4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2A3D3EC" w14:textId="77777777" w:rsidR="00217DE7" w:rsidRDefault="00217DE7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940D" w14:textId="77777777" w:rsidR="00217DE7" w:rsidRDefault="00217DE7" w:rsidP="00636C4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E27B00A" w14:textId="77777777" w:rsidR="00217DE7" w:rsidRDefault="00217DE7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55868" w14:textId="45C9EBAD" w:rsidR="005C514A" w:rsidRDefault="00EF72AA" w:rsidP="00AB4296">
    <w:pPr>
      <w:pStyle w:val="a3"/>
      <w:tabs>
        <w:tab w:val="clear" w:pos="4252"/>
        <w:tab w:val="clear" w:pos="8504"/>
        <w:tab w:val="center" w:pos="4535"/>
        <w:tab w:val="left" w:pos="6930"/>
        <w:tab w:val="right" w:pos="9070"/>
      </w:tabs>
      <w:rPr>
        <w:rFonts w:ascii="ＭＳ 明朝" w:cs="Times New Roman"/>
        <w:sz w:val="18"/>
        <w:szCs w:val="18"/>
      </w:rPr>
    </w:pPr>
    <w:r>
      <w:rPr>
        <w:rFonts w:ascii="ＭＳ 明朝" w:hAnsi="ＭＳ 明朝" w:cs="ＭＳ 明朝" w:hint="eastAsia"/>
        <w:sz w:val="18"/>
        <w:szCs w:val="18"/>
      </w:rPr>
      <w:t>情</w:t>
    </w:r>
    <w:r>
      <w:rPr>
        <w:rFonts w:ascii="ＭＳ 明朝" w:hAnsi="ＭＳ 明朝" w:cs="ＭＳ 明朝"/>
        <w:sz w:val="18"/>
        <w:szCs w:val="18"/>
      </w:rPr>
      <w:t>17-</w:t>
    </w:r>
    <w:r w:rsidR="00361840">
      <w:rPr>
        <w:rFonts w:ascii="ＭＳ 明朝" w:hAnsi="ＭＳ 明朝" w:cs="ＭＳ 明朝" w:hint="eastAsia"/>
        <w:sz w:val="18"/>
        <w:szCs w:val="18"/>
      </w:rPr>
      <w:t>0000　あいうえお</w:t>
    </w:r>
    <w:r>
      <w:rPr>
        <w:rFonts w:ascii="ＭＳ 明朝" w:cs="Times New Roman"/>
        <w:sz w:val="18"/>
        <w:szCs w:val="18"/>
      </w:rPr>
      <w:tab/>
    </w:r>
    <w:r>
      <w:rPr>
        <w:rFonts w:ascii="ＭＳ 明朝" w:cs="Times New Roman" w:hint="eastAsia"/>
        <w:sz w:val="18"/>
        <w:szCs w:val="18"/>
      </w:rPr>
      <w:t>経済学</w:t>
    </w:r>
    <w:r w:rsidRPr="004246E0">
      <w:rPr>
        <w:rFonts w:ascii="ＭＳ 明朝" w:cs="Times New Roman"/>
        <w:sz w:val="18"/>
        <w:szCs w:val="18"/>
      </w:rPr>
      <w:tab/>
    </w:r>
    <w:r>
      <w:rPr>
        <w:rFonts w:ascii="ＭＳ 明朝" w:cs="Times New Roman"/>
        <w:sz w:val="18"/>
        <w:szCs w:val="18"/>
      </w:rPr>
      <w:tab/>
    </w:r>
    <w:r w:rsidR="005C514A">
      <w:rPr>
        <w:rFonts w:ascii="ＭＳ 明朝" w:cs="Times New Roman" w:hint="eastAsia"/>
        <w:sz w:val="18"/>
        <w:szCs w:val="18"/>
      </w:rPr>
      <w:t>1/2</w:t>
    </w:r>
  </w:p>
  <w:p w14:paraId="5A39BBE3" w14:textId="77777777" w:rsidR="005C514A" w:rsidRPr="005C514A" w:rsidRDefault="005C514A" w:rsidP="00AB4296">
    <w:pPr>
      <w:pStyle w:val="a3"/>
      <w:tabs>
        <w:tab w:val="clear" w:pos="4252"/>
        <w:tab w:val="clear" w:pos="8504"/>
        <w:tab w:val="center" w:pos="4535"/>
        <w:tab w:val="left" w:pos="6930"/>
        <w:tab w:val="right" w:pos="9070"/>
      </w:tabs>
      <w:rPr>
        <w:rFonts w:ascii="ＭＳ 明朝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FF"/>
    <w:multiLevelType w:val="hybridMultilevel"/>
    <w:tmpl w:val="F87E921E"/>
    <w:lvl w:ilvl="0" w:tplc="23E2E41E">
      <w:start w:val="1"/>
      <w:numFmt w:val="decimal"/>
      <w:lvlText w:val="(%1)"/>
      <w:lvlJc w:val="left"/>
      <w:pPr>
        <w:ind w:left="58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 w15:restartNumberingAfterBreak="0">
    <w:nsid w:val="179328E3"/>
    <w:multiLevelType w:val="hybridMultilevel"/>
    <w:tmpl w:val="33E076C4"/>
    <w:lvl w:ilvl="0" w:tplc="08DE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9761D7"/>
    <w:multiLevelType w:val="hybridMultilevel"/>
    <w:tmpl w:val="1BD2911E"/>
    <w:lvl w:ilvl="0" w:tplc="4056A9A2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946CD8"/>
    <w:multiLevelType w:val="hybridMultilevel"/>
    <w:tmpl w:val="EF4E2DF6"/>
    <w:lvl w:ilvl="0" w:tplc="0B3E8C6E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F5B33"/>
    <w:multiLevelType w:val="hybridMultilevel"/>
    <w:tmpl w:val="B7223EB8"/>
    <w:lvl w:ilvl="0" w:tplc="AF98E5A6">
      <w:start w:val="1"/>
      <w:numFmt w:val="decimal"/>
      <w:lvlText w:val="%1)"/>
      <w:lvlJc w:val="left"/>
      <w:pPr>
        <w:ind w:left="360" w:hanging="360"/>
      </w:pPr>
      <w:rPr>
        <w:rFonts w:asciiTheme="minorHAnsi" w:eastAsia="ＭＳ 明朝" w:hAnsiTheme="minorHAnsi" w:cs="Times New Roman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E402EF0"/>
    <w:multiLevelType w:val="hybridMultilevel"/>
    <w:tmpl w:val="8F96D3B2"/>
    <w:lvl w:ilvl="0" w:tplc="220469BA">
      <w:start w:val="1"/>
      <w:numFmt w:val="decimal"/>
      <w:lvlText w:val="(%1)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76" w:hanging="48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7" w:tentative="1">
      <w:start w:val="1"/>
      <w:numFmt w:val="aiueoFullWidth"/>
      <w:lvlText w:val="(%5)"/>
      <w:lvlJc w:val="left"/>
      <w:pPr>
        <w:ind w:left="2616" w:hanging="480"/>
      </w:pPr>
    </w:lvl>
    <w:lvl w:ilvl="5" w:tplc="04090011" w:tentative="1">
      <w:start w:val="1"/>
      <w:numFmt w:val="decimalEnclosedCircle"/>
      <w:lvlText w:val="%6"/>
      <w:lvlJc w:val="lef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7" w:tentative="1">
      <w:start w:val="1"/>
      <w:numFmt w:val="aiueoFullWidth"/>
      <w:lvlText w:val="(%8)"/>
      <w:lvlJc w:val="left"/>
      <w:pPr>
        <w:ind w:left="4056" w:hanging="48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80"/>
      </w:pPr>
    </w:lvl>
  </w:abstractNum>
  <w:abstractNum w:abstractNumId="6" w15:restartNumberingAfterBreak="0">
    <w:nsid w:val="5F3956FD"/>
    <w:multiLevelType w:val="hybridMultilevel"/>
    <w:tmpl w:val="F9A0F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gutterAtTop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08"/>
  <w:drawingGridVerticalSpacing w:val="325"/>
  <w:displayHorizontalDrawingGridEvery w:val="0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3"/>
    <w:rsid w:val="000000FF"/>
    <w:rsid w:val="00002B1E"/>
    <w:rsid w:val="000070B4"/>
    <w:rsid w:val="00007B1A"/>
    <w:rsid w:val="00022295"/>
    <w:rsid w:val="0002475C"/>
    <w:rsid w:val="00062880"/>
    <w:rsid w:val="00075CD7"/>
    <w:rsid w:val="0008768A"/>
    <w:rsid w:val="0009286B"/>
    <w:rsid w:val="000A4C7A"/>
    <w:rsid w:val="000C1155"/>
    <w:rsid w:val="000C5AD2"/>
    <w:rsid w:val="000D1883"/>
    <w:rsid w:val="00102376"/>
    <w:rsid w:val="001110C3"/>
    <w:rsid w:val="001127AD"/>
    <w:rsid w:val="001206A1"/>
    <w:rsid w:val="00121057"/>
    <w:rsid w:val="00122040"/>
    <w:rsid w:val="0012215E"/>
    <w:rsid w:val="00140912"/>
    <w:rsid w:val="001529F9"/>
    <w:rsid w:val="001556F1"/>
    <w:rsid w:val="00172DDA"/>
    <w:rsid w:val="001800A4"/>
    <w:rsid w:val="00184AAC"/>
    <w:rsid w:val="001871C2"/>
    <w:rsid w:val="0019455A"/>
    <w:rsid w:val="001A31C8"/>
    <w:rsid w:val="001B0503"/>
    <w:rsid w:val="001B49F5"/>
    <w:rsid w:val="001C09A3"/>
    <w:rsid w:val="001C478F"/>
    <w:rsid w:val="001C7EA6"/>
    <w:rsid w:val="00206EFC"/>
    <w:rsid w:val="00217DE7"/>
    <w:rsid w:val="0022484A"/>
    <w:rsid w:val="00225FAA"/>
    <w:rsid w:val="00226C1A"/>
    <w:rsid w:val="00231030"/>
    <w:rsid w:val="002347EE"/>
    <w:rsid w:val="00251390"/>
    <w:rsid w:val="00260B4D"/>
    <w:rsid w:val="00262544"/>
    <w:rsid w:val="0027516A"/>
    <w:rsid w:val="0027674F"/>
    <w:rsid w:val="002803AF"/>
    <w:rsid w:val="00294063"/>
    <w:rsid w:val="00297950"/>
    <w:rsid w:val="002B5613"/>
    <w:rsid w:val="002C395E"/>
    <w:rsid w:val="002D2A2A"/>
    <w:rsid w:val="002E7383"/>
    <w:rsid w:val="002F3C53"/>
    <w:rsid w:val="003007B5"/>
    <w:rsid w:val="0030765E"/>
    <w:rsid w:val="00312DE5"/>
    <w:rsid w:val="00314C2B"/>
    <w:rsid w:val="00316A23"/>
    <w:rsid w:val="0032594B"/>
    <w:rsid w:val="00332D50"/>
    <w:rsid w:val="00335DC7"/>
    <w:rsid w:val="003461CE"/>
    <w:rsid w:val="00352997"/>
    <w:rsid w:val="0035456D"/>
    <w:rsid w:val="00361840"/>
    <w:rsid w:val="00365667"/>
    <w:rsid w:val="003769BB"/>
    <w:rsid w:val="00381766"/>
    <w:rsid w:val="00386688"/>
    <w:rsid w:val="00387C98"/>
    <w:rsid w:val="003B45A7"/>
    <w:rsid w:val="003B72A1"/>
    <w:rsid w:val="003D2594"/>
    <w:rsid w:val="003D293D"/>
    <w:rsid w:val="003D2AE6"/>
    <w:rsid w:val="003D414A"/>
    <w:rsid w:val="003D4A1C"/>
    <w:rsid w:val="003D51E2"/>
    <w:rsid w:val="003E60C1"/>
    <w:rsid w:val="003F55CE"/>
    <w:rsid w:val="00403DCB"/>
    <w:rsid w:val="0041280A"/>
    <w:rsid w:val="004131DE"/>
    <w:rsid w:val="00413302"/>
    <w:rsid w:val="004172EF"/>
    <w:rsid w:val="00423A81"/>
    <w:rsid w:val="004246E0"/>
    <w:rsid w:val="00433744"/>
    <w:rsid w:val="004453E7"/>
    <w:rsid w:val="004529FE"/>
    <w:rsid w:val="00456EEC"/>
    <w:rsid w:val="004635BA"/>
    <w:rsid w:val="0046548E"/>
    <w:rsid w:val="004864A9"/>
    <w:rsid w:val="00496482"/>
    <w:rsid w:val="004A5485"/>
    <w:rsid w:val="004C1835"/>
    <w:rsid w:val="004C2E30"/>
    <w:rsid w:val="004C6481"/>
    <w:rsid w:val="004D61F9"/>
    <w:rsid w:val="004E3856"/>
    <w:rsid w:val="004E50B0"/>
    <w:rsid w:val="004F7A5F"/>
    <w:rsid w:val="005040F5"/>
    <w:rsid w:val="005100CB"/>
    <w:rsid w:val="00537B17"/>
    <w:rsid w:val="00554F32"/>
    <w:rsid w:val="00557733"/>
    <w:rsid w:val="00561E64"/>
    <w:rsid w:val="0059224E"/>
    <w:rsid w:val="005A0660"/>
    <w:rsid w:val="005B2FF5"/>
    <w:rsid w:val="005B5EDC"/>
    <w:rsid w:val="005B70F7"/>
    <w:rsid w:val="005C514A"/>
    <w:rsid w:val="005D14AB"/>
    <w:rsid w:val="005D4231"/>
    <w:rsid w:val="005E49FD"/>
    <w:rsid w:val="005F0E3A"/>
    <w:rsid w:val="005F2BEE"/>
    <w:rsid w:val="00603B60"/>
    <w:rsid w:val="0061201F"/>
    <w:rsid w:val="00612628"/>
    <w:rsid w:val="00612FCE"/>
    <w:rsid w:val="006151FE"/>
    <w:rsid w:val="0062223D"/>
    <w:rsid w:val="006277BF"/>
    <w:rsid w:val="006303FA"/>
    <w:rsid w:val="00636C4A"/>
    <w:rsid w:val="00637B73"/>
    <w:rsid w:val="00637D1F"/>
    <w:rsid w:val="0064305E"/>
    <w:rsid w:val="006508EA"/>
    <w:rsid w:val="00650A84"/>
    <w:rsid w:val="00651177"/>
    <w:rsid w:val="00651CD5"/>
    <w:rsid w:val="00653406"/>
    <w:rsid w:val="0065698E"/>
    <w:rsid w:val="00664876"/>
    <w:rsid w:val="006668AB"/>
    <w:rsid w:val="00674FA8"/>
    <w:rsid w:val="006762EF"/>
    <w:rsid w:val="006819F5"/>
    <w:rsid w:val="00683B3C"/>
    <w:rsid w:val="00685B59"/>
    <w:rsid w:val="006B5FF7"/>
    <w:rsid w:val="006C7924"/>
    <w:rsid w:val="006D7BF7"/>
    <w:rsid w:val="006F4CD1"/>
    <w:rsid w:val="00702602"/>
    <w:rsid w:val="00741326"/>
    <w:rsid w:val="007567B2"/>
    <w:rsid w:val="00757CAE"/>
    <w:rsid w:val="007674F4"/>
    <w:rsid w:val="00797F6F"/>
    <w:rsid w:val="007C4677"/>
    <w:rsid w:val="007C54FE"/>
    <w:rsid w:val="007D2271"/>
    <w:rsid w:val="007D54ED"/>
    <w:rsid w:val="007F52FF"/>
    <w:rsid w:val="0080337D"/>
    <w:rsid w:val="008079FC"/>
    <w:rsid w:val="00814F9F"/>
    <w:rsid w:val="008155FE"/>
    <w:rsid w:val="00836D2C"/>
    <w:rsid w:val="008431F1"/>
    <w:rsid w:val="008577A9"/>
    <w:rsid w:val="00862E25"/>
    <w:rsid w:val="00864B51"/>
    <w:rsid w:val="00870857"/>
    <w:rsid w:val="008755F2"/>
    <w:rsid w:val="008820AD"/>
    <w:rsid w:val="00887B64"/>
    <w:rsid w:val="00896451"/>
    <w:rsid w:val="008969AF"/>
    <w:rsid w:val="008A2537"/>
    <w:rsid w:val="008B17E6"/>
    <w:rsid w:val="008B269D"/>
    <w:rsid w:val="008B2C15"/>
    <w:rsid w:val="008B7C76"/>
    <w:rsid w:val="008C65F9"/>
    <w:rsid w:val="008F73F1"/>
    <w:rsid w:val="0090572A"/>
    <w:rsid w:val="00923349"/>
    <w:rsid w:val="009304E7"/>
    <w:rsid w:val="00931330"/>
    <w:rsid w:val="0094045E"/>
    <w:rsid w:val="009415DD"/>
    <w:rsid w:val="009434D9"/>
    <w:rsid w:val="0094707C"/>
    <w:rsid w:val="0096216E"/>
    <w:rsid w:val="00966585"/>
    <w:rsid w:val="0097243F"/>
    <w:rsid w:val="00972EFA"/>
    <w:rsid w:val="009866AB"/>
    <w:rsid w:val="009925D9"/>
    <w:rsid w:val="00993D06"/>
    <w:rsid w:val="00996701"/>
    <w:rsid w:val="009A465A"/>
    <w:rsid w:val="009B083F"/>
    <w:rsid w:val="009C4222"/>
    <w:rsid w:val="009D2174"/>
    <w:rsid w:val="009D3C6F"/>
    <w:rsid w:val="009D7719"/>
    <w:rsid w:val="009F0A95"/>
    <w:rsid w:val="009F31B9"/>
    <w:rsid w:val="009F5DCA"/>
    <w:rsid w:val="00A00703"/>
    <w:rsid w:val="00A01A88"/>
    <w:rsid w:val="00A1453E"/>
    <w:rsid w:val="00A156D4"/>
    <w:rsid w:val="00A22B09"/>
    <w:rsid w:val="00A252BF"/>
    <w:rsid w:val="00A2742F"/>
    <w:rsid w:val="00A30641"/>
    <w:rsid w:val="00A33715"/>
    <w:rsid w:val="00A34DF3"/>
    <w:rsid w:val="00A41833"/>
    <w:rsid w:val="00A4522F"/>
    <w:rsid w:val="00A45637"/>
    <w:rsid w:val="00A52388"/>
    <w:rsid w:val="00A64F73"/>
    <w:rsid w:val="00A73104"/>
    <w:rsid w:val="00A80236"/>
    <w:rsid w:val="00A90051"/>
    <w:rsid w:val="00AA2AF4"/>
    <w:rsid w:val="00AA648C"/>
    <w:rsid w:val="00AB2912"/>
    <w:rsid w:val="00AB4296"/>
    <w:rsid w:val="00AB78A9"/>
    <w:rsid w:val="00AD1D63"/>
    <w:rsid w:val="00AE39C8"/>
    <w:rsid w:val="00AF72EC"/>
    <w:rsid w:val="00B06A5C"/>
    <w:rsid w:val="00B06DFD"/>
    <w:rsid w:val="00B102C4"/>
    <w:rsid w:val="00B1144A"/>
    <w:rsid w:val="00B376DA"/>
    <w:rsid w:val="00B422D8"/>
    <w:rsid w:val="00B43855"/>
    <w:rsid w:val="00B537F7"/>
    <w:rsid w:val="00B60889"/>
    <w:rsid w:val="00B60E9D"/>
    <w:rsid w:val="00B71C70"/>
    <w:rsid w:val="00B72B41"/>
    <w:rsid w:val="00B732F2"/>
    <w:rsid w:val="00B869FB"/>
    <w:rsid w:val="00B95499"/>
    <w:rsid w:val="00B95828"/>
    <w:rsid w:val="00BB29D3"/>
    <w:rsid w:val="00BC6DAF"/>
    <w:rsid w:val="00BF0C27"/>
    <w:rsid w:val="00BF110D"/>
    <w:rsid w:val="00C1249C"/>
    <w:rsid w:val="00C129FB"/>
    <w:rsid w:val="00C21B84"/>
    <w:rsid w:val="00C27994"/>
    <w:rsid w:val="00C34000"/>
    <w:rsid w:val="00C37957"/>
    <w:rsid w:val="00C45F71"/>
    <w:rsid w:val="00C46B94"/>
    <w:rsid w:val="00C53E60"/>
    <w:rsid w:val="00C92971"/>
    <w:rsid w:val="00CA2809"/>
    <w:rsid w:val="00CD7351"/>
    <w:rsid w:val="00CE50E8"/>
    <w:rsid w:val="00CF0236"/>
    <w:rsid w:val="00CF34F4"/>
    <w:rsid w:val="00D06FFF"/>
    <w:rsid w:val="00D11F86"/>
    <w:rsid w:val="00D212A5"/>
    <w:rsid w:val="00D24C44"/>
    <w:rsid w:val="00D24DA4"/>
    <w:rsid w:val="00D348DD"/>
    <w:rsid w:val="00D41E14"/>
    <w:rsid w:val="00D435D4"/>
    <w:rsid w:val="00D44FD9"/>
    <w:rsid w:val="00D537AB"/>
    <w:rsid w:val="00D547A5"/>
    <w:rsid w:val="00D64333"/>
    <w:rsid w:val="00D703BD"/>
    <w:rsid w:val="00D74A04"/>
    <w:rsid w:val="00D835AD"/>
    <w:rsid w:val="00D9110F"/>
    <w:rsid w:val="00D97879"/>
    <w:rsid w:val="00DB2E95"/>
    <w:rsid w:val="00DB33F9"/>
    <w:rsid w:val="00DC0584"/>
    <w:rsid w:val="00DC20C2"/>
    <w:rsid w:val="00DD79A6"/>
    <w:rsid w:val="00DE04BB"/>
    <w:rsid w:val="00DF7539"/>
    <w:rsid w:val="00E07BE3"/>
    <w:rsid w:val="00E2119F"/>
    <w:rsid w:val="00E33501"/>
    <w:rsid w:val="00E41A79"/>
    <w:rsid w:val="00E54AF4"/>
    <w:rsid w:val="00E66DFB"/>
    <w:rsid w:val="00E718EB"/>
    <w:rsid w:val="00E7731A"/>
    <w:rsid w:val="00E952AA"/>
    <w:rsid w:val="00E956DE"/>
    <w:rsid w:val="00EA14B2"/>
    <w:rsid w:val="00EB0772"/>
    <w:rsid w:val="00EB1B6F"/>
    <w:rsid w:val="00EC4288"/>
    <w:rsid w:val="00EF5921"/>
    <w:rsid w:val="00EF72AA"/>
    <w:rsid w:val="00EF79FA"/>
    <w:rsid w:val="00F12FA9"/>
    <w:rsid w:val="00F16C39"/>
    <w:rsid w:val="00F2115E"/>
    <w:rsid w:val="00F2265F"/>
    <w:rsid w:val="00F34C57"/>
    <w:rsid w:val="00F36638"/>
    <w:rsid w:val="00F40957"/>
    <w:rsid w:val="00F80D71"/>
    <w:rsid w:val="00F942C2"/>
    <w:rsid w:val="00FA1DDB"/>
    <w:rsid w:val="00FA5B7B"/>
    <w:rsid w:val="00FB110A"/>
    <w:rsid w:val="00FB6998"/>
    <w:rsid w:val="00FC3D84"/>
    <w:rsid w:val="00FD29BD"/>
    <w:rsid w:val="27C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BD197C9"/>
  <w15:docId w15:val="{F60B82C4-AE0B-4DC5-8B49-F0763CA0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AF72EC"/>
    <w:pPr>
      <w:widowControl w:val="0"/>
      <w:jc w:val="both"/>
    </w:pPr>
    <w:rPr>
      <w:rFonts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6C4A"/>
  </w:style>
  <w:style w:type="paragraph" w:styleId="a5">
    <w:name w:val="footer"/>
    <w:basedOn w:val="a"/>
    <w:link w:val="a6"/>
    <w:uiPriority w:val="99"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6C4A"/>
  </w:style>
  <w:style w:type="paragraph" w:styleId="a7">
    <w:name w:val="Balloon Text"/>
    <w:basedOn w:val="a"/>
    <w:link w:val="a8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paragraph" w:styleId="a9">
    <w:name w:val="List Paragraph"/>
    <w:basedOn w:val="a"/>
    <w:uiPriority w:val="34"/>
    <w:qFormat/>
    <w:rsid w:val="00D835AD"/>
    <w:pPr>
      <w:ind w:leftChars="400" w:left="840"/>
    </w:pPr>
  </w:style>
  <w:style w:type="character" w:styleId="aa">
    <w:name w:val="Placeholder Text"/>
    <w:basedOn w:val="a0"/>
    <w:uiPriority w:val="99"/>
    <w:semiHidden/>
    <w:rsid w:val="001C7EA6"/>
    <w:rPr>
      <w:color w:val="808080"/>
    </w:rPr>
  </w:style>
  <w:style w:type="paragraph" w:styleId="ab">
    <w:name w:val="endnote text"/>
    <w:basedOn w:val="a"/>
    <w:link w:val="ac"/>
    <w:uiPriority w:val="99"/>
    <w:unhideWhenUsed/>
    <w:rsid w:val="00651177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rsid w:val="00651177"/>
    <w:rPr>
      <w:rFonts w:cs="Century"/>
      <w:szCs w:val="21"/>
    </w:rPr>
  </w:style>
  <w:style w:type="character" w:styleId="ad">
    <w:name w:val="endnote reference"/>
    <w:basedOn w:val="a0"/>
    <w:uiPriority w:val="99"/>
    <w:semiHidden/>
    <w:unhideWhenUsed/>
    <w:rsid w:val="00651177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651177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651177"/>
    <w:rPr>
      <w:rFonts w:cs="Century"/>
      <w:szCs w:val="21"/>
    </w:rPr>
  </w:style>
  <w:style w:type="character" w:styleId="af0">
    <w:name w:val="footnote reference"/>
    <w:basedOn w:val="a0"/>
    <w:uiPriority w:val="99"/>
    <w:semiHidden/>
    <w:unhideWhenUsed/>
    <w:rsid w:val="00651177"/>
    <w:rPr>
      <w:vertAlign w:val="superscript"/>
    </w:rPr>
  </w:style>
  <w:style w:type="table" w:styleId="af1">
    <w:name w:val="Table Grid"/>
    <w:basedOn w:val="a1"/>
    <w:uiPriority w:val="59"/>
    <w:rsid w:val="00C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423A8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9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4075-46F5-4267-A698-6D324EFA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1441</Words>
  <Characters>336</Characters>
  <Application>Microsoft Office Word</Application>
  <DocSecurity>0</DocSecurity>
  <Lines>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</dc:creator>
  <cp:keywords/>
  <dc:description/>
  <cp:lastModifiedBy>SEKIYA Yuki</cp:lastModifiedBy>
  <cp:revision>5</cp:revision>
  <cp:lastPrinted>2017-01-12T04:10:00Z</cp:lastPrinted>
  <dcterms:created xsi:type="dcterms:W3CDTF">2018-04-17T17:04:00Z</dcterms:created>
  <dcterms:modified xsi:type="dcterms:W3CDTF">2018-11-07T06:47:00Z</dcterms:modified>
</cp:coreProperties>
</file>