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5C6B7A"/>
          <w:sz w:val="30"/>
          <w:szCs w:val="30"/>
        </w:rPr>
        <w:t xml:space="preserve">PROJECT REPORT</w:t>
      </w:r>
    </w:p>
    <w:p>
      <w:pPr>
        <w:spacing w:after="200" w:before="200"/>
        <w:jc w:val="center"/>
      </w:pPr>
      <w:r>
        <w:rPr>
          <w:b/>
          <w:bCs/>
          <w:color w:val="1F6F5C"/>
          <w:sz w:val="56"/>
          <w:szCs w:val="56"/>
        </w:rPr>
        <w:t xml:space="preserve">Chatbot for Customer Service</w:t>
      </w:r>
    </w:p>
    <w:p>
      <w:pPr>
        <w:spacing w:after="600"/>
        <w:jc w:val="center"/>
      </w:pPr>
      <w:r>
        <w:rPr>
          <w:i/>
          <w:iCs/>
          <w:color w:val="1B2430"/>
          <w:sz w:val="26"/>
          <w:szCs w:val="26"/>
        </w:rPr>
        <w:t xml:space="preserve">A Hybrid Rule-Based &amp; NLP-Driven Virtual Support Assistant</w:t>
      </w:r>
    </w:p>
    <w:p>
      <w:pPr>
        <w:spacing w:after="80" w:before="800"/>
        <w:jc w:val="center"/>
      </w:pPr>
      <w:r>
        <w:rPr>
          <w:color w:val="1B2430"/>
          <w:sz w:val="22"/>
          <w:szCs w:val="22"/>
        </w:rPr>
        <w:t xml:space="preserve">Submitted as part of the AI Internship Program</w:t>
      </w:r>
    </w:p>
    <w:p>
      <w:pPr>
        <w:spacing w:after="80"/>
        <w:jc w:val="center"/>
      </w:pPr>
      <w:r>
        <w:rPr>
          <w:b/>
          <w:bCs/>
          <w:color w:val="1F6F5C"/>
          <w:sz w:val="24"/>
          <w:szCs w:val="24"/>
        </w:rPr>
        <w:t xml:space="preserve">Codec Technologies</w:t>
      </w:r>
    </w:p>
    <w:p>
      <w:pPr>
        <w:spacing w:after="40"/>
        <w:jc w:val="center"/>
      </w:pPr>
      <w:r>
        <w:rPr>
          <w:color w:val="5C6B7A"/>
          <w:sz w:val="20"/>
          <w:szCs w:val="20"/>
        </w:rPr>
        <w:t xml:space="preserve">Domain: Artificial Intelligence / Natural Language Processing</w:t>
      </w:r>
    </w:p>
    <w:p>
      <w:pPr>
        <w:spacing w:after="40"/>
        <w:jc w:val="center"/>
      </w:pPr>
      <w:r>
        <w:rPr>
          <w:color w:val="5C6B7A"/>
          <w:sz w:val="20"/>
          <w:szCs w:val="20"/>
        </w:rPr>
        <w:t xml:space="preserve">Project 4 of 4 — AI Internship Project Series</w:t>
      </w:r>
    </w:p>
    <w:p>
      <w:pPr>
        <w:spacing w:before="1200"/>
        <w:jc w:val="center"/>
      </w:pPr>
      <w:r>
        <w:rPr>
          <w:color w:val="1B2430"/>
          <w:sz w:val="22"/>
          <w:szCs w:val="22"/>
        </w:rPr>
        <w:t xml:space="preserve">Submitted by: [Your Name]</w:t>
      </w:r>
    </w:p>
    <w:p>
      <w:pPr>
        <w:spacing w:after="40"/>
        <w:jc w:val="center"/>
      </w:pPr>
      <w:r>
        <w:rPr>
          <w:color w:val="5C6B7A"/>
          <w:sz w:val="20"/>
          <w:szCs w:val="20"/>
        </w:rPr>
        <w:t xml:space="preserve">Internship Duration: [Start Date] – [End Date]</w:t>
      </w:r>
    </w:p>
    <w:p>
      <w:pPr>
        <w:jc w:val="center"/>
      </w:pPr>
      <w:r>
        <w:rPr>
          <w:color w:val="5C6B7A"/>
          <w:sz w:val="20"/>
          <w:szCs w:val="20"/>
        </w:rPr>
        <w:t xml:space="preserve">Date of Submission: [DD / MM / YYYY]</w:t>
      </w:r>
    </w:p>
    <w:p>
      <w:pPr>
        <w:sectPr>
          <w:pgSz w:w="12240" w:h="15840" w:orient="portrait"/>
          <w:pgMar w:top="1440" w:right="1440" w:bottom="1440" w:left="1440" w:header="708" w:footer="708" w:gutter="0"/>
          <w:pgNumType/>
          <w:docGrid w:linePitch="360"/>
        </w:sectPr>
      </w:pPr>
    </w:p>
    <w:p>
      <w:pPr>
        <w:pStyle w:val="Heading1"/>
        <w:spacing w:after="160" w:before="32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160" w:before="320"/>
      </w:pPr>
      <w:r>
        <w:t xml:space="preserve">1. Abstract</w:t>
      </w:r>
    </w:p>
    <w:p>
      <w:pPr>
        <w:spacing w:after="160" w:line="300"/>
      </w:pPr>
      <w:r>
        <w:rPr>
          <w:color w:val="1B2430"/>
          <w:sz w:val="22"/>
          <w:szCs w:val="22"/>
        </w:rPr>
        <w:t xml:space="preserve">This project presents the design and implementation of a customer service chatbot that answers common support queries such as order tracking, returns, refunds, payment issues, and shipping information. The system follows a hybrid architecture: a Natural Language Processing (NLP) layer built with a TF-IDF vectorizer and a Logistic Regression classifier predicts the user's intent from free-form text, while a deterministic rule-based layer handles entity extraction (order IDs, emails), multi-turn slot-filling, and any response that touches real business data. The chatbot is exposed through both a Flask-based REST API with a web chat interface and a command-line interface, and is accompanied by an automated test suite. This hybrid design mirrors patterns used in real production support bots, where ML provides language understanding and rules provide predictable, auditable business logic.</w:t>
      </w:r>
    </w:p>
    <w:p>
      <w:pPr>
        <w:pStyle w:val="Heading1"/>
        <w:spacing w:after="160" w:before="320"/>
      </w:pPr>
      <w:r>
        <w:t xml:space="preserve">2. Introduction</w:t>
      </w:r>
    </w:p>
    <w:p>
      <w:pPr>
        <w:spacing w:after="160" w:line="300"/>
      </w:pPr>
      <w:r>
        <w:rPr>
          <w:color w:val="1B2430"/>
          <w:sz w:val="22"/>
          <w:szCs w:val="22"/>
        </w:rPr>
        <w:t xml:space="preserve">Customer support teams handle a large volume of repetitive queries — where is my order, what is your return policy, how do I get a refund — that do not require human judgement to answer correctly. A well-designed chatbot can resolve these instantly, 24/7, while escalating complex or sensitive issues to a human agent. This project was undertaken to understand and apply core NLP techniques (text preprocessing, feature extraction, intent classification) alongside classic rule-based chatbot design (pattern matching, entity extraction, dialogue state/slot-filling), and to combine both into a single, coherent, testable system rather than treating them as competing approaches.</w:t>
      </w:r>
    </w:p>
    <w:p>
      <w:pPr>
        <w:pStyle w:val="Heading1"/>
        <w:spacing w:after="160" w:before="320"/>
      </w:pPr>
      <w:r>
        <w:t xml:space="preserve">3. Objectives</w:t>
      </w:r>
    </w:p>
    <w:p>
      <w:pPr>
        <w:pStyle w:val="ListParagraph"/>
        <w:numPr>
          <w:ilvl w:val="0"/>
          <w:numId w:val="2"/>
        </w:numPr>
        <w:spacing w:after="80" w:line="280"/>
      </w:pPr>
      <w:r>
        <w:rPr>
          <w:color w:val="1B2430"/>
          <w:sz w:val="22"/>
          <w:szCs w:val="22"/>
        </w:rPr>
        <w:t xml:space="preserve">Understand and apply fundamental NLP preprocessing techniques: tokenization, stopword removal, contraction expansion, and lightweight stemming.</w:t>
      </w:r>
    </w:p>
    <w:p>
      <w:pPr>
        <w:pStyle w:val="ListParagraph"/>
        <w:numPr>
          <w:ilvl w:val="0"/>
          <w:numId w:val="2"/>
        </w:numPr>
        <w:spacing w:after="80" w:line="280"/>
      </w:pPr>
      <w:r>
        <w:rPr>
          <w:color w:val="1B2430"/>
          <w:sz w:val="22"/>
          <w:szCs w:val="22"/>
        </w:rPr>
        <w:t xml:space="preserve">Build an intent classification model using TF-IDF feature extraction and a supervised classifier (Logistic Regression).</w:t>
      </w:r>
    </w:p>
    <w:p>
      <w:pPr>
        <w:pStyle w:val="ListParagraph"/>
        <w:numPr>
          <w:ilvl w:val="0"/>
          <w:numId w:val="2"/>
        </w:numPr>
        <w:spacing w:after="80" w:line="280"/>
      </w:pPr>
      <w:r>
        <w:rPr>
          <w:color w:val="1B2430"/>
          <w:sz w:val="22"/>
          <w:szCs w:val="22"/>
        </w:rPr>
        <w:t xml:space="preserve">Design a rule-based layer for entity extraction (order IDs, emails) and multi-turn dialogue state (slot-filling).</w:t>
      </w:r>
    </w:p>
    <w:p>
      <w:pPr>
        <w:pStyle w:val="ListParagraph"/>
        <w:numPr>
          <w:ilvl w:val="0"/>
          <w:numId w:val="2"/>
        </w:numPr>
        <w:spacing w:after="80" w:line="280"/>
      </w:pPr>
      <w:r>
        <w:rPr>
          <w:color w:val="1B2430"/>
          <w:sz w:val="22"/>
          <w:szCs w:val="22"/>
        </w:rPr>
        <w:t xml:space="preserve">Combine both layers into a single hybrid chatbot engine with a confidence-based fallback mechanism.</w:t>
      </w:r>
    </w:p>
    <w:p>
      <w:pPr>
        <w:pStyle w:val="ListParagraph"/>
        <w:numPr>
          <w:ilvl w:val="0"/>
          <w:numId w:val="2"/>
        </w:numPr>
        <w:spacing w:after="80" w:line="280"/>
      </w:pPr>
      <w:r>
        <w:rPr>
          <w:color w:val="1B2430"/>
          <w:sz w:val="22"/>
          <w:szCs w:val="22"/>
        </w:rPr>
        <w:t xml:space="preserve">Expose the chatbot through a REST API and a browser-based chat interface, in addition to a CLI.</w:t>
      </w:r>
    </w:p>
    <w:p>
      <w:pPr>
        <w:pStyle w:val="ListParagraph"/>
        <w:numPr>
          <w:ilvl w:val="0"/>
          <w:numId w:val="2"/>
        </w:numPr>
        <w:spacing w:after="80" w:line="280"/>
      </w:pPr>
      <w:r>
        <w:rPr>
          <w:color w:val="1B2430"/>
          <w:sz w:val="22"/>
          <w:szCs w:val="22"/>
        </w:rPr>
        <w:t xml:space="preserve">Validate the system with an automated unit test suite covering NLP utilities and conversational flows.</w:t>
      </w:r>
    </w:p>
    <w:p>
      <w:pPr>
        <w:spacing w:after="160" w:line="300"/>
      </w:pPr>
      <w:r>
        <w:rPr>
          <w:color w:val="1B2430"/>
          <w:sz w:val="22"/>
          <w:szCs w:val="22"/>
        </w:rPr>
        <w:t xml:space="preserve"/>
      </w:r>
    </w:p>
    <w:p>
      <w:pPr>
        <w:pStyle w:val="Heading1"/>
        <w:spacing w:after="160" w:before="320"/>
      </w:pPr>
      <w:r>
        <w:t xml:space="preserve">4. Tools &amp; Technologies Used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6F5C" w:val="clear"/>
            <w:tcMar>
              <w:top w:type="dxa" w:w="100"/>
              <w:left w:type="dxa" w:w="120"/>
              <w:bottom w:type="dxa" w:w="100"/>
              <w:right w:type="dxa" w:w="120"/>
            </w:tcMar>
          </w:tcPr>
          <w:p>
            <w:r>
              <w:rPr>
                <w:b/>
                <w:bCs/>
                <w:color w:val="FFFFFF"/>
                <w:sz w:val="20"/>
                <w:szCs w:val="20"/>
              </w:rPr>
              <w:t xml:space="preserve">Category</w:t>
            </w:r>
          </w:p>
        </w:tc>
        <w:tc>
          <w:tcPr>
            <w:tcW w:type="dxa" w:w="6300"/>
            <w:shd w:fill="1F6F5C" w:val="clear"/>
            <w:tcMar>
              <w:top w:type="dxa" w:w="100"/>
              <w:left w:type="dxa" w:w="120"/>
              <w:bottom w:type="dxa" w:w="100"/>
              <w:right w:type="dxa" w:w="120"/>
            </w:tcMar>
          </w:tcPr>
          <w:p>
            <w:r>
              <w:rPr>
                <w:b/>
                <w:bCs/>
                <w:color w:val="FFFFFF"/>
                <w:sz w:val="20"/>
                <w:szCs w:val="20"/>
              </w:rPr>
              <w:t xml:space="preserve">Technology</w:t>
            </w:r>
          </w:p>
        </w:tc>
      </w:tr>
      <w:tr>
        <w:tc>
          <w:tcPr>
            <w:tcW w:type="dxa" w:w="3200"/>
            <w:tcMar>
              <w:top w:type="dxa" w:w="100"/>
              <w:left w:type="dxa" w:w="120"/>
              <w:bottom w:type="dxa" w:w="100"/>
              <w:right w:type="dxa" w:w="120"/>
            </w:tcMar>
          </w:tcPr>
          <w:p>
            <w:r>
              <w:rPr>
                <w:b w:val="false"/>
                <w:bCs w:val="false"/>
                <w:color w:val="1B2430"/>
                <w:sz w:val="20"/>
                <w:szCs w:val="20"/>
              </w:rPr>
              <w:t xml:space="preserve">Programming Language</w:t>
            </w:r>
          </w:p>
        </w:tc>
        <w:tc>
          <w:tcPr>
            <w:tcW w:type="dxa" w:w="6300"/>
            <w:tcMar>
              <w:top w:type="dxa" w:w="100"/>
              <w:left w:type="dxa" w:w="120"/>
              <w:bottom w:type="dxa" w:w="100"/>
              <w:right w:type="dxa" w:w="120"/>
            </w:tcMar>
          </w:tcPr>
          <w:p>
            <w:r>
              <w:rPr>
                <w:b w:val="false"/>
                <w:bCs w:val="false"/>
                <w:color w:val="1B2430"/>
                <w:sz w:val="20"/>
                <w:szCs w:val="20"/>
              </w:rPr>
              <w:t xml:space="preserve">Python 3</w:t>
            </w:r>
          </w:p>
        </w:tc>
      </w:tr>
      <w:tr>
        <w:tc>
          <w:tcPr>
            <w:tcW w:type="dxa" w:w="3200"/>
            <w:tcMar>
              <w:top w:type="dxa" w:w="100"/>
              <w:left w:type="dxa" w:w="120"/>
              <w:bottom w:type="dxa" w:w="100"/>
              <w:right w:type="dxa" w:w="120"/>
            </w:tcMar>
          </w:tcPr>
          <w:p>
            <w:r>
              <w:rPr>
                <w:b w:val="false"/>
                <w:bCs w:val="false"/>
                <w:color w:val="1B2430"/>
                <w:sz w:val="20"/>
                <w:szCs w:val="20"/>
              </w:rPr>
              <w:t xml:space="preserve">NLP / Machine Learning</w:t>
            </w:r>
          </w:p>
        </w:tc>
        <w:tc>
          <w:tcPr>
            <w:tcW w:type="dxa" w:w="6300"/>
            <w:tcMar>
              <w:top w:type="dxa" w:w="100"/>
              <w:left w:type="dxa" w:w="120"/>
              <w:bottom w:type="dxa" w:w="100"/>
              <w:right w:type="dxa" w:w="120"/>
            </w:tcMar>
          </w:tcPr>
          <w:p>
            <w:r>
              <w:rPr>
                <w:b w:val="false"/>
                <w:bCs w:val="false"/>
                <w:color w:val="1B2430"/>
                <w:sz w:val="20"/>
                <w:szCs w:val="20"/>
              </w:rPr>
              <w:t xml:space="preserve">scikit-learn (TfidfVectorizer, LogisticRegression)</w:t>
            </w:r>
          </w:p>
        </w:tc>
      </w:tr>
      <w:tr>
        <w:tc>
          <w:tcPr>
            <w:tcW w:type="dxa" w:w="3200"/>
            <w:tcMar>
              <w:top w:type="dxa" w:w="100"/>
              <w:left w:type="dxa" w:w="120"/>
              <w:bottom w:type="dxa" w:w="100"/>
              <w:right w:type="dxa" w:w="120"/>
            </w:tcMar>
          </w:tcPr>
          <w:p>
            <w:r>
              <w:rPr>
                <w:b w:val="false"/>
                <w:bCs w:val="false"/>
                <w:color w:val="1B2430"/>
                <w:sz w:val="20"/>
                <w:szCs w:val="20"/>
              </w:rPr>
              <w:t xml:space="preserve">Model Persistence</w:t>
            </w:r>
          </w:p>
        </w:tc>
        <w:tc>
          <w:tcPr>
            <w:tcW w:type="dxa" w:w="6300"/>
            <w:tcMar>
              <w:top w:type="dxa" w:w="100"/>
              <w:left w:type="dxa" w:w="120"/>
              <w:bottom w:type="dxa" w:w="100"/>
              <w:right w:type="dxa" w:w="120"/>
            </w:tcMar>
          </w:tcPr>
          <w:p>
            <w:r>
              <w:rPr>
                <w:b w:val="false"/>
                <w:bCs w:val="false"/>
                <w:color w:val="1B2430"/>
                <w:sz w:val="20"/>
                <w:szCs w:val="20"/>
              </w:rPr>
              <w:t xml:space="preserve">joblib</w:t>
            </w:r>
          </w:p>
        </w:tc>
      </w:tr>
      <w:tr>
        <w:tc>
          <w:tcPr>
            <w:tcW w:type="dxa" w:w="3200"/>
            <w:tcMar>
              <w:top w:type="dxa" w:w="100"/>
              <w:left w:type="dxa" w:w="120"/>
              <w:bottom w:type="dxa" w:w="100"/>
              <w:right w:type="dxa" w:w="120"/>
            </w:tcMar>
          </w:tcPr>
          <w:p>
            <w:r>
              <w:rPr>
                <w:b w:val="false"/>
                <w:bCs w:val="false"/>
                <w:color w:val="1B2430"/>
                <w:sz w:val="20"/>
                <w:szCs w:val="20"/>
              </w:rPr>
              <w:t xml:space="preserve">Backend / API</w:t>
            </w:r>
          </w:p>
        </w:tc>
        <w:tc>
          <w:tcPr>
            <w:tcW w:type="dxa" w:w="6300"/>
            <w:tcMar>
              <w:top w:type="dxa" w:w="100"/>
              <w:left w:type="dxa" w:w="120"/>
              <w:bottom w:type="dxa" w:w="100"/>
              <w:right w:type="dxa" w:w="120"/>
            </w:tcMar>
          </w:tcPr>
          <w:p>
            <w:r>
              <w:rPr>
                <w:b w:val="false"/>
                <w:bCs w:val="false"/>
                <w:color w:val="1B2430"/>
                <w:sz w:val="20"/>
                <w:szCs w:val="20"/>
              </w:rPr>
              <w:t xml:space="preserve">Flask (REST API + server-rendered chat UI)</w:t>
            </w:r>
          </w:p>
        </w:tc>
      </w:tr>
      <w:tr>
        <w:tc>
          <w:tcPr>
            <w:tcW w:type="dxa" w:w="3200"/>
            <w:tcMar>
              <w:top w:type="dxa" w:w="100"/>
              <w:left w:type="dxa" w:w="120"/>
              <w:bottom w:type="dxa" w:w="100"/>
              <w:right w:type="dxa" w:w="120"/>
            </w:tcMar>
          </w:tcPr>
          <w:p>
            <w:r>
              <w:rPr>
                <w:b w:val="false"/>
                <w:bCs w:val="false"/>
                <w:color w:val="1B2430"/>
                <w:sz w:val="20"/>
                <w:szCs w:val="20"/>
              </w:rPr>
              <w:t xml:space="preserve">Frontend</w:t>
            </w:r>
          </w:p>
        </w:tc>
        <w:tc>
          <w:tcPr>
            <w:tcW w:type="dxa" w:w="6300"/>
            <w:tcMar>
              <w:top w:type="dxa" w:w="100"/>
              <w:left w:type="dxa" w:w="120"/>
              <w:bottom w:type="dxa" w:w="100"/>
              <w:right w:type="dxa" w:w="120"/>
            </w:tcMar>
          </w:tcPr>
          <w:p>
            <w:r>
              <w:rPr>
                <w:b w:val="false"/>
                <w:bCs w:val="false"/>
                <w:color w:val="1B2430"/>
                <w:sz w:val="20"/>
                <w:szCs w:val="20"/>
              </w:rPr>
              <w:t xml:space="preserve">HTML5, CSS3, vanilla JavaScript (fetch API)</w:t>
            </w:r>
          </w:p>
        </w:tc>
      </w:tr>
      <w:tr>
        <w:tc>
          <w:tcPr>
            <w:tcW w:type="dxa" w:w="3200"/>
            <w:tcMar>
              <w:top w:type="dxa" w:w="100"/>
              <w:left w:type="dxa" w:w="120"/>
              <w:bottom w:type="dxa" w:w="100"/>
              <w:right w:type="dxa" w:w="120"/>
            </w:tcMar>
          </w:tcPr>
          <w:p>
            <w:r>
              <w:rPr>
                <w:b w:val="false"/>
                <w:bCs w:val="false"/>
                <w:color w:val="1B2430"/>
                <w:sz w:val="20"/>
                <w:szCs w:val="20"/>
              </w:rPr>
              <w:t xml:space="preserve">Testing</w:t>
            </w:r>
          </w:p>
        </w:tc>
        <w:tc>
          <w:tcPr>
            <w:tcW w:type="dxa" w:w="6300"/>
            <w:tcMar>
              <w:top w:type="dxa" w:w="100"/>
              <w:left w:type="dxa" w:w="120"/>
              <w:bottom w:type="dxa" w:w="100"/>
              <w:right w:type="dxa" w:w="120"/>
            </w:tcMar>
          </w:tcPr>
          <w:p>
            <w:r>
              <w:rPr>
                <w:b w:val="false"/>
                <w:bCs w:val="false"/>
                <w:color w:val="1B2430"/>
                <w:sz w:val="20"/>
                <w:szCs w:val="20"/>
              </w:rPr>
              <w:t xml:space="preserve">Python unittest</w:t>
            </w:r>
          </w:p>
        </w:tc>
      </w:tr>
      <w:tr>
        <w:tc>
          <w:tcPr>
            <w:tcW w:type="dxa" w:w="3200"/>
            <w:tcMar>
              <w:top w:type="dxa" w:w="100"/>
              <w:left w:type="dxa" w:w="120"/>
              <w:bottom w:type="dxa" w:w="100"/>
              <w:right w:type="dxa" w:w="120"/>
            </w:tcMar>
          </w:tcPr>
          <w:p>
            <w:r>
              <w:rPr>
                <w:b w:val="false"/>
                <w:bCs w:val="false"/>
                <w:color w:val="1B2430"/>
                <w:sz w:val="20"/>
                <w:szCs w:val="20"/>
              </w:rPr>
              <w:t xml:space="preserve">Data Format</w:t>
            </w:r>
          </w:p>
        </w:tc>
        <w:tc>
          <w:tcPr>
            <w:tcW w:type="dxa" w:w="6300"/>
            <w:tcMar>
              <w:top w:type="dxa" w:w="100"/>
              <w:left w:type="dxa" w:w="120"/>
              <w:bottom w:type="dxa" w:w="100"/>
              <w:right w:type="dxa" w:w="120"/>
            </w:tcMar>
          </w:tcPr>
          <w:p>
            <w:r>
              <w:rPr>
                <w:b w:val="false"/>
                <w:bCs w:val="false"/>
                <w:color w:val="1B2430"/>
                <w:sz w:val="20"/>
                <w:szCs w:val="20"/>
              </w:rPr>
              <w:t xml:space="preserve">JSON (intents dataset), JSONL (conversation logs)</w:t>
            </w:r>
          </w:p>
        </w:tc>
      </w:tr>
      <w:tr>
        <w:tc>
          <w:tcPr>
            <w:tcW w:type="dxa" w:w="3200"/>
            <w:tcMar>
              <w:top w:type="dxa" w:w="100"/>
              <w:left w:type="dxa" w:w="120"/>
              <w:bottom w:type="dxa" w:w="100"/>
              <w:right w:type="dxa" w:w="120"/>
            </w:tcMar>
          </w:tcPr>
          <w:p>
            <w:r>
              <w:rPr>
                <w:b w:val="false"/>
                <w:bCs w:val="false"/>
                <w:color w:val="1B2430"/>
                <w:sz w:val="20"/>
                <w:szCs w:val="20"/>
              </w:rPr>
              <w:t xml:space="preserve">Version Control</w:t>
            </w:r>
          </w:p>
        </w:tc>
        <w:tc>
          <w:tcPr>
            <w:tcW w:type="dxa" w:w="6300"/>
            <w:tcMar>
              <w:top w:type="dxa" w:w="100"/>
              <w:left w:type="dxa" w:w="120"/>
              <w:bottom w:type="dxa" w:w="100"/>
              <w:right w:type="dxa" w:w="120"/>
            </w:tcMar>
          </w:tcPr>
          <w:p>
            <w:r>
              <w:rPr>
                <w:b w:val="false"/>
                <w:bCs w:val="false"/>
                <w:color w:val="1B2430"/>
                <w:sz w:val="20"/>
                <w:szCs w:val="20"/>
              </w:rPr>
              <w:t xml:space="preserve">Git / GitHub</w:t>
            </w:r>
          </w:p>
        </w:tc>
      </w:tr>
    </w:tbl>
    <w:p>
      <w:pPr>
        <w:pStyle w:val="Heading1"/>
        <w:spacing w:after="160" w:before="320"/>
      </w:pPr>
      <w:r>
        <w:t xml:space="preserve">5. System Architecture</w:t>
      </w:r>
    </w:p>
    <w:p>
      <w:pPr>
        <w:spacing w:after="160" w:line="300"/>
      </w:pPr>
      <w:r>
        <w:rPr>
          <w:color w:val="1B2430"/>
          <w:sz w:val="22"/>
          <w:szCs w:val="22"/>
        </w:rPr>
        <w:t xml:space="preserve">The chatbot follows a four-stage pipeline for every incoming message, illustrated below:</w:t>
      </w:r>
    </w:p>
    <w:p>
      <w:pPr>
        <w:pStyle w:val="ListParagraph"/>
        <w:numPr>
          <w:ilvl w:val="0"/>
          <w:numId w:val="2"/>
        </w:numPr>
        <w:spacing w:after="80" w:line="280"/>
      </w:pPr>
      <w:r>
        <w:rPr>
          <w:color w:val="1B2430"/>
          <w:sz w:val="22"/>
          <w:szCs w:val="22"/>
        </w:rPr>
        <w:t xml:space="preserve">Context / Slot Check — if the previous turn left the conversation waiting for a specific piece of information (e.g. an order ID), the rule layer handles the reply directly and the NLP layer is skipped for that turn.</w:t>
      </w:r>
    </w:p>
    <w:p>
      <w:pPr>
        <w:pStyle w:val="ListParagraph"/>
        <w:numPr>
          <w:ilvl w:val="0"/>
          <w:numId w:val="2"/>
        </w:numPr>
        <w:spacing w:after="80" w:line="280"/>
      </w:pPr>
      <w:r>
        <w:rPr>
          <w:color w:val="1B2430"/>
          <w:sz w:val="22"/>
          <w:szCs w:val="22"/>
        </w:rPr>
        <w:t xml:space="preserve">NLP Preprocessing — the raw message is lowercased, contractions are expanded, punctuation is stripped, stopwords are removed (while preserving negation words such as 'not', which are critical to meaning), and a lightweight rule-based stemmer normalizes word forms.</w:t>
      </w:r>
    </w:p>
    <w:p>
      <w:pPr>
        <w:pStyle w:val="ListParagraph"/>
        <w:numPr>
          <w:ilvl w:val="0"/>
          <w:numId w:val="2"/>
        </w:numPr>
        <w:spacing w:after="80" w:line="280"/>
      </w:pPr>
      <w:r>
        <w:rPr>
          <w:color w:val="1B2430"/>
          <w:sz w:val="22"/>
          <w:szCs w:val="22"/>
        </w:rPr>
        <w:t xml:space="preserve">Intent Classification — the preprocessed text is vectorized with TF-IDF (unigrams + bigrams) and classified by a Logistic Regression model into one of 19 customer-service intents. If the model's confidence falls below a threshold (0.35), the intent is overridden to 'fallback' so the bot asks for clarification instead of guessing.</w:t>
      </w:r>
    </w:p>
    <w:p>
      <w:pPr>
        <w:pStyle w:val="ListParagraph"/>
        <w:numPr>
          <w:ilvl w:val="0"/>
          <w:numId w:val="2"/>
        </w:numPr>
        <w:spacing w:after="80" w:line="280"/>
      </w:pPr>
      <w:r>
        <w:rPr>
          <w:color w:val="1B2430"/>
          <w:sz w:val="22"/>
          <w:szCs w:val="22"/>
        </w:rPr>
        <w:t xml:space="preserve">Rule-Based Business Logic — depending on the predicted intent, deterministic rules extract entities (e.g. an order ID via regex), manage slot-filling for multi-turn flows, and look up data (a mock order database in this demo, replaceable with a real order-management API in production).</w:t>
      </w:r>
    </w:p>
    <w:p>
      <w:pPr>
        <w:spacing w:after="160" w:line="300"/>
      </w:pPr>
      <w:r>
        <w:rPr>
          <w:color w:val="1B2430"/>
          <w:sz w:val="22"/>
          <w:szCs w:val="22"/>
        </w:rPr>
        <w:t xml:space="preserve"/>
      </w:r>
    </w:p>
    <w:p>
      <w:pPr>
        <w:pStyle w:val="Heading1"/>
        <w:spacing w:after="160" w:before="320"/>
      </w:pPr>
      <w:r>
        <w:t xml:space="preserve">6. Dataset &amp; Methodology</w:t>
      </w:r>
    </w:p>
    <w:p>
      <w:pPr>
        <w:pStyle w:val="Heading2"/>
        <w:spacing w:after="160" w:before="320"/>
      </w:pPr>
      <w:r>
        <w:t xml:space="preserve">6.1 Intents Dataset</w:t>
      </w:r>
    </w:p>
    <w:p>
      <w:pPr>
        <w:spacing w:after="160" w:line="300"/>
      </w:pPr>
      <w:r>
        <w:rPr>
          <w:color w:val="1B2430"/>
          <w:sz w:val="22"/>
          <w:szCs w:val="22"/>
        </w:rPr>
        <w:t xml:space="preserve">A custom dataset of 19 intents was hand-curated and stored in data/intents.json, covering the most common customer-service scenarios: greetings, goodbyes, thanks, order status, order cancellation, return policy, refund status, payment issues, shipping information, product information, out-of-stock queries, price inquiries, warranty questions, complaints, requests for a human agent, business hours, contact information, feedback, and bot identity questions, plus a fallback intent for unrecognized input. Each intent contains multiple example phrasings ('patterns') and one or more template responses, giving 177 total training examples.</w:t>
      </w:r>
    </w:p>
    <w:p>
      <w:pPr>
        <w:pStyle w:val="Heading2"/>
        <w:spacing w:after="160" w:before="320"/>
      </w:pPr>
      <w:r>
        <w:t xml:space="preserve">6.2 Text Preprocessing</w:t>
      </w:r>
    </w:p>
    <w:p>
      <w:pPr>
        <w:spacing w:after="160" w:line="300"/>
      </w:pPr>
      <w:r>
        <w:rPr>
          <w:color w:val="1B2430"/>
          <w:sz w:val="22"/>
          <w:szCs w:val="22"/>
        </w:rPr>
        <w:t xml:space="preserve">Preprocessing is implemented from scratch in src/nlp_utils.py (no external NLP model downloads required, which keeps the project easy to run in any environment). Steps: lowercasing, contraction expansion (e.g. "can't" -&gt; "can not"), punctuation removal, custom stopword filtering that deliberately keeps negation words, and a small suffix-based stemmer (e.g. "shipping"/"shipped" -&gt; "ship").</w:t>
      </w:r>
    </w:p>
    <w:p>
      <w:pPr>
        <w:pStyle w:val="Heading2"/>
        <w:spacing w:after="160" w:before="320"/>
      </w:pPr>
      <w:r>
        <w:t xml:space="preserve">6.3 Feature Extraction &amp; Model</w:t>
      </w:r>
    </w:p>
    <w:p>
      <w:pPr>
        <w:spacing w:after="160" w:line="300"/>
      </w:pPr>
      <w:r>
        <w:rPr>
          <w:color w:val="1B2430"/>
          <w:sz w:val="22"/>
          <w:szCs w:val="22"/>
        </w:rPr>
        <w:t xml:space="preserve">Preprocessed text is vectorized using scikit-learn's TfidfVectorizer with unigrams and bigrams, which captures short meaningful phrases (e.g. "track order") in addition to single words. A Logistic Regression classifier (multi-class, balanced class weights) is trained on the resulting TF-IDF vectors to predict the intent label. The trained pipeline (vectorizer + classifier) is serialized with joblib to models/intent_classifier.joblib.</w:t>
      </w:r>
    </w:p>
    <w:p>
      <w:pPr>
        <w:pStyle w:val="Heading2"/>
        <w:spacing w:after="160" w:before="320"/>
      </w:pPr>
      <w:r>
        <w:t xml:space="preserve">6.4 Rule-Based Layer</w:t>
      </w:r>
    </w:p>
    <w:p>
      <w:pPr>
        <w:spacing w:after="160" w:line="300"/>
      </w:pPr>
      <w:r>
        <w:rPr>
          <w:color w:val="1B2430"/>
          <w:sz w:val="22"/>
          <w:szCs w:val="22"/>
        </w:rPr>
        <w:t xml:space="preserve">Regular expressions extract structured entities from free text — order IDs in formats such as ORD12345, #12345, or a bare numeric ID, and email addresses. A small session-state dictionary per user tracks whether the bot is 'awaiting' a specific slot (currently, an order ID), enabling natural multi-turn exchanges such as: user asks about an order, bot asks for the order ID, user replies with just the ID, bot completes the lookup.</w:t>
      </w:r>
    </w:p>
    <w:p>
      <w:pPr>
        <w:pStyle w:val="Heading1"/>
        <w:spacing w:after="160" w:before="320"/>
      </w:pPr>
      <w:r>
        <w:t xml:space="preserve">7. Implementation Details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6F5C" w:val="clear"/>
            <w:tcMar>
              <w:top w:type="dxa" w:w="100"/>
              <w:left w:type="dxa" w:w="120"/>
              <w:bottom w:type="dxa" w:w="100"/>
              <w:right w:type="dxa" w:w="120"/>
            </w:tcMar>
          </w:tcPr>
          <w:p>
            <w:r>
              <w:rPr>
                <w:b/>
                <w:bCs/>
                <w:color w:val="FFFFFF"/>
                <w:sz w:val="20"/>
                <w:szCs w:val="20"/>
              </w:rPr>
              <w:t xml:space="preserve">File</w:t>
            </w:r>
          </w:p>
        </w:tc>
        <w:tc>
          <w:tcPr>
            <w:tcW w:type="dxa" w:w="6300"/>
            <w:shd w:fill="1F6F5C" w:val="clear"/>
            <w:tcMar>
              <w:top w:type="dxa" w:w="100"/>
              <w:left w:type="dxa" w:w="120"/>
              <w:bottom w:type="dxa" w:w="100"/>
              <w:right w:type="dxa" w:w="120"/>
            </w:tcMar>
          </w:tcPr>
          <w:p>
            <w:r>
              <w:rPr>
                <w:b/>
                <w:bCs/>
                <w:color w:val="FFFFFF"/>
                <w:sz w:val="20"/>
                <w:szCs w:val="20"/>
              </w:rPr>
              <w:t xml:space="preserve">Responsibility</w:t>
            </w:r>
          </w:p>
        </w:tc>
      </w:tr>
      <w:tr>
        <w:tc>
          <w:tcPr>
            <w:tcW w:type="dxa" w:w="3200"/>
            <w:tcMar>
              <w:top w:type="dxa" w:w="100"/>
              <w:left w:type="dxa" w:w="120"/>
              <w:bottom w:type="dxa" w:w="100"/>
              <w:right w:type="dxa" w:w="120"/>
            </w:tcMar>
          </w:tcPr>
          <w:p>
            <w:r>
              <w:rPr>
                <w:b w:val="false"/>
                <w:bCs w:val="false"/>
                <w:color w:val="1B2430"/>
                <w:sz w:val="20"/>
                <w:szCs w:val="20"/>
              </w:rPr>
              <w:t xml:space="preserve">src/nlp_utils.py</w:t>
            </w:r>
          </w:p>
        </w:tc>
        <w:tc>
          <w:tcPr>
            <w:tcW w:type="dxa" w:w="6300"/>
            <w:tcMar>
              <w:top w:type="dxa" w:w="100"/>
              <w:left w:type="dxa" w:w="120"/>
              <w:bottom w:type="dxa" w:w="100"/>
              <w:right w:type="dxa" w:w="120"/>
            </w:tcMar>
          </w:tcPr>
          <w:p>
            <w:r>
              <w:rPr>
                <w:b w:val="false"/>
                <w:bCs w:val="false"/>
                <w:color w:val="1B2430"/>
                <w:sz w:val="20"/>
                <w:szCs w:val="20"/>
              </w:rPr>
              <w:t xml:space="preserve">Text cleaning, tokenization, stemming, stopword filtering, entity extraction (order ID, email)</w:t>
            </w:r>
          </w:p>
        </w:tc>
      </w:tr>
      <w:tr>
        <w:tc>
          <w:tcPr>
            <w:tcW w:type="dxa" w:w="3200"/>
            <w:tcMar>
              <w:top w:type="dxa" w:w="100"/>
              <w:left w:type="dxa" w:w="120"/>
              <w:bottom w:type="dxa" w:w="100"/>
              <w:right w:type="dxa" w:w="120"/>
            </w:tcMar>
          </w:tcPr>
          <w:p>
            <w:r>
              <w:rPr>
                <w:b w:val="false"/>
                <w:bCs w:val="false"/>
                <w:color w:val="1B2430"/>
                <w:sz w:val="20"/>
                <w:szCs w:val="20"/>
              </w:rPr>
              <w:t xml:space="preserve">src/train_model.py</w:t>
            </w:r>
          </w:p>
        </w:tc>
        <w:tc>
          <w:tcPr>
            <w:tcW w:type="dxa" w:w="6300"/>
            <w:tcMar>
              <w:top w:type="dxa" w:w="100"/>
              <w:left w:type="dxa" w:w="120"/>
              <w:bottom w:type="dxa" w:w="100"/>
              <w:right w:type="dxa" w:w="120"/>
            </w:tcMar>
          </w:tcPr>
          <w:p>
            <w:r>
              <w:rPr>
                <w:b w:val="false"/>
                <w:bCs w:val="false"/>
                <w:color w:val="1B2430"/>
                <w:sz w:val="20"/>
                <w:szCs w:val="20"/>
              </w:rPr>
              <w:t xml:space="preserve">Loads intents.json, builds the TF-IDF + Logistic Regression pipeline, evaluates and saves the model</w:t>
            </w:r>
          </w:p>
        </w:tc>
      </w:tr>
      <w:tr>
        <w:tc>
          <w:tcPr>
            <w:tcW w:type="dxa" w:w="3200"/>
            <w:tcMar>
              <w:top w:type="dxa" w:w="100"/>
              <w:left w:type="dxa" w:w="120"/>
              <w:bottom w:type="dxa" w:w="100"/>
              <w:right w:type="dxa" w:w="120"/>
            </w:tcMar>
          </w:tcPr>
          <w:p>
            <w:r>
              <w:rPr>
                <w:b w:val="false"/>
                <w:bCs w:val="false"/>
                <w:color w:val="1B2430"/>
                <w:sz w:val="20"/>
                <w:szCs w:val="20"/>
              </w:rPr>
              <w:t xml:space="preserve">src/chatbot.py</w:t>
            </w:r>
          </w:p>
        </w:tc>
        <w:tc>
          <w:tcPr>
            <w:tcW w:type="dxa" w:w="6300"/>
            <w:tcMar>
              <w:top w:type="dxa" w:w="100"/>
              <w:left w:type="dxa" w:w="120"/>
              <w:bottom w:type="dxa" w:w="100"/>
              <w:right w:type="dxa" w:w="120"/>
            </w:tcMar>
          </w:tcPr>
          <w:p>
            <w:r>
              <w:rPr>
                <w:b w:val="false"/>
                <w:bCs w:val="false"/>
                <w:color w:val="1B2430"/>
                <w:sz w:val="20"/>
                <w:szCs w:val="20"/>
              </w:rPr>
              <w:t xml:space="preserve">Core hybrid chatbot engine: intent classification, slot-filling, mock order lookups, conversation logging, CLI mode</w:t>
            </w:r>
          </w:p>
        </w:tc>
      </w:tr>
      <w:tr>
        <w:tc>
          <w:tcPr>
            <w:tcW w:type="dxa" w:w="3200"/>
            <w:tcMar>
              <w:top w:type="dxa" w:w="100"/>
              <w:left w:type="dxa" w:w="120"/>
              <w:bottom w:type="dxa" w:w="100"/>
              <w:right w:type="dxa" w:w="120"/>
            </w:tcMar>
          </w:tcPr>
          <w:p>
            <w:r>
              <w:rPr>
                <w:b w:val="false"/>
                <w:bCs w:val="false"/>
                <w:color w:val="1B2430"/>
                <w:sz w:val="20"/>
                <w:szCs w:val="20"/>
              </w:rPr>
              <w:t xml:space="preserve">src/app.py</w:t>
            </w:r>
          </w:p>
        </w:tc>
        <w:tc>
          <w:tcPr>
            <w:tcW w:type="dxa" w:w="6300"/>
            <w:tcMar>
              <w:top w:type="dxa" w:w="100"/>
              <w:left w:type="dxa" w:w="120"/>
              <w:bottom w:type="dxa" w:w="100"/>
              <w:right w:type="dxa" w:w="120"/>
            </w:tcMar>
          </w:tcPr>
          <w:p>
            <w:r>
              <w:rPr>
                <w:b w:val="false"/>
                <w:bCs w:val="false"/>
                <w:color w:val="1B2430"/>
                <w:sz w:val="20"/>
                <w:szCs w:val="20"/>
              </w:rPr>
              <w:t xml:space="preserve">Flask REST API (/api/chat, /api/health) and web chat UI</w:t>
            </w:r>
          </w:p>
        </w:tc>
      </w:tr>
      <w:tr>
        <w:tc>
          <w:tcPr>
            <w:tcW w:type="dxa" w:w="3200"/>
            <w:tcMar>
              <w:top w:type="dxa" w:w="100"/>
              <w:left w:type="dxa" w:w="120"/>
              <w:bottom w:type="dxa" w:w="100"/>
              <w:right w:type="dxa" w:w="120"/>
            </w:tcMar>
          </w:tcPr>
          <w:p>
            <w:r>
              <w:rPr>
                <w:b w:val="false"/>
                <w:bCs w:val="false"/>
                <w:color w:val="1B2430"/>
                <w:sz w:val="20"/>
                <w:szCs w:val="20"/>
              </w:rPr>
              <w:t xml:space="preserve">templates/index.html, static/</w:t>
            </w:r>
          </w:p>
        </w:tc>
        <w:tc>
          <w:tcPr>
            <w:tcW w:type="dxa" w:w="6300"/>
            <w:tcMar>
              <w:top w:type="dxa" w:w="100"/>
              <w:left w:type="dxa" w:w="120"/>
              <w:bottom w:type="dxa" w:w="100"/>
              <w:right w:type="dxa" w:w="120"/>
            </w:tcMar>
          </w:tcPr>
          <w:p>
            <w:r>
              <w:rPr>
                <w:b w:val="false"/>
                <w:bCs w:val="false"/>
                <w:color w:val="1B2430"/>
                <w:sz w:val="20"/>
                <w:szCs w:val="20"/>
              </w:rPr>
              <w:t xml:space="preserve">Browser-based chat interface</w:t>
            </w:r>
          </w:p>
        </w:tc>
      </w:tr>
      <w:tr>
        <w:tc>
          <w:tcPr>
            <w:tcW w:type="dxa" w:w="3200"/>
            <w:tcMar>
              <w:top w:type="dxa" w:w="100"/>
              <w:left w:type="dxa" w:w="120"/>
              <w:bottom w:type="dxa" w:w="100"/>
              <w:right w:type="dxa" w:w="120"/>
            </w:tcMar>
          </w:tcPr>
          <w:p>
            <w:r>
              <w:rPr>
                <w:b w:val="false"/>
                <w:bCs w:val="false"/>
                <w:color w:val="1B2430"/>
                <w:sz w:val="20"/>
                <w:szCs w:val="20"/>
              </w:rPr>
              <w:t xml:space="preserve">tests/test_chatbot.py</w:t>
            </w:r>
          </w:p>
        </w:tc>
        <w:tc>
          <w:tcPr>
            <w:tcW w:type="dxa" w:w="6300"/>
            <w:tcMar>
              <w:top w:type="dxa" w:w="100"/>
              <w:left w:type="dxa" w:w="120"/>
              <w:bottom w:type="dxa" w:w="100"/>
              <w:right w:type="dxa" w:w="120"/>
            </w:tcMar>
          </w:tcPr>
          <w:p>
            <w:r>
              <w:rPr>
                <w:b w:val="false"/>
                <w:bCs w:val="false"/>
                <w:color w:val="1B2430"/>
                <w:sz w:val="20"/>
                <w:szCs w:val="20"/>
              </w:rPr>
              <w:t xml:space="preserve">Automated unit tests for NLP utilities and conversation flows</w:t>
            </w:r>
          </w:p>
        </w:tc>
      </w:tr>
    </w:tbl>
    <w:p>
      <w:pPr>
        <w:pStyle w:val="Heading1"/>
        <w:spacing w:after="160" w:before="320"/>
      </w:pPr>
      <w:r>
        <w:t xml:space="preserve">8. Results &amp; Evaluation</w:t>
      </w:r>
    </w:p>
    <w:p>
      <w:pPr>
        <w:spacing w:after="160" w:line="300"/>
      </w:pPr>
      <w:r>
        <w:rPr>
          <w:color w:val="1B2430"/>
          <w:sz w:val="22"/>
          <w:szCs w:val="22"/>
        </w:rPr>
        <w:t xml:space="preserve">The intent classifier was evaluated on a held-out 20% split of the training data (stratified by intent), achieving 83% accuracy across 19 intent classes despite the small, hand-curated dataset size — intents with more example patterns (greeting, order status, return policy, shipping info) reached perfect or near-perfect precision and recall. The final deployed model is retrained on the full dataset for maximum coverage. Example conversation traces (see README.md for more) confirm correct behaviour for greetings, policy questions, multi-turn order-status slot-filling, and graceful fallback on out-of-scope input.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1F6F5C" w:val="clear"/>
            <w:tcMar>
              <w:top w:type="dxa" w:w="100"/>
              <w:left w:type="dxa" w:w="120"/>
              <w:bottom w:type="dxa" w:w="100"/>
              <w:right w:type="dxa" w:w="120"/>
            </w:tcMar>
          </w:tcPr>
          <w:p>
            <w:r>
              <w:rPr>
                <w:b/>
                <w:bCs/>
                <w:color w:val="FFFFFF"/>
                <w:sz w:val="20"/>
                <w:szCs w:val="20"/>
              </w:rPr>
              <w:t xml:space="preserve">Metric</w:t>
            </w:r>
          </w:p>
        </w:tc>
        <w:tc>
          <w:tcPr>
            <w:tcW w:type="dxa" w:w="5300"/>
            <w:shd w:fill="1F6F5C" w:val="clear"/>
            <w:tcMar>
              <w:top w:type="dxa" w:w="100"/>
              <w:left w:type="dxa" w:w="120"/>
              <w:bottom w:type="dxa" w:w="100"/>
              <w:right w:type="dxa" w:w="120"/>
            </w:tcMar>
          </w:tcPr>
          <w:p>
            <w:r>
              <w:rPr>
                <w:b/>
                <w:bCs/>
                <w:color w:val="FFFFFF"/>
                <w:sz w:val="20"/>
                <w:szCs w:val="20"/>
              </w:rPr>
              <w:t xml:space="preserve">Result</w:t>
            </w:r>
          </w:p>
        </w:tc>
      </w:tr>
      <w:tr>
        <w:tc>
          <w:tcPr>
            <w:tcW w:type="dxa" w:w="4200"/>
            <w:tcMar>
              <w:top w:type="dxa" w:w="100"/>
              <w:left w:type="dxa" w:w="120"/>
              <w:bottom w:type="dxa" w:w="100"/>
              <w:right w:type="dxa" w:w="120"/>
            </w:tcMar>
          </w:tcPr>
          <w:p>
            <w:r>
              <w:rPr>
                <w:b w:val="false"/>
                <w:bCs w:val="false"/>
                <w:color w:val="1B2430"/>
                <w:sz w:val="20"/>
                <w:szCs w:val="20"/>
              </w:rPr>
              <w:t xml:space="preserve">Training examples</w:t>
            </w:r>
          </w:p>
        </w:tc>
        <w:tc>
          <w:tcPr>
            <w:tcW w:type="dxa" w:w="5300"/>
            <w:tcMar>
              <w:top w:type="dxa" w:w="100"/>
              <w:left w:type="dxa" w:w="120"/>
              <w:bottom w:type="dxa" w:w="100"/>
              <w:right w:type="dxa" w:w="120"/>
            </w:tcMar>
          </w:tcPr>
          <w:p>
            <w:r>
              <w:rPr>
                <w:b w:val="false"/>
                <w:bCs w:val="false"/>
                <w:color w:val="1B2430"/>
                <w:sz w:val="20"/>
                <w:szCs w:val="20"/>
              </w:rPr>
              <w:t xml:space="preserve">177 phrases across 19 intents</w:t>
            </w:r>
          </w:p>
        </w:tc>
      </w:tr>
      <w:tr>
        <w:tc>
          <w:tcPr>
            <w:tcW w:type="dxa" w:w="4200"/>
            <w:tcMar>
              <w:top w:type="dxa" w:w="100"/>
              <w:left w:type="dxa" w:w="120"/>
              <w:bottom w:type="dxa" w:w="100"/>
              <w:right w:type="dxa" w:w="120"/>
            </w:tcMar>
          </w:tcPr>
          <w:p>
            <w:r>
              <w:rPr>
                <w:b w:val="false"/>
                <w:bCs w:val="false"/>
                <w:color w:val="1B2430"/>
                <w:sz w:val="20"/>
                <w:szCs w:val="20"/>
              </w:rPr>
              <w:t xml:space="preserve">Held-out accuracy</w:t>
            </w:r>
          </w:p>
        </w:tc>
        <w:tc>
          <w:tcPr>
            <w:tcW w:type="dxa" w:w="5300"/>
            <w:tcMar>
              <w:top w:type="dxa" w:w="100"/>
              <w:left w:type="dxa" w:w="120"/>
              <w:bottom w:type="dxa" w:w="100"/>
              <w:right w:type="dxa" w:w="120"/>
            </w:tcMar>
          </w:tcPr>
          <w:p>
            <w:r>
              <w:rPr>
                <w:b w:val="false"/>
                <w:bCs w:val="false"/>
                <w:color w:val="1B2430"/>
                <w:sz w:val="20"/>
                <w:szCs w:val="20"/>
              </w:rPr>
              <w:t xml:space="preserve">0.83</w:t>
            </w:r>
          </w:p>
        </w:tc>
      </w:tr>
      <w:tr>
        <w:tc>
          <w:tcPr>
            <w:tcW w:type="dxa" w:w="4200"/>
            <w:tcMar>
              <w:top w:type="dxa" w:w="100"/>
              <w:left w:type="dxa" w:w="120"/>
              <w:bottom w:type="dxa" w:w="100"/>
              <w:right w:type="dxa" w:w="120"/>
            </w:tcMar>
          </w:tcPr>
          <w:p>
            <w:r>
              <w:rPr>
                <w:b w:val="false"/>
                <w:bCs w:val="false"/>
                <w:color w:val="1B2430"/>
                <w:sz w:val="20"/>
                <w:szCs w:val="20"/>
              </w:rPr>
              <w:t xml:space="preserve">Confidence threshold for fallback</w:t>
            </w:r>
          </w:p>
        </w:tc>
        <w:tc>
          <w:tcPr>
            <w:tcW w:type="dxa" w:w="5300"/>
            <w:tcMar>
              <w:top w:type="dxa" w:w="100"/>
              <w:left w:type="dxa" w:w="120"/>
              <w:bottom w:type="dxa" w:w="100"/>
              <w:right w:type="dxa" w:w="120"/>
            </w:tcMar>
          </w:tcPr>
          <w:p>
            <w:r>
              <w:rPr>
                <w:b w:val="false"/>
                <w:bCs w:val="false"/>
                <w:color w:val="1B2430"/>
                <w:sz w:val="20"/>
                <w:szCs w:val="20"/>
              </w:rPr>
              <w:t xml:space="preserve">0.35</w:t>
            </w:r>
          </w:p>
        </w:tc>
      </w:tr>
      <w:tr>
        <w:tc>
          <w:tcPr>
            <w:tcW w:type="dxa" w:w="4200"/>
            <w:tcMar>
              <w:top w:type="dxa" w:w="100"/>
              <w:left w:type="dxa" w:w="120"/>
              <w:bottom w:type="dxa" w:w="100"/>
              <w:right w:type="dxa" w:w="120"/>
            </w:tcMar>
          </w:tcPr>
          <w:p>
            <w:r>
              <w:rPr>
                <w:b w:val="false"/>
                <w:bCs w:val="false"/>
                <w:color w:val="1B2430"/>
                <w:sz w:val="20"/>
                <w:szCs w:val="20"/>
              </w:rPr>
              <w:t xml:space="preserve">Unit tests</w:t>
            </w:r>
          </w:p>
        </w:tc>
        <w:tc>
          <w:tcPr>
            <w:tcW w:type="dxa" w:w="5300"/>
            <w:tcMar>
              <w:top w:type="dxa" w:w="100"/>
              <w:left w:type="dxa" w:w="120"/>
              <w:bottom w:type="dxa" w:w="100"/>
              <w:right w:type="dxa" w:w="120"/>
            </w:tcMar>
          </w:tcPr>
          <w:p>
            <w:r>
              <w:rPr>
                <w:b w:val="false"/>
                <w:bCs w:val="false"/>
                <w:color w:val="1B2430"/>
                <w:sz w:val="20"/>
                <w:szCs w:val="20"/>
              </w:rPr>
              <w:t xml:space="preserve">15 / 15 passing</w:t>
            </w:r>
          </w:p>
        </w:tc>
      </w:tr>
    </w:tbl>
    <w:p>
      <w:pPr>
        <w:pStyle w:val="Heading1"/>
        <w:spacing w:after="160" w:before="320"/>
      </w:pPr>
      <w:r>
        <w:t xml:space="preserve">9. Testing</w:t>
      </w:r>
    </w:p>
    <w:p>
      <w:pPr>
        <w:spacing w:after="160" w:line="300"/>
      </w:pPr>
      <w:r>
        <w:rPr>
          <w:color w:val="1B2430"/>
          <w:sz w:val="22"/>
          <w:szCs w:val="22"/>
        </w:rPr>
        <w:t xml:space="preserve">An automated unittest suite (tests/test_chatbot.py) validates: text cleaning and contraction handling; stopword removal while preserving negation; order ID and email extraction across multiple formats; correct intent prediction for representative messages; the full multi-turn order-status slot-filling flow; handling of an unknown order ID; fallback behaviour on out-of-scope input; graceful handling of empty input; and session isolation between concurrent users. All 15 tests pass.</w:t>
      </w:r>
    </w:p>
    <w:p>
      <w:pPr>
        <w:pStyle w:val="Heading1"/>
        <w:spacing w:after="160" w:before="320"/>
      </w:pPr>
      <w:r>
        <w:t xml:space="preserve">10. Challenges Faced</w:t>
      </w:r>
    </w:p>
    <w:p>
      <w:pPr>
        <w:pStyle w:val="ListParagraph"/>
        <w:numPr>
          <w:ilvl w:val="0"/>
          <w:numId w:val="2"/>
        </w:numPr>
        <w:spacing w:after="80" w:line="280"/>
      </w:pPr>
      <w:r>
        <w:rPr>
          <w:color w:val="1B2430"/>
          <w:sz w:val="22"/>
          <w:szCs w:val="22"/>
        </w:rPr>
        <w:t xml:space="preserve">Small dataset size risked overfitting or poor generalization — mitigated by using TF-IDF bigrams, balanced class weights, and iteratively expanding under-represented intents.</w:t>
      </w:r>
    </w:p>
    <w:p>
      <w:pPr>
        <w:pStyle w:val="ListParagraph"/>
        <w:numPr>
          <w:ilvl w:val="0"/>
          <w:numId w:val="2"/>
        </w:numPr>
        <w:spacing w:after="80" w:line="280"/>
      </w:pPr>
      <w:r>
        <w:rPr>
          <w:color w:val="1B2430"/>
          <w:sz w:val="22"/>
          <w:szCs w:val="22"/>
        </w:rPr>
        <w:t xml:space="preserve">Purely ML-based responses can't reliably handle real data (like a specific order lookup) — solved by layering deterministic rules and slot-filling on top of the ML intent layer.</w:t>
      </w:r>
    </w:p>
    <w:p>
      <w:pPr>
        <w:pStyle w:val="ListParagraph"/>
        <w:numPr>
          <w:ilvl w:val="0"/>
          <w:numId w:val="2"/>
        </w:numPr>
        <w:spacing w:after="80" w:line="280"/>
      </w:pPr>
      <w:r>
        <w:rPr>
          <w:color w:val="1B2430"/>
          <w:sz w:val="22"/>
          <w:szCs w:val="22"/>
        </w:rPr>
        <w:t xml:space="preserve">Avoiding wrong answers on unfamiliar input — solved with a confidence threshold that routes low-confidence predictions to a fallback/clarification response instead of guessing.</w:t>
      </w:r>
    </w:p>
    <w:p>
      <w:pPr>
        <w:pStyle w:val="Heading1"/>
        <w:spacing w:after="160" w:before="320"/>
      </w:pPr>
      <w:r>
        <w:t xml:space="preserve">11. Conclusion</w:t>
      </w:r>
    </w:p>
    <w:p>
      <w:pPr>
        <w:spacing w:after="160" w:line="300"/>
      </w:pPr>
      <w:r>
        <w:rPr>
          <w:color w:val="1B2430"/>
          <w:sz w:val="22"/>
          <w:szCs w:val="22"/>
        </w:rPr>
        <w:t xml:space="preserve">This project demonstrates a complete, working customer service chatbot that blends NLP-based intent understanding with rule-based business logic, closely mirroring how such systems are built in industry. It covers the full pipeline expected of an applied AI project: data curation, preprocessing, model training and evaluation, application development (API + UI), and automated testing. The modular design (separate preprocessing, model training, chatbot engine, and web layer) makes it straightforward to extend — for example, swapping in a transformer-based classifier, connecting a real order-management backend, or adding more intents and languages.</w:t>
      </w:r>
    </w:p>
    <w:p>
      <w:pPr>
        <w:pStyle w:val="Heading1"/>
        <w:spacing w:after="160" w:before="320"/>
      </w:pPr>
      <w:r>
        <w:t xml:space="preserve">12. Future Scope</w:t>
      </w:r>
    </w:p>
    <w:p>
      <w:pPr>
        <w:pStyle w:val="ListParagraph"/>
        <w:numPr>
          <w:ilvl w:val="0"/>
          <w:numId w:val="2"/>
        </w:numPr>
        <w:spacing w:after="80" w:line="280"/>
      </w:pPr>
      <w:r>
        <w:rPr>
          <w:color w:val="1B2430"/>
          <w:sz w:val="22"/>
          <w:szCs w:val="22"/>
        </w:rPr>
        <w:t xml:space="preserve">Replace the mock order database with a real order-management / CRM API integration.</w:t>
      </w:r>
    </w:p>
    <w:p>
      <w:pPr>
        <w:pStyle w:val="ListParagraph"/>
        <w:numPr>
          <w:ilvl w:val="0"/>
          <w:numId w:val="2"/>
        </w:numPr>
        <w:spacing w:after="80" w:line="280"/>
      </w:pPr>
      <w:r>
        <w:rPr>
          <w:color w:val="1B2430"/>
          <w:sz w:val="22"/>
          <w:szCs w:val="22"/>
        </w:rPr>
        <w:t xml:space="preserve">Upgrade the intent classifier to a transformer-based model (e.g. a fine-tuned BERT variant) for higher accuracy on paraphrased or longer queries.</w:t>
      </w:r>
    </w:p>
    <w:p>
      <w:pPr>
        <w:pStyle w:val="ListParagraph"/>
        <w:numPr>
          <w:ilvl w:val="0"/>
          <w:numId w:val="2"/>
        </w:numPr>
        <w:spacing w:after="80" w:line="280"/>
      </w:pPr>
      <w:r>
        <w:rPr>
          <w:color w:val="1B2430"/>
          <w:sz w:val="22"/>
          <w:szCs w:val="22"/>
        </w:rPr>
        <w:t xml:space="preserve">Add multi-language support for a broader customer base.</w:t>
      </w:r>
    </w:p>
    <w:p>
      <w:pPr>
        <w:pStyle w:val="ListParagraph"/>
        <w:numPr>
          <w:ilvl w:val="0"/>
          <w:numId w:val="2"/>
        </w:numPr>
        <w:spacing w:after="80" w:line="280"/>
      </w:pPr>
      <w:r>
        <w:rPr>
          <w:color w:val="1B2430"/>
          <w:sz w:val="22"/>
          <w:szCs w:val="22"/>
        </w:rPr>
        <w:t xml:space="preserve">Add authentication and persistent (database-backed) session storage for production deployment.</w:t>
      </w:r>
    </w:p>
    <w:p>
      <w:pPr>
        <w:pStyle w:val="ListParagraph"/>
        <w:numPr>
          <w:ilvl w:val="0"/>
          <w:numId w:val="2"/>
        </w:numPr>
        <w:spacing w:after="80" w:line="280"/>
      </w:pPr>
      <w:r>
        <w:rPr>
          <w:color w:val="1B2430"/>
          <w:sz w:val="22"/>
          <w:szCs w:val="22"/>
        </w:rPr>
        <w:t xml:space="preserve">Build an analytics dashboard over the conversation logs to surface trending customer issues.</w:t>
      </w:r>
    </w:p>
    <w:p>
      <w:pPr>
        <w:pStyle w:val="Heading1"/>
        <w:spacing w:after="160" w:before="320"/>
      </w:pPr>
      <w:r>
        <w:t xml:space="preserve">13. References</w:t>
      </w:r>
    </w:p>
    <w:p>
      <w:pPr>
        <w:spacing w:after="160" w:line="300"/>
      </w:pPr>
      <w:r>
        <w:rPr>
          <w:color w:val="1B2430"/>
          <w:sz w:val="22"/>
          <w:szCs w:val="22"/>
        </w:rPr>
        <w:t xml:space="preserve">1. scikit-learn documentation — https://scikit-learn.org/stable/</w:t>
      </w:r>
    </w:p>
    <w:p>
      <w:pPr>
        <w:spacing w:after="160" w:line="300"/>
      </w:pPr>
      <w:r>
        <w:rPr>
          <w:color w:val="1B2430"/>
          <w:sz w:val="22"/>
          <w:szCs w:val="22"/>
        </w:rPr>
        <w:t xml:space="preserve">2. Flask documentation — https://flask.palletsprojects.com/</w:t>
      </w:r>
    </w:p>
    <w:p>
      <w:pPr>
        <w:spacing w:after="160" w:line="300"/>
      </w:pPr>
      <w:r>
        <w:rPr>
          <w:color w:val="1B2430"/>
          <w:sz w:val="22"/>
          <w:szCs w:val="22"/>
        </w:rPr>
        <w:t xml:space="preserve">3. Codec Technologies AI Internship Program guidelines.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2026-07-28T22:08:06.565Z</dcterms:created>
  <dcterms:modified xsi:type="dcterms:W3CDTF">2026-07-28T22:08:06.577Z</dcterms:modified>
</cp:coreProperties>
</file>

<file path=docProps/custom.xml><?xml version="1.0" encoding="utf-8"?>
<Properties xmlns="http://schemas.openxmlformats.org/officeDocument/2006/custom-properties" xmlns:vt="http://schemas.openxmlformats.org/officeDocument/2006/docPropsVTypes"/>
</file>