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14:paraId="6D6FC57A" w14:textId="54877E76" w:rsidR="00756E07" w:rsidRPr="008848D6" w:rsidRDefault="00F304AC" w:rsidP="00C22C69">
      <w:pPr>
        <w:pStyle w:val="Title"/>
      </w:pPr>
      <w:sdt>
        <w:sdtPr>
          <w:rPr>
            <w:lang w:val="en-IN"/>
          </w:rPr>
          <w:alias w:val="Title"/>
          <w:id w:val="1332491293"/>
          <w:dataBinding w:prefixMappings="xmlns:ns0='http://schemas.openxmlformats.org/package/2006/metadata/core-properties' xmlns:ns1='http://purl.org/dc/elements/1.1/'" w:xpath="/ns0:coreProperties[1]/ns1:title[1]" w:storeItemID="{6C3C8BC8-F283-45AE-878A-BAB7291924A1}"/>
          <w:text/>
        </w:sdtPr>
        <w:sdtEndPr/>
        <w:sdtContent>
          <w:r w:rsidR="00BC4794" w:rsidRPr="00BC4794">
            <w:rPr>
              <w:lang w:val="en-IN"/>
            </w:rPr>
            <w:t>YCompany – eClaims</w:t>
          </w:r>
        </w:sdtContent>
      </w:sdt>
    </w:p>
    <w:sdt>
      <w:sdtPr>
        <w:rPr>
          <w:rFonts w:asciiTheme="minorHAnsi" w:eastAsiaTheme="minorEastAsia" w:hAnsiTheme="minorHAnsi" w:cstheme="minorBidi"/>
          <w:spacing w:val="0"/>
          <w:kern w:val="0"/>
          <w:sz w:val="22"/>
          <w:szCs w:val="22"/>
        </w:rPr>
        <w:id w:val="1373560079"/>
        <w:docPartObj>
          <w:docPartGallery w:val="Cover Pages"/>
          <w:docPartUnique/>
        </w:docPartObj>
      </w:sdtPr>
      <w:sdtEndPr>
        <w:rPr>
          <w:b/>
          <w:bCs/>
        </w:rPr>
      </w:sdtEndPr>
      <w:sdtContent>
        <w:p w14:paraId="73F7DB3E" w14:textId="21B71038" w:rsidR="00756E07" w:rsidRPr="008848D6" w:rsidRDefault="00756E07" w:rsidP="00C22C69">
          <w:pPr>
            <w:pStyle w:val="Title"/>
            <w:rPr>
              <w:sz w:val="36"/>
              <w:szCs w:val="36"/>
            </w:rPr>
          </w:pPr>
          <w:r w:rsidRPr="008848D6">
            <w:rPr>
              <w:rStyle w:val="SubtitleChar"/>
              <w:rFonts w:asciiTheme="majorHAnsi" w:hAnsiTheme="majorHAnsi"/>
              <w:noProof/>
              <w:sz w:val="32"/>
              <w:szCs w:val="32"/>
            </w:rPr>
            <mc:AlternateContent>
              <mc:Choice Requires="wps">
                <w:drawing>
                  <wp:anchor distT="0" distB="0" distL="114300" distR="114300" simplePos="0" relativeHeight="251660288" behindDoc="0" locked="0" layoutInCell="0" allowOverlap="1" wp14:anchorId="479BBB60" wp14:editId="3C7028B8">
                    <wp:simplePos x="0" y="0"/>
                    <wp:positionH relativeFrom="page">
                      <wp:align>center</wp:align>
                    </wp:positionH>
                    <wp:positionV relativeFrom="page">
                      <wp:align>bottom</wp:align>
                    </wp:positionV>
                    <wp:extent cx="8138795" cy="807085"/>
                    <wp:effectExtent l="0" t="0" r="24765" b="15240"/>
                    <wp:wrapNone/>
                    <wp:docPr id="18" name="Rectangle 2"/>
                    <wp:cNvGraphicFramePr>
                      <a:graphicFrameLocks/>
                    </wp:cNvGraphicFramePr>
                    <a:graphic>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12C2001" id="Rectangle 2" o:spid="_x0000_s1026" style="position:absolute;margin-left:0;margin-top:0;width:640.85pt;height:63.5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" o:allowincell="f" fillcolor="#5b9bd5 [3204]" strokecolor="#2f5496 [2408]">
                    <w10:wrap anchorx="page"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3360" behindDoc="0" locked="0" layoutInCell="0" allowOverlap="1" wp14:anchorId="35D6E254" wp14:editId="0FB56EEF">
                    <wp:simplePos x="0" y="0"/>
                    <wp:positionH relativeFrom="leftMargin">
                      <wp:align>center</wp:align>
                    </wp:positionH>
                    <wp:positionV relativeFrom="page">
                      <wp:align>center</wp:align>
                    </wp:positionV>
                    <wp:extent cx="90805" cy="10539095"/>
                    <wp:effectExtent l="9525" t="5715" r="13970" b="8890"/>
                    <wp:wrapNone/>
                    <wp:docPr id="17" name="Rectangle 5"/>
                    <wp:cNvGraphicFramePr>
                      <a:graphicFrameLocks/>
                    </wp:cNvGraphicFramePr>
                    <a:graphic>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D2228B1" id="Rectangle 5" o:spid="_x0000_s1026" style="position:absolute;margin-left:0;margin-top:0;width:7.15pt;height:829.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2336" behindDoc="0" locked="0" layoutInCell="0" allowOverlap="1" wp14:anchorId="3E6D8610" wp14:editId="0ABCF958">
                    <wp:simplePos x="0" y="0"/>
                    <wp:positionH relativeFrom="rightMargin">
                      <wp:align>center</wp:align>
                    </wp:positionH>
                    <wp:positionV relativeFrom="page">
                      <wp:align>center</wp:align>
                    </wp:positionV>
                    <wp:extent cx="90805" cy="10539095"/>
                    <wp:effectExtent l="9525" t="5715" r="13970" b="8890"/>
                    <wp:wrapNone/>
                    <wp:docPr id="16" name="Rectangle 4"/>
                    <wp:cNvGraphicFramePr>
                      <a:graphicFrameLocks/>
                    </wp:cNvGraphicFramePr>
                    <a:graphic>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98A9FCE" id="Rectangle 4" o:spid="_x0000_s1026" style="position:absolute;margin-left:0;margin-top:0;width:7.15pt;height:829.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1312" behindDoc="0" locked="0" layoutInCell="0" allowOverlap="1" wp14:anchorId="0EB65D2B" wp14:editId="0520F6F1">
                    <wp:simplePos x="0" y="0"/>
                    <wp:positionH relativeFrom="page">
                      <wp:align>center</wp:align>
                    </wp:positionH>
                    <wp:positionV relativeFrom="topMargin">
                      <wp:align>top</wp:align>
                    </wp:positionV>
                    <wp:extent cx="8138795" cy="807085"/>
                    <wp:effectExtent l="0" t="0" r="24765" b="15240"/>
                    <wp:wrapNone/>
                    <wp:docPr id="14" name="Rectangle 3"/>
                    <wp:cNvGraphicFramePr>
                      <a:graphicFrameLocks/>
                    </wp:cNvGraphicFramePr>
                    <a:graphic>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2BDE170" id="Rectangle 3" o:spid="_x0000_s1026" style="position:absolute;margin-left:0;margin-top:0;width:640.85pt;height:63.5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" o:allowincell="f" fillcolor="#5b9bd5 [3204]" strokecolor="#2f5496 [2408]">
                    <w10:wrap anchorx="page" anchory="margin"/>
                  </v:rect>
                </w:pict>
              </mc:Fallback>
            </mc:AlternateContent>
          </w:r>
          <w:sdt>
            <w:sdtPr>
              <w:rPr>
                <w:sz w:val="36"/>
                <w:szCs w:val="36"/>
              </w:rPr>
              <w:alias w:val="Subtitle"/>
              <w:id w:val="14700077"/>
              <w:dataBinding w:prefixMappings="xmlns:ns0='http://schemas.openxmlformats.org/package/2006/metadata/core-properties' xmlns:ns1='http://purl.org/dc/elements/1.1/'" w:xpath="/ns0:coreProperties[1]/ns1:subject[1]" w:storeItemID="{6C3C8BC8-F283-45AE-878A-BAB7291924A1}"/>
              <w:text/>
            </w:sdtPr>
            <w:sdtEndPr/>
            <w:sdtContent>
              <w:r w:rsidR="001D6A7E">
                <w:rPr>
                  <w:sz w:val="36"/>
                  <w:szCs w:val="36"/>
                  <w:lang w:val="en-IN"/>
                </w:rPr>
                <w:t>DAR Document – Messaging, Analytics and Identity Selection</w:t>
              </w:r>
            </w:sdtContent>
          </w:sdt>
        </w:p>
        <w:p w14:paraId="06A2D888" w14:textId="77777777" w:rsidR="00756E07" w:rsidRPr="008848D6" w:rsidRDefault="00756E07" w:rsidP="00C22C69">
          <w:pPr>
            <w:pStyle w:val="NoSpacing"/>
            <w:rPr>
              <w:rFonts w:asciiTheme="majorHAnsi" w:eastAsia="Times New Roman" w:hAnsiTheme="majorHAnsi"/>
              <w:sz w:val="52"/>
              <w:szCs w:val="52"/>
            </w:rPr>
          </w:pPr>
        </w:p>
        <w:p w14:paraId="30598863" w14:textId="77777777" w:rsidR="00756E07" w:rsidRPr="008848D6" w:rsidRDefault="00756E07" w:rsidP="00C22C69">
          <w:pPr>
            <w:pStyle w:val="NoSpacing"/>
            <w:rPr>
              <w:rFonts w:asciiTheme="majorHAnsi" w:eastAsiaTheme="majorEastAsia" w:hAnsiTheme="majorHAnsi" w:cstheme="majorBidi"/>
              <w:sz w:val="36"/>
              <w:szCs w:val="36"/>
            </w:rPr>
          </w:pPr>
        </w:p>
        <w:p w14:paraId="75D21388" w14:textId="77777777" w:rsidR="00756E07" w:rsidRPr="008848D6" w:rsidRDefault="00756E07" w:rsidP="00C22C69">
          <w:pPr>
            <w:pStyle w:val="Title"/>
            <w:rPr>
              <w:sz w:val="36"/>
              <w:szCs w:val="36"/>
            </w:rPr>
          </w:pPr>
        </w:p>
        <w:p w14:paraId="174432E2" w14:textId="77777777" w:rsidR="00756E07" w:rsidRPr="008848D6" w:rsidRDefault="00756E07" w:rsidP="00C22C69">
          <w:pPr>
            <w:pStyle w:val="NoSpacing"/>
            <w:rPr>
              <w:rFonts w:asciiTheme="majorHAnsi" w:eastAsiaTheme="majorEastAsia" w:hAnsiTheme="majorHAnsi" w:cstheme="majorBidi"/>
              <w:sz w:val="36"/>
              <w:szCs w:val="36"/>
            </w:rPr>
          </w:pPr>
        </w:p>
        <w:p w14:paraId="2E60BFED" w14:textId="77777777" w:rsidR="00756E07" w:rsidRPr="008848D6" w:rsidRDefault="00756E07" w:rsidP="00C22C69">
          <w:pPr>
            <w:spacing w:line="240" w:lineRule="auto"/>
            <w:rPr>
              <w:rFonts w:asciiTheme="majorHAnsi" w:hAnsiTheme="majorHAnsi"/>
            </w:rPr>
          </w:pPr>
        </w:p>
        <w:p w14:paraId="50AFA6F0" w14:textId="77777777" w:rsidR="00756E07" w:rsidRPr="008848D6" w:rsidRDefault="00AF0091" w:rsidP="00C22C69">
          <w:pPr>
            <w:tabs>
              <w:tab w:val="left" w:pos="2544"/>
            </w:tabs>
            <w:spacing w:line="240" w:lineRule="auto"/>
            <w:rPr>
              <w:rFonts w:asciiTheme="majorHAnsi" w:hAnsiTheme="majorHAnsi"/>
            </w:rPr>
          </w:pPr>
          <w:r w:rsidRPr="008848D6">
            <w:rPr>
              <w:rFonts w:asciiTheme="majorHAnsi" w:hAnsiTheme="majorHAnsi"/>
            </w:rPr>
            <w:tab/>
          </w:r>
        </w:p>
        <w:p w14:paraId="7DA415BB" w14:textId="77777777" w:rsidR="00756E07" w:rsidRPr="008848D6" w:rsidRDefault="00756E07" w:rsidP="00C22C69">
          <w:pPr>
            <w:spacing w:line="240" w:lineRule="auto"/>
            <w:rPr>
              <w:rFonts w:asciiTheme="majorHAnsi" w:hAnsiTheme="majorHAnsi"/>
            </w:rPr>
          </w:pPr>
        </w:p>
        <w:p w14:paraId="1AE2B141" w14:textId="77777777" w:rsidR="00756E07" w:rsidRPr="008848D6" w:rsidRDefault="00756E07" w:rsidP="00C22C69">
          <w:pPr>
            <w:spacing w:line="240" w:lineRule="auto"/>
            <w:rPr>
              <w:rFonts w:asciiTheme="majorHAnsi" w:hAnsiTheme="majorHAnsi"/>
            </w:rPr>
          </w:pPr>
        </w:p>
        <w:p w14:paraId="05B6CA15" w14:textId="77777777" w:rsidR="00756E07" w:rsidRPr="008848D6" w:rsidRDefault="00756E07" w:rsidP="00C22C69">
          <w:pPr>
            <w:spacing w:line="240" w:lineRule="auto"/>
            <w:rPr>
              <w:rFonts w:asciiTheme="majorHAnsi" w:hAnsiTheme="majorHAnsi"/>
            </w:rPr>
          </w:pPr>
        </w:p>
        <w:p w14:paraId="50733556" w14:textId="77777777" w:rsidR="00756E07" w:rsidRPr="008848D6" w:rsidRDefault="00756E07" w:rsidP="00C22C69">
          <w:pPr>
            <w:spacing w:line="240" w:lineRule="auto"/>
            <w:rPr>
              <w:rFonts w:asciiTheme="majorHAnsi" w:hAnsiTheme="majorHAnsi"/>
            </w:rPr>
          </w:pPr>
        </w:p>
        <w:p w14:paraId="6ED1F670" w14:textId="77777777" w:rsidR="00756E07" w:rsidRPr="008848D6" w:rsidRDefault="00756E07" w:rsidP="00C22C69">
          <w:pPr>
            <w:spacing w:line="240" w:lineRule="auto"/>
            <w:rPr>
              <w:rFonts w:asciiTheme="majorHAnsi" w:hAnsiTheme="majorHAnsi"/>
            </w:rPr>
          </w:pPr>
        </w:p>
        <w:p w14:paraId="07E80A7F" w14:textId="77777777" w:rsidR="00756E07" w:rsidRPr="008848D6" w:rsidRDefault="00756E07" w:rsidP="00C22C69">
          <w:pPr>
            <w:spacing w:line="240" w:lineRule="auto"/>
            <w:rPr>
              <w:rFonts w:asciiTheme="majorHAnsi" w:hAnsiTheme="majorHAnsi"/>
            </w:rPr>
          </w:pPr>
        </w:p>
        <w:p w14:paraId="6BE75B83" w14:textId="77777777" w:rsidR="00756E07" w:rsidRPr="008848D6" w:rsidRDefault="00756E07" w:rsidP="00C22C69">
          <w:pPr>
            <w:spacing w:line="240" w:lineRule="auto"/>
            <w:rPr>
              <w:rFonts w:asciiTheme="majorHAnsi" w:hAnsiTheme="majorHAnsi"/>
            </w:rPr>
          </w:pPr>
        </w:p>
        <w:p w14:paraId="25AEA554" w14:textId="77777777" w:rsidR="00756E07" w:rsidRPr="008848D6" w:rsidRDefault="00756E07" w:rsidP="00C22C69">
          <w:pPr>
            <w:spacing w:line="240" w:lineRule="auto"/>
            <w:rPr>
              <w:rFonts w:asciiTheme="majorHAnsi" w:hAnsiTheme="majorHAnsi"/>
            </w:rPr>
          </w:pPr>
        </w:p>
        <w:p w14:paraId="3809615B" w14:textId="77777777" w:rsidR="00756E07" w:rsidRPr="008848D6" w:rsidRDefault="00756E07" w:rsidP="00C22C69">
          <w:pPr>
            <w:spacing w:line="240" w:lineRule="auto"/>
            <w:rPr>
              <w:rFonts w:asciiTheme="majorHAnsi" w:hAnsiTheme="majorHAnsi"/>
            </w:rPr>
          </w:pPr>
        </w:p>
        <w:p w14:paraId="5AE8B1BB" w14:textId="77777777" w:rsidR="00756E07" w:rsidRPr="008848D6" w:rsidRDefault="00756E07" w:rsidP="00C22C69">
          <w:pPr>
            <w:spacing w:line="240" w:lineRule="auto"/>
            <w:rPr>
              <w:rFonts w:asciiTheme="majorHAnsi" w:hAnsiTheme="majorHAnsi"/>
            </w:rPr>
          </w:pPr>
        </w:p>
        <w:p w14:paraId="2BF72C53" w14:textId="77777777" w:rsidR="00756E07" w:rsidRPr="008848D6" w:rsidRDefault="00756E07" w:rsidP="00C22C69">
          <w:pPr>
            <w:spacing w:line="240" w:lineRule="auto"/>
            <w:rPr>
              <w:rFonts w:asciiTheme="majorHAnsi" w:hAnsiTheme="majorHAnsi"/>
            </w:rPr>
          </w:pPr>
        </w:p>
        <w:p w14:paraId="446C3A61" w14:textId="77777777" w:rsidR="00756E07" w:rsidRPr="008848D6" w:rsidRDefault="00756E07" w:rsidP="00C22C69">
          <w:pPr>
            <w:spacing w:line="240" w:lineRule="auto"/>
            <w:rPr>
              <w:rFonts w:asciiTheme="majorHAnsi" w:hAnsiTheme="majorHAnsi"/>
            </w:rPr>
          </w:pPr>
        </w:p>
        <w:p w14:paraId="070866FF" w14:textId="581FB006" w:rsidR="00756E07" w:rsidRPr="008848D6" w:rsidRDefault="00756E07" w:rsidP="00C22C69">
          <w:pPr>
            <w:spacing w:line="240" w:lineRule="auto"/>
            <w:rPr>
              <w:rFonts w:asciiTheme="majorHAnsi" w:hAnsiTheme="majorHAnsi"/>
            </w:rPr>
          </w:pPr>
        </w:p>
        <w:p w14:paraId="6863EA40" w14:textId="77777777" w:rsidR="00756E07" w:rsidRPr="008848D6" w:rsidRDefault="00756E07" w:rsidP="00C22C69">
          <w:pPr>
            <w:spacing w:line="240" w:lineRule="auto"/>
            <w:rPr>
              <w:rFonts w:asciiTheme="majorHAnsi" w:hAnsiTheme="majorHAnsi"/>
            </w:rPr>
          </w:pPr>
        </w:p>
        <w:p w14:paraId="5C1E7A22" w14:textId="77777777" w:rsidR="00756E07" w:rsidRPr="008848D6" w:rsidRDefault="00756E07" w:rsidP="00C22C69">
          <w:pPr>
            <w:spacing w:line="240" w:lineRule="auto"/>
            <w:rPr>
              <w:rFonts w:asciiTheme="majorHAnsi" w:hAnsiTheme="majorHAnsi"/>
            </w:rPr>
          </w:pPr>
        </w:p>
        <w:p w14:paraId="18403EE0" w14:textId="77777777" w:rsidR="00756E07" w:rsidRPr="008848D6" w:rsidRDefault="00756E07" w:rsidP="00C22C69">
          <w:pPr>
            <w:spacing w:line="240" w:lineRule="auto"/>
            <w:rPr>
              <w:rFonts w:asciiTheme="majorHAnsi" w:hAnsiTheme="majorHAnsi"/>
            </w:rPr>
          </w:pPr>
        </w:p>
        <w:sdt>
          <w:sdtPr>
            <w:rPr>
              <w:rFonts w:asciiTheme="majorHAnsi" w:hAnsiTheme="majorHAnsi" w:cs="Times New Roman"/>
            </w:rPr>
            <w:alias w:val="Company"/>
            <w:id w:val="14700089"/>
            <w:dataBinding w:prefixMappings="xmlns:ns0='http://schemas.openxmlformats.org/officeDocument/2006/extended-properties'" w:xpath="/ns0:Properties[1]/ns0:Company[1]" w:storeItemID="{6668398D-A668-4E3E-A5EB-62B293D839F1}"/>
            <w:text/>
          </w:sdtPr>
          <w:sdtEndPr/>
          <w:sdtContent>
            <w:p w14:paraId="73B8C6A7" w14:textId="77777777" w:rsidR="00756E07" w:rsidRPr="008848D6" w:rsidRDefault="00901988" w:rsidP="00C22C69">
              <w:pPr>
                <w:pStyle w:val="NoSpacing"/>
                <w:rPr>
                  <w:rFonts w:asciiTheme="majorHAnsi" w:hAnsiTheme="majorHAnsi"/>
                </w:rPr>
              </w:pPr>
              <w:r w:rsidRPr="008848D6">
                <w:rPr>
                  <w:rFonts w:asciiTheme="majorHAnsi" w:hAnsiTheme="majorHAnsi" w:cs="Times New Roman"/>
                </w:rPr>
                <w:t>Nagarro Software Pvt. Ltd.</w:t>
              </w:r>
            </w:p>
          </w:sdtContent>
        </w:sdt>
        <w:sdt>
          <w:sdtPr>
            <w:rPr>
              <w:rFonts w:asciiTheme="majorHAnsi" w:hAnsiTheme="majorHAnsi"/>
            </w:rPr>
            <w:alias w:val="Author"/>
            <w:id w:val="-2097089043"/>
            <w:dataBinding w:prefixMappings="xmlns:ns0='http://schemas.openxmlformats.org/package/2006/metadata/core-properties' xmlns:ns1='http://purl.org/dc/elements/1.1/'" w:xpath="/ns0:coreProperties[1]/ns1:creator[1]" w:storeItemID="{6C3C8BC8-F283-45AE-878A-BAB7291924A1}"/>
            <w:text/>
          </w:sdtPr>
          <w:sdtEndPr/>
          <w:sdtContent>
            <w:p w14:paraId="12A9E61D" w14:textId="7F0843D1" w:rsidR="00756E07" w:rsidRPr="008848D6" w:rsidRDefault="00617867" w:rsidP="00C22C69">
              <w:pPr>
                <w:pStyle w:val="NoSpacing"/>
                <w:rPr>
                  <w:rFonts w:asciiTheme="majorHAnsi" w:hAnsiTheme="majorHAnsi"/>
                  <w:b/>
                  <w:bCs/>
                </w:rPr>
              </w:pPr>
              <w:r>
                <w:rPr>
                  <w:rFonts w:asciiTheme="majorHAnsi" w:hAnsiTheme="majorHAnsi"/>
                </w:rPr>
                <w:t>Utsav Verma</w:t>
              </w:r>
            </w:p>
          </w:sdtContent>
        </w:sdt>
      </w:sdtContent>
    </w:sdt>
    <w:p w14:paraId="1AED9A50" w14:textId="77777777" w:rsidR="00756E07" w:rsidRPr="008848D6" w:rsidRDefault="00756E07" w:rsidP="00C22C69">
      <w:pPr>
        <w:spacing w:line="240" w:lineRule="auto"/>
        <w:rPr>
          <w:rFonts w:asciiTheme="majorHAnsi" w:hAnsiTheme="majorHAnsi"/>
          <w:b/>
          <w:bCs/>
        </w:rPr>
      </w:pPr>
      <w:r w:rsidRPr="008848D6">
        <w:rPr>
          <w:rFonts w:asciiTheme="majorHAnsi" w:hAnsiTheme="majorHAnsi"/>
          <w:b/>
          <w:bCs/>
        </w:rPr>
        <w:br w:type="page"/>
      </w:r>
    </w:p>
    <w:p w14:paraId="2845B63F" w14:textId="77777777" w:rsidR="00756E07" w:rsidRPr="008848D6" w:rsidRDefault="00756E07" w:rsidP="00C22C69">
      <w:pPr>
        <w:pStyle w:val="NoSpacing"/>
        <w:rPr>
          <w:rFonts w:asciiTheme="majorHAnsi" w:hAnsiTheme="majorHAnsi"/>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76"/>
        <w:gridCol w:w="1648"/>
        <w:gridCol w:w="2295"/>
        <w:gridCol w:w="3897"/>
      </w:tblGrid>
      <w:tr w:rsidR="00756E07" w:rsidRPr="008848D6" w14:paraId="1ECDD679" w14:textId="77777777" w:rsidTr="00756E07">
        <w:tc>
          <w:tcPr>
            <w:tcW w:w="9016" w:type="dxa"/>
            <w:gridSpan w:val="4"/>
            <w:tcBorders>
              <w:top w:val="dotted" w:sz="4" w:space="0" w:color="auto"/>
              <w:left w:val="dotted" w:sz="4" w:space="0" w:color="auto"/>
              <w:bottom w:val="dotted" w:sz="4" w:space="0" w:color="auto"/>
              <w:right w:val="dotted" w:sz="4" w:space="0" w:color="auto"/>
            </w:tcBorders>
            <w:hideMark/>
          </w:tcPr>
          <w:p w14:paraId="156D57CB" w14:textId="77777777" w:rsidR="00756E07" w:rsidRPr="008848D6" w:rsidRDefault="00756E07" w:rsidP="00C22C69">
            <w:pPr>
              <w:pStyle w:val="NoSpacing"/>
              <w:rPr>
                <w:rFonts w:asciiTheme="majorHAnsi" w:hAnsiTheme="majorHAnsi"/>
                <w:b/>
              </w:rPr>
            </w:pPr>
            <w:r w:rsidRPr="008848D6">
              <w:rPr>
                <w:rFonts w:asciiTheme="majorHAnsi" w:hAnsiTheme="majorHAnsi"/>
                <w:b/>
              </w:rPr>
              <w:t>Revision History</w:t>
            </w:r>
          </w:p>
        </w:tc>
      </w:tr>
      <w:tr w:rsidR="00756E07" w:rsidRPr="008848D6" w14:paraId="20E9BF81" w14:textId="77777777" w:rsidTr="00756E07">
        <w:tc>
          <w:tcPr>
            <w:tcW w:w="1176"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9A99D9F" w14:textId="77777777" w:rsidR="00756E07" w:rsidRPr="008848D6" w:rsidRDefault="00756E07" w:rsidP="00C22C69">
            <w:pPr>
              <w:pStyle w:val="NoSpacing"/>
              <w:rPr>
                <w:rFonts w:asciiTheme="majorHAnsi" w:hAnsiTheme="majorHAnsi"/>
              </w:rPr>
            </w:pPr>
            <w:r w:rsidRPr="008848D6">
              <w:rPr>
                <w:rFonts w:asciiTheme="majorHAnsi" w:hAnsiTheme="majorHAnsi"/>
              </w:rPr>
              <w:t>Version</w:t>
            </w:r>
          </w:p>
        </w:tc>
        <w:tc>
          <w:tcPr>
            <w:tcW w:w="1648"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B10C968" w14:textId="77777777" w:rsidR="00756E07" w:rsidRPr="008848D6" w:rsidRDefault="00756E07" w:rsidP="00C22C69">
            <w:pPr>
              <w:pStyle w:val="NoSpacing"/>
              <w:rPr>
                <w:rFonts w:asciiTheme="majorHAnsi" w:hAnsiTheme="majorHAnsi"/>
              </w:rPr>
            </w:pPr>
            <w:r w:rsidRPr="008848D6">
              <w:rPr>
                <w:rFonts w:asciiTheme="majorHAnsi" w:hAnsiTheme="majorHAnsi"/>
              </w:rPr>
              <w:t>Date</w:t>
            </w:r>
          </w:p>
        </w:tc>
        <w:tc>
          <w:tcPr>
            <w:tcW w:w="2295"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2E0B8328" w14:textId="77777777" w:rsidR="00756E07" w:rsidRPr="008848D6" w:rsidRDefault="00756E07" w:rsidP="00C22C69">
            <w:pPr>
              <w:pStyle w:val="NoSpacing"/>
              <w:rPr>
                <w:rFonts w:asciiTheme="majorHAnsi" w:hAnsiTheme="majorHAnsi"/>
              </w:rPr>
            </w:pPr>
            <w:r w:rsidRPr="008848D6">
              <w:rPr>
                <w:rFonts w:asciiTheme="majorHAnsi" w:hAnsiTheme="majorHAnsi"/>
              </w:rPr>
              <w:t>Author/Contributor</w:t>
            </w:r>
          </w:p>
        </w:tc>
        <w:tc>
          <w:tcPr>
            <w:tcW w:w="3897"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0AB37059" w14:textId="77777777" w:rsidR="00756E07" w:rsidRPr="008848D6" w:rsidRDefault="00756E07" w:rsidP="00C22C69">
            <w:pPr>
              <w:pStyle w:val="NoSpacing"/>
              <w:rPr>
                <w:rFonts w:asciiTheme="majorHAnsi" w:hAnsiTheme="majorHAnsi"/>
              </w:rPr>
            </w:pPr>
            <w:r w:rsidRPr="008848D6">
              <w:rPr>
                <w:rFonts w:asciiTheme="majorHAnsi" w:hAnsiTheme="majorHAnsi"/>
              </w:rPr>
              <w:t>Comments</w:t>
            </w:r>
          </w:p>
        </w:tc>
      </w:tr>
      <w:tr w:rsidR="00756E07" w:rsidRPr="008848D6" w14:paraId="523EDA88" w14:textId="77777777" w:rsidTr="00200904">
        <w:tc>
          <w:tcPr>
            <w:tcW w:w="1176" w:type="dxa"/>
            <w:tcBorders>
              <w:top w:val="dotted" w:sz="4" w:space="0" w:color="auto"/>
              <w:left w:val="dotted" w:sz="4" w:space="0" w:color="auto"/>
              <w:bottom w:val="dotted" w:sz="4" w:space="0" w:color="auto"/>
              <w:right w:val="dotted" w:sz="4" w:space="0" w:color="auto"/>
            </w:tcBorders>
          </w:tcPr>
          <w:p w14:paraId="4264820B" w14:textId="63C2F9EE" w:rsidR="00756E07" w:rsidRPr="008848D6" w:rsidRDefault="001869CB" w:rsidP="00C22C69">
            <w:pPr>
              <w:pStyle w:val="NoSpacing"/>
              <w:rPr>
                <w:rFonts w:asciiTheme="majorHAnsi" w:hAnsiTheme="majorHAnsi"/>
              </w:rPr>
            </w:pPr>
            <w:r>
              <w:rPr>
                <w:rFonts w:asciiTheme="majorHAnsi" w:hAnsiTheme="majorHAnsi"/>
              </w:rPr>
              <w:t>1.0</w:t>
            </w:r>
          </w:p>
        </w:tc>
        <w:tc>
          <w:tcPr>
            <w:tcW w:w="1648" w:type="dxa"/>
            <w:tcBorders>
              <w:top w:val="dotted" w:sz="4" w:space="0" w:color="auto"/>
              <w:left w:val="dotted" w:sz="4" w:space="0" w:color="auto"/>
              <w:bottom w:val="dotted" w:sz="4" w:space="0" w:color="auto"/>
              <w:right w:val="dotted" w:sz="4" w:space="0" w:color="auto"/>
            </w:tcBorders>
          </w:tcPr>
          <w:p w14:paraId="24DDB318" w14:textId="7947DA8D" w:rsidR="00756E07" w:rsidRPr="008848D6" w:rsidRDefault="001869CB" w:rsidP="00C22C69">
            <w:pPr>
              <w:pStyle w:val="NoSpacing"/>
              <w:rPr>
                <w:rFonts w:asciiTheme="majorHAnsi" w:hAnsiTheme="majorHAnsi"/>
              </w:rPr>
            </w:pPr>
            <w:r>
              <w:rPr>
                <w:rFonts w:asciiTheme="majorHAnsi" w:hAnsiTheme="majorHAnsi"/>
              </w:rPr>
              <w:t>30-10-2026</w:t>
            </w:r>
          </w:p>
        </w:tc>
        <w:tc>
          <w:tcPr>
            <w:tcW w:w="2295" w:type="dxa"/>
            <w:tcBorders>
              <w:top w:val="dotted" w:sz="4" w:space="0" w:color="auto"/>
              <w:left w:val="dotted" w:sz="4" w:space="0" w:color="auto"/>
              <w:bottom w:val="dotted" w:sz="4" w:space="0" w:color="auto"/>
              <w:right w:val="dotted" w:sz="4" w:space="0" w:color="auto"/>
            </w:tcBorders>
          </w:tcPr>
          <w:p w14:paraId="682C640D" w14:textId="653B924F" w:rsidR="00756E07" w:rsidRPr="008848D6" w:rsidRDefault="001869CB" w:rsidP="00C22C69">
            <w:pPr>
              <w:pStyle w:val="NoSpacing"/>
              <w:rPr>
                <w:rFonts w:asciiTheme="majorHAnsi" w:hAnsiTheme="majorHAnsi"/>
              </w:rPr>
            </w:pPr>
            <w:r>
              <w:rPr>
                <w:rFonts w:asciiTheme="majorHAnsi" w:hAnsiTheme="majorHAnsi"/>
              </w:rPr>
              <w:t>Utsav Verma</w:t>
            </w:r>
          </w:p>
        </w:tc>
        <w:tc>
          <w:tcPr>
            <w:tcW w:w="3897" w:type="dxa"/>
            <w:tcBorders>
              <w:top w:val="dotted" w:sz="4" w:space="0" w:color="auto"/>
              <w:left w:val="dotted" w:sz="4" w:space="0" w:color="auto"/>
              <w:bottom w:val="dotted" w:sz="4" w:space="0" w:color="auto"/>
              <w:right w:val="dotted" w:sz="4" w:space="0" w:color="auto"/>
            </w:tcBorders>
          </w:tcPr>
          <w:p w14:paraId="0A0739BE" w14:textId="33C237EA" w:rsidR="00756E07" w:rsidRPr="008848D6" w:rsidRDefault="001869CB" w:rsidP="00CB78C5">
            <w:pPr>
              <w:pStyle w:val="NoSpacing"/>
              <w:rPr>
                <w:rFonts w:asciiTheme="majorHAnsi" w:hAnsiTheme="majorHAnsi"/>
              </w:rPr>
            </w:pPr>
            <w:r>
              <w:rPr>
                <w:rFonts w:asciiTheme="majorHAnsi" w:hAnsiTheme="majorHAnsi"/>
              </w:rPr>
              <w:t>Issued for review: messaging backbone, analytics store and identity platform compared against the case study and SAD v1.8; prices for US East (N. Virginia); sensitivity of each result</w:t>
            </w:r>
          </w:p>
        </w:tc>
      </w:tr>
      <w:tr w:rsidR="00756E07" w:rsidRPr="008848D6" w14:paraId="7FE85FBB" w14:textId="77777777" w:rsidTr="00200904">
        <w:tc>
          <w:tcPr>
            <w:tcW w:w="1176" w:type="dxa"/>
            <w:tcBorders>
              <w:top w:val="dotted" w:sz="4" w:space="0" w:color="auto"/>
              <w:left w:val="dotted" w:sz="4" w:space="0" w:color="auto"/>
              <w:bottom w:val="dotted" w:sz="4" w:space="0" w:color="auto"/>
              <w:right w:val="dotted" w:sz="4" w:space="0" w:color="auto"/>
            </w:tcBorders>
          </w:tcPr>
          <w:p w14:paraId="33D1D0AD" w14:textId="63C2F9EE" w:rsidR="00756E07" w:rsidRPr="008848D6" w:rsidRDefault="001869CB" w:rsidP="00C22C69">
            <w:pPr>
              <w:pStyle w:val="NoSpacing"/>
              <w:rPr>
                <w:rFonts w:asciiTheme="majorHAnsi" w:hAnsiTheme="majorHAnsi"/>
              </w:rPr>
            </w:pPr>
            <w:r>
              <w:rPr>
                <w:rFonts w:asciiTheme="majorHAnsi" w:hAnsiTheme="majorHAnsi"/>
              </w:rPr>
              <w:t>1.1</w:t>
            </w:r>
          </w:p>
        </w:tc>
        <w:tc>
          <w:tcPr>
            <w:tcW w:w="1648" w:type="dxa"/>
            <w:tcBorders>
              <w:top w:val="dotted" w:sz="4" w:space="0" w:color="auto"/>
              <w:left w:val="dotted" w:sz="4" w:space="0" w:color="auto"/>
              <w:bottom w:val="dotted" w:sz="4" w:space="0" w:color="auto"/>
              <w:right w:val="dotted" w:sz="4" w:space="0" w:color="auto"/>
            </w:tcBorders>
          </w:tcPr>
          <w:p w14:paraId="505B0E87" w14:textId="7947DA8D" w:rsidR="00756E07" w:rsidRPr="008848D6" w:rsidRDefault="001869CB" w:rsidP="00C22C69">
            <w:pPr>
              <w:pStyle w:val="NoSpacing"/>
              <w:rPr>
                <w:rFonts w:asciiTheme="majorHAnsi" w:hAnsiTheme="majorHAnsi"/>
              </w:rPr>
            </w:pPr>
            <w:r>
              <w:rPr>
                <w:rFonts w:asciiTheme="majorHAnsi" w:hAnsiTheme="majorHAnsi"/>
              </w:rPr>
              <w:t>30-10-2026</w:t>
            </w:r>
          </w:p>
        </w:tc>
        <w:tc>
          <w:tcPr>
            <w:tcW w:w="2295" w:type="dxa"/>
            <w:tcBorders>
              <w:top w:val="dotted" w:sz="4" w:space="0" w:color="auto"/>
              <w:left w:val="dotted" w:sz="4" w:space="0" w:color="auto"/>
              <w:bottom w:val="dotted" w:sz="4" w:space="0" w:color="auto"/>
              <w:right w:val="dotted" w:sz="4" w:space="0" w:color="auto"/>
            </w:tcBorders>
          </w:tcPr>
          <w:p w14:paraId="74150C8E" w14:textId="653B924F" w:rsidR="00756E07" w:rsidRPr="008848D6" w:rsidRDefault="001869CB" w:rsidP="00C22C69">
            <w:pPr>
              <w:pStyle w:val="NoSpacing"/>
              <w:rPr>
                <w:rFonts w:asciiTheme="majorHAnsi" w:hAnsiTheme="majorHAnsi"/>
              </w:rPr>
            </w:pPr>
            <w:r>
              <w:rPr>
                <w:rFonts w:asciiTheme="majorHAnsi" w:hAnsiTheme="majorHAnsi"/>
              </w:rPr>
              <w:t>Utsav Verma</w:t>
            </w:r>
          </w:p>
        </w:tc>
        <w:tc>
          <w:tcPr>
            <w:tcW w:w="3897" w:type="dxa"/>
            <w:tcBorders>
              <w:top w:val="dotted" w:sz="4" w:space="0" w:color="auto"/>
              <w:left w:val="dotted" w:sz="4" w:space="0" w:color="auto"/>
              <w:bottom w:val="dotted" w:sz="4" w:space="0" w:color="auto"/>
              <w:right w:val="dotted" w:sz="4" w:space="0" w:color="auto"/>
            </w:tcBorders>
          </w:tcPr>
          <w:p w14:paraId="138C171B" w14:textId="33C237EA" w:rsidR="00756E07" w:rsidRPr="008848D6" w:rsidRDefault="001869CB" w:rsidP="00CB78C5">
            <w:pPr>
              <w:pStyle w:val="NoSpacing"/>
              <w:rPr>
                <w:rFonts w:asciiTheme="majorHAnsi" w:hAnsiTheme="majorHAnsi"/>
              </w:rPr>
            </w:pPr>
            <w:r>
              <w:rPr>
                <w:rFonts w:asciiTheme="majorHAnsi" w:hAnsiTheme="majorHAnsi"/>
              </w:rPr>
              <w:t>Aligned with SAD v2.0: zero-ETL from two of the four database instance groups; registered SMS sender numbers and opt-in; staff sessions on managed devices and the corporate-only Internal Portal; SAD reference updated to v2.0</w:t>
            </w:r>
          </w:p>
        </w:tc>
      </w:tr>
      <w:tr w:rsidR="00756E07" w:rsidRPr="008848D6" w14:paraId="1D7DEFA9" w14:textId="77777777" w:rsidTr="00756E07">
        <w:tc>
          <w:tcPr>
            <w:tcW w:w="1176" w:type="dxa"/>
            <w:tcBorders>
              <w:top w:val="dotted" w:sz="4" w:space="0" w:color="auto"/>
              <w:left w:val="dotted" w:sz="4" w:space="0" w:color="auto"/>
              <w:bottom w:val="dotted" w:sz="4" w:space="0" w:color="auto"/>
              <w:right w:val="dotted" w:sz="4" w:space="0" w:color="auto"/>
            </w:tcBorders>
          </w:tcPr>
          <w:p w14:paraId="32E0D77A" w14:textId="77777777" w:rsidR="00756E07" w:rsidRPr="008848D6" w:rsidRDefault="00756E07" w:rsidP="00C22C69">
            <w:pPr>
              <w:pStyle w:val="NoSpacing"/>
              <w:rPr>
                <w:rFonts w:asciiTheme="majorHAnsi" w:hAnsiTheme="majorHAnsi"/>
              </w:rPr>
            </w:pPr>
            <w:r>
              <w:rPr>
                <w:rFonts w:asciiTheme="majorHAnsi" w:hAnsiTheme="majorHAnsi"/>
              </w:rPr>
              <w:t/>
            </w:r>
          </w:p>
        </w:tc>
        <w:tc>
          <w:tcPr>
            <w:tcW w:w="1648" w:type="dxa"/>
            <w:tcBorders>
              <w:top w:val="dotted" w:sz="4" w:space="0" w:color="auto"/>
              <w:left w:val="dotted" w:sz="4" w:space="0" w:color="auto"/>
              <w:bottom w:val="dotted" w:sz="4" w:space="0" w:color="auto"/>
              <w:right w:val="dotted" w:sz="4" w:space="0" w:color="auto"/>
            </w:tcBorders>
          </w:tcPr>
          <w:p w14:paraId="183DFCDE" w14:textId="77777777" w:rsidR="00756E07" w:rsidRPr="008848D6" w:rsidRDefault="00756E07" w:rsidP="00CB78C5">
            <w:pPr>
              <w:pStyle w:val="NoSpacing"/>
              <w:rPr>
                <w:rFonts w:asciiTheme="majorHAnsi" w:hAnsiTheme="majorHAnsi"/>
              </w:rPr>
            </w:pPr>
            <w:r>
              <w:rPr>
                <w:rFonts w:asciiTheme="majorHAnsi" w:hAnsiTheme="majorHAnsi"/>
              </w:rPr>
              <w:t/>
            </w:r>
          </w:p>
        </w:tc>
        <w:tc>
          <w:tcPr>
            <w:tcW w:w="2295" w:type="dxa"/>
            <w:tcBorders>
              <w:top w:val="dotted" w:sz="4" w:space="0" w:color="auto"/>
              <w:left w:val="dotted" w:sz="4" w:space="0" w:color="auto"/>
              <w:bottom w:val="dotted" w:sz="4" w:space="0" w:color="auto"/>
              <w:right w:val="dotted" w:sz="4" w:space="0" w:color="auto"/>
            </w:tcBorders>
          </w:tcPr>
          <w:p w14:paraId="6351DBB0" w14:textId="77777777" w:rsidR="00756E07" w:rsidRPr="008848D6" w:rsidRDefault="00756E07" w:rsidP="0041450E">
            <w:pPr>
              <w:pStyle w:val="NoSpacing"/>
              <w:rPr>
                <w:rFonts w:asciiTheme="majorHAnsi" w:hAnsiTheme="majorHAnsi"/>
              </w:rPr>
            </w:pPr>
            <w:r>
              <w:rPr>
                <w:rFonts w:asciiTheme="majorHAnsi" w:hAnsiTheme="majorHAnsi"/>
              </w:rPr>
              <w:t/>
            </w:r>
          </w:p>
        </w:tc>
        <w:tc>
          <w:tcPr>
            <w:tcW w:w="3897" w:type="dxa"/>
            <w:tcBorders>
              <w:top w:val="dotted" w:sz="4" w:space="0" w:color="auto"/>
              <w:left w:val="dotted" w:sz="4" w:space="0" w:color="auto"/>
              <w:bottom w:val="dotted" w:sz="4" w:space="0" w:color="auto"/>
              <w:right w:val="dotted" w:sz="4" w:space="0" w:color="auto"/>
            </w:tcBorders>
          </w:tcPr>
          <w:p w14:paraId="6CC60448" w14:textId="77777777" w:rsidR="00756E07" w:rsidRPr="008848D6" w:rsidRDefault="00756E07" w:rsidP="0041450E">
            <w:pPr>
              <w:pStyle w:val="NoSpacing"/>
              <w:rPr>
                <w:rFonts w:asciiTheme="majorHAnsi" w:hAnsiTheme="majorHAnsi"/>
              </w:rPr>
            </w:pPr>
            <w:r>
              <w:rPr>
                <w:rFonts w:asciiTheme="majorHAnsi" w:hAnsiTheme="majorHAnsi"/>
              </w:rPr>
              <w:t/>
            </w:r>
          </w:p>
        </w:tc>
      </w:tr>
      <w:tr w:rsidR="00756E07" w:rsidRPr="008848D6" w14:paraId="220DBCB3" w14:textId="77777777" w:rsidTr="00756E07">
        <w:tc>
          <w:tcPr>
            <w:tcW w:w="1176" w:type="dxa"/>
            <w:tcBorders>
              <w:top w:val="dotted" w:sz="4" w:space="0" w:color="auto"/>
              <w:left w:val="dotted" w:sz="4" w:space="0" w:color="auto"/>
              <w:bottom w:val="dotted" w:sz="4" w:space="0" w:color="auto"/>
              <w:right w:val="dotted" w:sz="4" w:space="0" w:color="auto"/>
            </w:tcBorders>
          </w:tcPr>
          <w:p w14:paraId="6A43F505" w14:textId="77777777" w:rsidR="00756E07" w:rsidRPr="008848D6" w:rsidRDefault="00756E07" w:rsidP="00C22C69">
            <w:pPr>
              <w:pStyle w:val="NoSpacing"/>
              <w:rPr>
                <w:rFonts w:asciiTheme="majorHAnsi" w:hAnsiTheme="majorHAnsi"/>
              </w:rPr>
            </w:pPr>
            <w:r>
              <w:rPr>
                <w:rFonts w:asciiTheme="majorHAnsi" w:hAnsiTheme="majorHAnsi"/>
              </w:rPr>
              <w:t/>
            </w:r>
          </w:p>
        </w:tc>
        <w:tc>
          <w:tcPr>
            <w:tcW w:w="1648" w:type="dxa"/>
            <w:tcBorders>
              <w:top w:val="dotted" w:sz="4" w:space="0" w:color="auto"/>
              <w:left w:val="dotted" w:sz="4" w:space="0" w:color="auto"/>
              <w:bottom w:val="dotted" w:sz="4" w:space="0" w:color="auto"/>
              <w:right w:val="dotted" w:sz="4" w:space="0" w:color="auto"/>
            </w:tcBorders>
          </w:tcPr>
          <w:p w14:paraId="6AEF847D" w14:textId="77777777" w:rsidR="00756E07" w:rsidRPr="008848D6" w:rsidRDefault="00756E07" w:rsidP="00CB78C5">
            <w:pPr>
              <w:pStyle w:val="NoSpacing"/>
              <w:rPr>
                <w:rFonts w:asciiTheme="majorHAnsi" w:hAnsiTheme="majorHAnsi"/>
              </w:rPr>
            </w:pPr>
            <w:r>
              <w:rPr>
                <w:rFonts w:asciiTheme="majorHAnsi" w:hAnsiTheme="majorHAnsi"/>
              </w:rPr>
              <w:t/>
            </w:r>
          </w:p>
        </w:tc>
        <w:tc>
          <w:tcPr>
            <w:tcW w:w="2295" w:type="dxa"/>
            <w:tcBorders>
              <w:top w:val="dotted" w:sz="4" w:space="0" w:color="auto"/>
              <w:left w:val="dotted" w:sz="4" w:space="0" w:color="auto"/>
              <w:bottom w:val="dotted" w:sz="4" w:space="0" w:color="auto"/>
              <w:right w:val="dotted" w:sz="4" w:space="0" w:color="auto"/>
            </w:tcBorders>
          </w:tcPr>
          <w:p w14:paraId="4BB577F2" w14:textId="77777777" w:rsidR="00756E07" w:rsidRPr="008848D6" w:rsidRDefault="00756E07" w:rsidP="0041450E">
            <w:pPr>
              <w:pStyle w:val="NoSpacing"/>
              <w:rPr>
                <w:rFonts w:asciiTheme="majorHAnsi" w:hAnsiTheme="majorHAnsi"/>
              </w:rPr>
            </w:pPr>
            <w:r>
              <w:rPr>
                <w:rFonts w:asciiTheme="majorHAnsi" w:hAnsiTheme="majorHAnsi"/>
              </w:rPr>
              <w:t/>
            </w:r>
          </w:p>
        </w:tc>
        <w:tc>
          <w:tcPr>
            <w:tcW w:w="3897" w:type="dxa"/>
            <w:tcBorders>
              <w:top w:val="dotted" w:sz="4" w:space="0" w:color="auto"/>
              <w:left w:val="dotted" w:sz="4" w:space="0" w:color="auto"/>
              <w:bottom w:val="dotted" w:sz="4" w:space="0" w:color="auto"/>
              <w:right w:val="dotted" w:sz="4" w:space="0" w:color="auto"/>
            </w:tcBorders>
          </w:tcPr>
          <w:p w14:paraId="1E5AB81A" w14:textId="77777777" w:rsidR="00756E07" w:rsidRPr="008848D6" w:rsidRDefault="00756E07" w:rsidP="0041450E">
            <w:pPr>
              <w:pStyle w:val="NoSpacing"/>
              <w:rPr>
                <w:rFonts w:asciiTheme="majorHAnsi" w:hAnsiTheme="majorHAnsi"/>
              </w:rPr>
            </w:pPr>
            <w:r>
              <w:rPr>
                <w:rFonts w:asciiTheme="majorHAnsi" w:hAnsiTheme="majorHAnsi"/>
              </w:rPr>
              <w:t/>
            </w:r>
          </w:p>
        </w:tc>
      </w:tr>
      <w:tr w:rsidR="00756E07" w:rsidRPr="008848D6" w14:paraId="69DC1C38" w14:textId="77777777" w:rsidTr="00756E07">
        <w:tc>
          <w:tcPr>
            <w:tcW w:w="1176" w:type="dxa"/>
            <w:tcBorders>
              <w:top w:val="dotted" w:sz="4" w:space="0" w:color="auto"/>
              <w:left w:val="dotted" w:sz="4" w:space="0" w:color="auto"/>
              <w:bottom w:val="dotted" w:sz="4" w:space="0" w:color="auto"/>
              <w:right w:val="dotted" w:sz="4" w:space="0" w:color="auto"/>
            </w:tcBorders>
          </w:tcPr>
          <w:p w14:paraId="0638A875"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46A35776"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035F243C"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73FDC785" w14:textId="77777777" w:rsidR="00756E07" w:rsidRPr="008848D6" w:rsidRDefault="00756E07" w:rsidP="0041450E">
            <w:pPr>
              <w:pStyle w:val="NoSpacing"/>
              <w:rPr>
                <w:rFonts w:asciiTheme="majorHAnsi" w:hAnsiTheme="majorHAnsi"/>
              </w:rPr>
            </w:pPr>
          </w:p>
        </w:tc>
      </w:tr>
    </w:tbl>
    <w:p w14:paraId="3C33878E" w14:textId="77777777" w:rsidR="00756E07" w:rsidRPr="008848D6" w:rsidRDefault="00756E07" w:rsidP="00C22C69">
      <w:pPr>
        <w:pStyle w:val="NoSpacing"/>
        <w:rPr>
          <w:rFonts w:asciiTheme="majorHAnsi" w:hAnsiTheme="majorHAnsi"/>
        </w:rPr>
      </w:pPr>
    </w:p>
    <w:p w14:paraId="1FE42C0D" w14:textId="77777777" w:rsidR="00756E07" w:rsidRPr="008848D6" w:rsidRDefault="00756E07" w:rsidP="00C22C69">
      <w:pPr>
        <w:spacing w:line="240" w:lineRule="auto"/>
        <w:rPr>
          <w:rFonts w:asciiTheme="majorHAnsi" w:hAnsiTheme="majorHAnsi"/>
        </w:rPr>
      </w:pPr>
      <w:r w:rsidRPr="008848D6">
        <w:rPr>
          <w:rFonts w:asciiTheme="majorHAnsi" w:hAnsiTheme="majorHAnsi"/>
        </w:rPr>
        <w:br w:type="page"/>
      </w:r>
    </w:p>
    <w:sdt>
      <w:sdtPr>
        <w:rPr>
          <w:rFonts w:asciiTheme="minorHAnsi" w:eastAsiaTheme="minorEastAsia" w:hAnsiTheme="minorHAnsi" w:cstheme="minorBidi"/>
          <w:b w:val="0"/>
          <w:bCs w:val="0"/>
          <w:color w:val="auto"/>
          <w:sz w:val="22"/>
          <w:szCs w:val="22"/>
          <w:lang w:val="en-IN"/>
        </w:rPr>
        <w:id w:val="462467966"/>
        <w:docPartObj>
          <w:docPartGallery w:val="Table of Contents"/>
          <w:docPartUnique/>
        </w:docPartObj>
      </w:sdtPr>
      <w:sdtEndPr>
        <w:rPr>
          <w:rFonts w:ascii="Calibri Light" w:eastAsiaTheme="minorHAnsi" w:hAnsi="Calibri Light"/>
          <w:noProof/>
          <w:lang w:val="en-US"/>
        </w:rPr>
      </w:sdtEndPr>
      <w:sdtContent>
        <w:p w14:paraId="0F7AC3EB" w14:textId="77777777" w:rsidR="00756E07" w:rsidRPr="008848D6" w:rsidRDefault="00756E07" w:rsidP="00C22C69">
          <w:pPr>
            <w:pStyle w:val="TOCHeading"/>
            <w:spacing w:line="240" w:lineRule="auto"/>
          </w:pPr>
          <w:r w:rsidRPr="008848D6">
            <w:t>Contents</w:t>
          </w:r>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r w:rsidRPr="008848D6">
            <w:rPr>
              <w:rFonts w:asciiTheme="majorHAnsi" w:hAnsiTheme="majorHAnsi"/>
            </w:rPr>
            <w:fldChar w:fldCharType="begin"/>
          </w:r>
          <w:r w:rsidRPr="008848D6">
            <w:rPr>
              <w:rFonts w:asciiTheme="majorHAnsi" w:hAnsiTheme="majorHAnsi"/>
            </w:rPr>
            <w:instrText xml:space="preserve"> TOC \o "1-3" \h \z \u </w:instrText>
          </w:r>
          <w:r w:rsidRPr="008848D6">
            <w:rPr>
              <w:rFonts w:asciiTheme="majorHAnsi" w:hAnsiTheme="majorHAnsi"/>
            </w:rPr>
            <w:fldChar w:fldCharType="separate"/>
          </w:r>
          <w:hyperlink w:anchor="_Toc300000001" w:history="1">
            <w:r w:rsidR="00106C46" w:rsidRPr="004513F3">
              <w:rPr>
                <w:rStyle w:val="Hyperlink"/>
                <w:noProof/>
              </w:rPr>
              <w:t>1</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Introduction</w:t>
            </w:r>
            <w:r w:rsidR="00106C46">
              <w:rPr>
                <w:noProof/>
                <w:webHidden/>
              </w:rPr>
              <w:tab/>
            </w:r>
            <w:r w:rsidR="00106C46">
              <w:rPr>
                <w:noProof/>
                <w:webHidden/>
              </w:rPr>
              <w:fldChar w:fldCharType="begin"/>
            </w:r>
            <w:r w:rsidR="00106C46">
              <w:rPr>
                <w:noProof/>
                <w:webHidden/>
              </w:rPr>
              <w:instrText xml:space="preserve"> PAGEREF _Toc300000001 \h </w:instrText>
            </w:r>
            <w:r w:rsidR="00106C46">
              <w:rPr>
                <w:noProof/>
                <w:webHidden/>
              </w:rPr>
            </w:r>
            <w:r w:rsidR="00106C46">
              <w:rPr>
                <w:noProof/>
                <w:webHidden/>
              </w:rPr>
              <w:fldChar w:fldCharType="separate"/>
            </w:r>
            <w:r w:rsidR="00106C46">
              <w:rPr>
                <w:noProof/>
                <w:webHidden/>
              </w:rPr>
              <w:t>5</w:t>
            </w:r>
            <w:r w:rsidR="00106C46">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02" w:history="1">
            <w:r w:rsidRPr="004513F3">
              <w:rPr>
                <w:rStyle w:val="Hyperlink"/>
                <w:noProof/>
              </w:rPr>
              <w:t>1.1</w:t>
            </w:r>
            <w:r>
              <w:rPr>
                <w:rFonts w:asciiTheme="minorHAnsi" w:hAnsiTheme="minorHAnsi"/>
                <w:noProof/>
                <w:kern w:val="2"/>
                <w:sz w:val="24"/>
                <w:szCs w:val="24"/>
                <w:lang w:val="en-IN" w:eastAsia="en-IN"/>
                <w14:ligatures w14:val="standardContextual"/>
              </w:rPr>
              <w:tab/>
            </w:r>
            <w:r w:rsidRPr="004513F3">
              <w:rPr>
                <w:rStyle w:val="Hyperlink"/>
                <w:noProof/>
              </w:rPr>
              <w:t>Objective and scope of document</w:t>
            </w:r>
            <w:r>
              <w:rPr>
                <w:noProof/>
                <w:webHidden/>
              </w:rPr>
              <w:tab/>
            </w:r>
            <w:r>
              <w:rPr>
                <w:noProof/>
                <w:webHidden/>
              </w:rPr>
              <w:fldChar w:fldCharType="begin"/>
            </w:r>
            <w:r>
              <w:rPr>
                <w:noProof/>
                <w:webHidden/>
              </w:rPr>
              <w:instrText xml:space="preserve"> PAGEREF _Toc300000002 \h </w:instrText>
            </w:r>
            <w:r>
              <w:rPr>
                <w:noProof/>
                <w:webHidden/>
              </w:rPr>
            </w:r>
            <w:r>
              <w:rPr>
                <w:noProof/>
                <w:webHidden/>
              </w:rPr>
              <w:fldChar w:fldCharType="separate"/>
            </w:r>
            <w:r>
              <w:rPr>
                <w:noProof/>
                <w:webHidden/>
              </w:rPr>
              <w:t>5</w:t>
            </w:r>
            <w:r>
              <w:rPr>
                <w:noProof/>
                <w:webHidden/>
              </w:rPr>
              <w:fldChar w:fldCharType="end"/>
            </w:r>
          </w:hyperlink>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hyperlink w:anchor="_Toc300000003" w:history="1">
            <w:r w:rsidR="00106C46" w:rsidRPr="004513F3">
              <w:rPr>
                <w:rStyle w:val="Hyperlink"/>
                <w:noProof/>
              </w:rPr>
              <w:t>2</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Requirements at a Glance</w:t>
            </w:r>
            <w:r w:rsidR="00106C46">
              <w:rPr>
                <w:noProof/>
                <w:webHidden/>
              </w:rPr>
              <w:tab/>
            </w:r>
            <w:r w:rsidR="00106C46">
              <w:rPr>
                <w:noProof/>
                <w:webHidden/>
              </w:rPr>
              <w:fldChar w:fldCharType="begin"/>
            </w:r>
            <w:r w:rsidR="00106C46">
              <w:rPr>
                <w:noProof/>
                <w:webHidden/>
              </w:rPr>
              <w:instrText xml:space="preserve"> PAGEREF _Toc300000003 \h </w:instrText>
            </w:r>
            <w:r w:rsidR="00106C46">
              <w:rPr>
                <w:noProof/>
                <w:webHidden/>
              </w:rPr>
            </w:r>
            <w:r w:rsidR="00106C46">
              <w:rPr>
                <w:noProof/>
                <w:webHidden/>
              </w:rPr>
              <w:fldChar w:fldCharType="separate"/>
            </w:r>
            <w:r w:rsidR="00106C46">
              <w:rPr>
                <w:noProof/>
                <w:webHidden/>
              </w:rPr>
              <w:t>6</w:t>
            </w:r>
            <w:r w:rsidR="00106C46">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04" w:history="1">
            <w:r w:rsidRPr="004513F3">
              <w:rPr>
                <w:rStyle w:val="Hyperlink"/>
                <w:noProof/>
              </w:rPr>
              <w:t>2.1</w:t>
            </w:r>
            <w:r>
              <w:rPr>
                <w:rFonts w:asciiTheme="minorHAnsi" w:hAnsiTheme="minorHAnsi"/>
                <w:noProof/>
                <w:kern w:val="2"/>
                <w:sz w:val="24"/>
                <w:szCs w:val="24"/>
                <w:lang w:val="en-IN" w:eastAsia="en-IN"/>
                <w14:ligatures w14:val="standardContextual"/>
              </w:rPr>
              <w:tab/>
            </w:r>
            <w:r w:rsidRPr="004513F3">
              <w:rPr>
                <w:rStyle w:val="Hyperlink"/>
                <w:noProof/>
              </w:rPr>
              <w:t>Functional Requirements</w:t>
            </w:r>
            <w:r>
              <w:rPr>
                <w:noProof/>
                <w:webHidden/>
              </w:rPr>
              <w:tab/>
            </w:r>
            <w:r>
              <w:rPr>
                <w:noProof/>
                <w:webHidden/>
              </w:rPr>
              <w:fldChar w:fldCharType="begin"/>
            </w:r>
            <w:r>
              <w:rPr>
                <w:noProof/>
                <w:webHidden/>
              </w:rPr>
              <w:instrText xml:space="preserve"> PAGEREF _Toc300000004 \h </w:instrText>
            </w:r>
            <w:r>
              <w:rPr>
                <w:noProof/>
                <w:webHidden/>
              </w:rPr>
            </w:r>
            <w:r>
              <w:rPr>
                <w:noProof/>
                <w:webHidden/>
              </w:rPr>
              <w:fldChar w:fldCharType="separate"/>
            </w:r>
            <w:r>
              <w:rPr>
                <w:noProof/>
                <w:webHidden/>
              </w:rPr>
              <w:t>6</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05" w:history="1">
            <w:r w:rsidRPr="004513F3">
              <w:rPr>
                <w:rStyle w:val="Hyperlink"/>
                <w:noProof/>
              </w:rPr>
              <w:t>2.2</w:t>
            </w:r>
            <w:r>
              <w:rPr>
                <w:rFonts w:asciiTheme="minorHAnsi" w:hAnsiTheme="minorHAnsi"/>
                <w:noProof/>
                <w:kern w:val="2"/>
                <w:sz w:val="24"/>
                <w:szCs w:val="24"/>
                <w:lang w:val="en-IN" w:eastAsia="en-IN"/>
                <w14:ligatures w14:val="standardContextual"/>
              </w:rPr>
              <w:tab/>
            </w:r>
            <w:r w:rsidRPr="004513F3">
              <w:rPr>
                <w:rStyle w:val="Hyperlink"/>
                <w:noProof/>
              </w:rPr>
              <w:t>Non-Functional Requirements</w:t>
            </w:r>
            <w:r>
              <w:rPr>
                <w:noProof/>
                <w:webHidden/>
              </w:rPr>
              <w:tab/>
            </w:r>
            <w:r>
              <w:rPr>
                <w:noProof/>
                <w:webHidden/>
              </w:rPr>
              <w:fldChar w:fldCharType="begin"/>
            </w:r>
            <w:r>
              <w:rPr>
                <w:noProof/>
                <w:webHidden/>
              </w:rPr>
              <w:instrText xml:space="preserve"> PAGEREF _Toc300000005 \h </w:instrText>
            </w:r>
            <w:r>
              <w:rPr>
                <w:noProof/>
                <w:webHidden/>
              </w:rPr>
            </w:r>
            <w:r>
              <w:rPr>
                <w:noProof/>
                <w:webHidden/>
              </w:rPr>
              <w:fldChar w:fldCharType="separate"/>
            </w:r>
            <w:r>
              <w:rPr>
                <w:noProof/>
                <w:webHidden/>
              </w:rPr>
              <w:t>6</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06" w:history="1">
            <w:r w:rsidRPr="004513F3">
              <w:rPr>
                <w:rStyle w:val="Hyperlink"/>
                <w:noProof/>
              </w:rPr>
              <w:t>2.3</w:t>
            </w:r>
            <w:r>
              <w:rPr>
                <w:rFonts w:asciiTheme="minorHAnsi" w:hAnsiTheme="minorHAnsi"/>
                <w:noProof/>
                <w:kern w:val="2"/>
                <w:sz w:val="24"/>
                <w:szCs w:val="24"/>
                <w:lang w:val="en-IN" w:eastAsia="en-IN"/>
                <w14:ligatures w14:val="standardContextual"/>
              </w:rPr>
              <w:tab/>
            </w:r>
            <w:r w:rsidRPr="004513F3">
              <w:rPr>
                <w:rStyle w:val="Hyperlink"/>
                <w:noProof/>
              </w:rPr>
              <w:t>Workload basis</w:t>
            </w:r>
            <w:r>
              <w:rPr>
                <w:noProof/>
                <w:webHidden/>
              </w:rPr>
              <w:tab/>
            </w:r>
            <w:r>
              <w:rPr>
                <w:noProof/>
                <w:webHidden/>
              </w:rPr>
              <w:fldChar w:fldCharType="begin"/>
            </w:r>
            <w:r>
              <w:rPr>
                <w:noProof/>
                <w:webHidden/>
              </w:rPr>
              <w:instrText xml:space="preserve"> PAGEREF _Toc300000006 \h </w:instrText>
            </w:r>
            <w:r>
              <w:rPr>
                <w:noProof/>
                <w:webHidden/>
              </w:rPr>
            </w:r>
            <w:r>
              <w:rPr>
                <w:noProof/>
                <w:webHidden/>
              </w:rPr>
              <w:fldChar w:fldCharType="separate"/>
            </w:r>
            <w:r>
              <w:rPr>
                <w:noProof/>
                <w:webHidden/>
              </w:rPr>
              <w:t>7</w:t>
            </w:r>
            <w:r>
              <w:rPr>
                <w:noProof/>
                <w:webHidden/>
              </w:rPr>
              <w:fldChar w:fldCharType="end"/>
            </w:r>
          </w:hyperlink>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hyperlink w:anchor="_Toc300000007" w:history="1">
            <w:r w:rsidR="00106C46" w:rsidRPr="004513F3">
              <w:rPr>
                <w:rStyle w:val="Hyperlink"/>
                <w:noProof/>
              </w:rPr>
              <w:t>3</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Messaging and Event Backbone</w:t>
            </w:r>
            <w:r w:rsidR="00106C46">
              <w:rPr>
                <w:noProof/>
                <w:webHidden/>
              </w:rPr>
              <w:tab/>
            </w:r>
            <w:r w:rsidR="00106C46">
              <w:rPr>
                <w:noProof/>
                <w:webHidden/>
              </w:rPr>
              <w:fldChar w:fldCharType="begin"/>
            </w:r>
            <w:r w:rsidR="00106C46">
              <w:rPr>
                <w:noProof/>
                <w:webHidden/>
              </w:rPr>
              <w:instrText xml:space="preserve"> PAGEREF _Toc300000007 \h </w:instrText>
            </w:r>
            <w:r w:rsidR="00106C46">
              <w:rPr>
                <w:noProof/>
                <w:webHidden/>
              </w:rPr>
            </w:r>
            <w:r w:rsidR="00106C46">
              <w:rPr>
                <w:noProof/>
                <w:webHidden/>
              </w:rPr>
              <w:fldChar w:fldCharType="separate"/>
            </w:r>
            <w:r w:rsidR="00106C46">
              <w:rPr>
                <w:noProof/>
                <w:webHidden/>
              </w:rPr>
              <w:t>8</w:t>
            </w:r>
            <w:r w:rsidR="00106C46">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08" w:history="1">
            <w:r w:rsidRPr="004513F3">
              <w:rPr>
                <w:rStyle w:val="Hyperlink"/>
                <w:noProof/>
              </w:rPr>
              <w:t>3.1</w:t>
            </w:r>
            <w:r>
              <w:rPr>
                <w:rFonts w:asciiTheme="minorHAnsi" w:hAnsiTheme="minorHAnsi"/>
                <w:noProof/>
                <w:kern w:val="2"/>
                <w:sz w:val="24"/>
                <w:szCs w:val="24"/>
                <w:lang w:val="en-IN" w:eastAsia="en-IN"/>
                <w14:ligatures w14:val="standardContextual"/>
              </w:rPr>
              <w:tab/>
            </w:r>
            <w:r w:rsidRPr="004513F3">
              <w:rPr>
                <w:rStyle w:val="Hyperlink"/>
                <w:noProof/>
              </w:rPr>
              <w:t>Available tools</w:t>
            </w:r>
            <w:r>
              <w:rPr>
                <w:noProof/>
                <w:webHidden/>
              </w:rPr>
              <w:tab/>
            </w:r>
            <w:r>
              <w:rPr>
                <w:noProof/>
                <w:webHidden/>
              </w:rPr>
              <w:fldChar w:fldCharType="begin"/>
            </w:r>
            <w:r>
              <w:rPr>
                <w:noProof/>
                <w:webHidden/>
              </w:rPr>
              <w:instrText xml:space="preserve"> PAGEREF _Toc300000008 \h </w:instrText>
            </w:r>
            <w:r>
              <w:rPr>
                <w:noProof/>
                <w:webHidden/>
              </w:rPr>
            </w:r>
            <w:r>
              <w:rPr>
                <w:noProof/>
                <w:webHidden/>
              </w:rPr>
              <w:fldChar w:fldCharType="separate"/>
            </w:r>
            <w:r>
              <w:rPr>
                <w:noProof/>
                <w:webHidden/>
              </w:rPr>
              <w:t>8</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09" w:history="1">
            <w:r w:rsidRPr="004513F3">
              <w:rPr>
                <w:rStyle w:val="Hyperlink"/>
                <w:noProof/>
              </w:rPr>
              <w:t>3.1.1</w:t>
            </w:r>
            <w:r>
              <w:rPr>
                <w:rFonts w:asciiTheme="minorHAnsi" w:hAnsiTheme="minorHAnsi"/>
                <w:noProof/>
                <w:kern w:val="2"/>
                <w:sz w:val="24"/>
                <w:szCs w:val="24"/>
                <w:lang w:val="en-IN" w:eastAsia="en-IN"/>
                <w14:ligatures w14:val="standardContextual"/>
              </w:rPr>
              <w:tab/>
            </w:r>
            <w:r w:rsidRPr="004513F3">
              <w:rPr>
                <w:rStyle w:val="Hyperlink"/>
                <w:noProof/>
              </w:rPr>
              <w:t>Amazon EventBridge with SQS and SNS</w:t>
            </w:r>
            <w:r>
              <w:rPr>
                <w:noProof/>
                <w:webHidden/>
              </w:rPr>
              <w:tab/>
            </w:r>
            <w:r>
              <w:rPr>
                <w:noProof/>
                <w:webHidden/>
              </w:rPr>
              <w:fldChar w:fldCharType="begin"/>
            </w:r>
            <w:r>
              <w:rPr>
                <w:noProof/>
                <w:webHidden/>
              </w:rPr>
              <w:instrText xml:space="preserve"> PAGEREF _Toc300000009 \h </w:instrText>
            </w:r>
            <w:r>
              <w:rPr>
                <w:noProof/>
                <w:webHidden/>
              </w:rPr>
            </w:r>
            <w:r>
              <w:rPr>
                <w:noProof/>
                <w:webHidden/>
              </w:rPr>
              <w:fldChar w:fldCharType="separate"/>
            </w:r>
            <w:r>
              <w:rPr>
                <w:noProof/>
                <w:webHidden/>
              </w:rPr>
              <w:t>8</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10" w:history="1">
            <w:r w:rsidRPr="004513F3">
              <w:rPr>
                <w:rStyle w:val="Hyperlink"/>
                <w:noProof/>
              </w:rPr>
              <w:t>3.1.2</w:t>
            </w:r>
            <w:r>
              <w:rPr>
                <w:rFonts w:asciiTheme="minorHAnsi" w:hAnsiTheme="minorHAnsi"/>
                <w:noProof/>
                <w:kern w:val="2"/>
                <w:sz w:val="24"/>
                <w:szCs w:val="24"/>
                <w:lang w:val="en-IN" w:eastAsia="en-IN"/>
                <w14:ligatures w14:val="standardContextual"/>
              </w:rPr>
              <w:tab/>
            </w:r>
            <w:r w:rsidRPr="004513F3">
              <w:rPr>
                <w:rStyle w:val="Hyperlink"/>
                <w:noProof/>
              </w:rPr>
              <w:t>Amazon SNS with SQS</w:t>
            </w:r>
            <w:r>
              <w:rPr>
                <w:noProof/>
                <w:webHidden/>
              </w:rPr>
              <w:tab/>
            </w:r>
            <w:r>
              <w:rPr>
                <w:noProof/>
                <w:webHidden/>
              </w:rPr>
              <w:fldChar w:fldCharType="begin"/>
            </w:r>
            <w:r>
              <w:rPr>
                <w:noProof/>
                <w:webHidden/>
              </w:rPr>
              <w:instrText xml:space="preserve"> PAGEREF _Toc300000010 \h </w:instrText>
            </w:r>
            <w:r>
              <w:rPr>
                <w:noProof/>
                <w:webHidden/>
              </w:rPr>
            </w:r>
            <w:r>
              <w:rPr>
                <w:noProof/>
                <w:webHidden/>
              </w:rPr>
              <w:fldChar w:fldCharType="separate"/>
            </w:r>
            <w:r>
              <w:rPr>
                <w:noProof/>
                <w:webHidden/>
              </w:rPr>
              <w:t>9</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11" w:history="1">
            <w:r w:rsidRPr="004513F3">
              <w:rPr>
                <w:rStyle w:val="Hyperlink"/>
                <w:noProof/>
              </w:rPr>
              <w:t>3.1.3</w:t>
            </w:r>
            <w:r>
              <w:rPr>
                <w:rFonts w:asciiTheme="minorHAnsi" w:hAnsiTheme="minorHAnsi"/>
                <w:noProof/>
                <w:kern w:val="2"/>
                <w:sz w:val="24"/>
                <w:szCs w:val="24"/>
                <w:lang w:val="en-IN" w:eastAsia="en-IN"/>
                <w14:ligatures w14:val="standardContextual"/>
              </w:rPr>
              <w:tab/>
            </w:r>
            <w:r w:rsidRPr="004513F3">
              <w:rPr>
                <w:rStyle w:val="Hyperlink"/>
                <w:noProof/>
              </w:rPr>
              <w:t>Amazon MSK (Apache Kafka)</w:t>
            </w:r>
            <w:r>
              <w:rPr>
                <w:noProof/>
                <w:webHidden/>
              </w:rPr>
              <w:tab/>
            </w:r>
            <w:r>
              <w:rPr>
                <w:noProof/>
                <w:webHidden/>
              </w:rPr>
              <w:fldChar w:fldCharType="begin"/>
            </w:r>
            <w:r>
              <w:rPr>
                <w:noProof/>
                <w:webHidden/>
              </w:rPr>
              <w:instrText xml:space="preserve"> PAGEREF _Toc300000011 \h </w:instrText>
            </w:r>
            <w:r>
              <w:rPr>
                <w:noProof/>
                <w:webHidden/>
              </w:rPr>
            </w:r>
            <w:r>
              <w:rPr>
                <w:noProof/>
                <w:webHidden/>
              </w:rPr>
              <w:fldChar w:fldCharType="separate"/>
            </w:r>
            <w:r>
              <w:rPr>
                <w:noProof/>
                <w:webHidden/>
              </w:rPr>
              <w:t>9</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12" w:history="1">
            <w:r w:rsidRPr="004513F3">
              <w:rPr>
                <w:rStyle w:val="Hyperlink"/>
                <w:noProof/>
              </w:rPr>
              <w:t>3.1.4</w:t>
            </w:r>
            <w:r>
              <w:rPr>
                <w:rFonts w:asciiTheme="minorHAnsi" w:hAnsiTheme="minorHAnsi"/>
                <w:noProof/>
                <w:kern w:val="2"/>
                <w:sz w:val="24"/>
                <w:szCs w:val="24"/>
                <w:lang w:val="en-IN" w:eastAsia="en-IN"/>
                <w14:ligatures w14:val="standardContextual"/>
              </w:rPr>
              <w:tab/>
            </w:r>
            <w:r w:rsidRPr="004513F3">
              <w:rPr>
                <w:rStyle w:val="Hyperlink"/>
                <w:noProof/>
              </w:rPr>
              <w:t>Amazon MQ for RabbitMQ</w:t>
            </w:r>
            <w:r>
              <w:rPr>
                <w:noProof/>
                <w:webHidden/>
              </w:rPr>
              <w:tab/>
            </w:r>
            <w:r>
              <w:rPr>
                <w:noProof/>
                <w:webHidden/>
              </w:rPr>
              <w:fldChar w:fldCharType="begin"/>
            </w:r>
            <w:r>
              <w:rPr>
                <w:noProof/>
                <w:webHidden/>
              </w:rPr>
              <w:instrText xml:space="preserve"> PAGEREF _Toc300000012 \h </w:instrText>
            </w:r>
            <w:r>
              <w:rPr>
                <w:noProof/>
                <w:webHidden/>
              </w:rPr>
            </w:r>
            <w:r>
              <w:rPr>
                <w:noProof/>
                <w:webHidden/>
              </w:rPr>
              <w:fldChar w:fldCharType="separate"/>
            </w:r>
            <w:r>
              <w:rPr>
                <w:noProof/>
                <w:webHidden/>
              </w:rPr>
              <w:t>10</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13" w:history="1">
            <w:r w:rsidRPr="004513F3">
              <w:rPr>
                <w:rStyle w:val="Hyperlink"/>
                <w:noProof/>
              </w:rPr>
              <w:t>3.2</w:t>
            </w:r>
            <w:r>
              <w:rPr>
                <w:rFonts w:asciiTheme="minorHAnsi" w:hAnsiTheme="minorHAnsi"/>
                <w:noProof/>
                <w:kern w:val="2"/>
                <w:sz w:val="24"/>
                <w:szCs w:val="24"/>
                <w:lang w:val="en-IN" w:eastAsia="en-IN"/>
                <w14:ligatures w14:val="standardContextual"/>
              </w:rPr>
              <w:tab/>
            </w:r>
            <w:r w:rsidRPr="004513F3">
              <w:rPr>
                <w:rStyle w:val="Hyperlink"/>
                <w:noProof/>
              </w:rPr>
              <w:t>Point Matrix</w:t>
            </w:r>
            <w:r>
              <w:rPr>
                <w:noProof/>
                <w:webHidden/>
              </w:rPr>
              <w:tab/>
            </w:r>
            <w:r>
              <w:rPr>
                <w:noProof/>
                <w:webHidden/>
              </w:rPr>
              <w:fldChar w:fldCharType="begin"/>
            </w:r>
            <w:r>
              <w:rPr>
                <w:noProof/>
                <w:webHidden/>
              </w:rPr>
              <w:instrText xml:space="preserve"> PAGEREF _Toc300000013 \h </w:instrText>
            </w:r>
            <w:r>
              <w:rPr>
                <w:noProof/>
                <w:webHidden/>
              </w:rPr>
            </w:r>
            <w:r>
              <w:rPr>
                <w:noProof/>
                <w:webHidden/>
              </w:rPr>
              <w:fldChar w:fldCharType="separate"/>
            </w:r>
            <w:r>
              <w:rPr>
                <w:noProof/>
                <w:webHidden/>
              </w:rPr>
              <w:t>10</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14" w:history="1">
            <w:r w:rsidRPr="004513F3">
              <w:rPr>
                <w:rStyle w:val="Hyperlink"/>
                <w:noProof/>
              </w:rPr>
              <w:t>3.3</w:t>
            </w:r>
            <w:r>
              <w:rPr>
                <w:rFonts w:asciiTheme="minorHAnsi" w:hAnsiTheme="minorHAnsi"/>
                <w:noProof/>
                <w:kern w:val="2"/>
                <w:sz w:val="24"/>
                <w:szCs w:val="24"/>
                <w:lang w:val="en-IN" w:eastAsia="en-IN"/>
                <w14:ligatures w14:val="standardContextual"/>
              </w:rPr>
              <w:tab/>
            </w:r>
            <w:r w:rsidRPr="004513F3">
              <w:rPr>
                <w:rStyle w:val="Hyperlink"/>
                <w:noProof/>
              </w:rPr>
              <w:t>Comparison 1 — Weighted Scoring</w:t>
            </w:r>
            <w:r>
              <w:rPr>
                <w:noProof/>
                <w:webHidden/>
              </w:rPr>
              <w:tab/>
            </w:r>
            <w:r>
              <w:rPr>
                <w:noProof/>
                <w:webHidden/>
              </w:rPr>
              <w:fldChar w:fldCharType="begin"/>
            </w:r>
            <w:r>
              <w:rPr>
                <w:noProof/>
                <w:webHidden/>
              </w:rPr>
              <w:instrText xml:space="preserve"> PAGEREF _Toc300000014 \h </w:instrText>
            </w:r>
            <w:r>
              <w:rPr>
                <w:noProof/>
                <w:webHidden/>
              </w:rPr>
            </w:r>
            <w:r>
              <w:rPr>
                <w:noProof/>
                <w:webHidden/>
              </w:rPr>
              <w:fldChar w:fldCharType="separate"/>
            </w:r>
            <w:r>
              <w:rPr>
                <w:noProof/>
                <w:webHidden/>
              </w:rPr>
              <w:t>11</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15" w:history="1">
            <w:r w:rsidRPr="004513F3">
              <w:rPr>
                <w:rStyle w:val="Hyperlink"/>
                <w:noProof/>
              </w:rPr>
              <w:t>3.4</w:t>
            </w:r>
            <w:r>
              <w:rPr>
                <w:rFonts w:asciiTheme="minorHAnsi" w:hAnsiTheme="minorHAnsi"/>
                <w:noProof/>
                <w:kern w:val="2"/>
                <w:sz w:val="24"/>
                <w:szCs w:val="24"/>
                <w:lang w:val="en-IN" w:eastAsia="en-IN"/>
                <w14:ligatures w14:val="standardContextual"/>
              </w:rPr>
              <w:tab/>
            </w:r>
            <w:r w:rsidRPr="004513F3">
              <w:rPr>
                <w:rStyle w:val="Hyperlink"/>
                <w:noProof/>
              </w:rPr>
              <w:t>Comparison 2 — Capability Comparison</w:t>
            </w:r>
            <w:r>
              <w:rPr>
                <w:noProof/>
                <w:webHidden/>
              </w:rPr>
              <w:tab/>
            </w:r>
            <w:r>
              <w:rPr>
                <w:noProof/>
                <w:webHidden/>
              </w:rPr>
              <w:fldChar w:fldCharType="begin"/>
            </w:r>
            <w:r>
              <w:rPr>
                <w:noProof/>
                <w:webHidden/>
              </w:rPr>
              <w:instrText xml:space="preserve"> PAGEREF _Toc300000015 \h </w:instrText>
            </w:r>
            <w:r>
              <w:rPr>
                <w:noProof/>
                <w:webHidden/>
              </w:rPr>
            </w:r>
            <w:r>
              <w:rPr>
                <w:noProof/>
                <w:webHidden/>
              </w:rPr>
              <w:fldChar w:fldCharType="separate"/>
            </w:r>
            <w:r>
              <w:rPr>
                <w:noProof/>
                <w:webHidden/>
              </w:rPr>
              <w:t>12</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16" w:history="1">
            <w:r w:rsidRPr="004513F3">
              <w:rPr>
                <w:rStyle w:val="Hyperlink"/>
                <w:noProof/>
              </w:rPr>
              <w:t>3.5</w:t>
            </w:r>
            <w:r>
              <w:rPr>
                <w:rFonts w:asciiTheme="minorHAnsi" w:hAnsiTheme="minorHAnsi"/>
                <w:noProof/>
                <w:kern w:val="2"/>
                <w:sz w:val="24"/>
                <w:szCs w:val="24"/>
                <w:lang w:val="en-IN" w:eastAsia="en-IN"/>
                <w14:ligatures w14:val="standardContextual"/>
              </w:rPr>
              <w:tab/>
            </w:r>
            <w:r w:rsidRPr="004513F3">
              <w:rPr>
                <w:rStyle w:val="Hyperlink"/>
                <w:noProof/>
              </w:rPr>
              <w:t>Comparison 3 — Pricing at eClaims Volume</w:t>
            </w:r>
            <w:r>
              <w:rPr>
                <w:noProof/>
                <w:webHidden/>
              </w:rPr>
              <w:tab/>
            </w:r>
            <w:r>
              <w:rPr>
                <w:noProof/>
                <w:webHidden/>
              </w:rPr>
              <w:fldChar w:fldCharType="begin"/>
            </w:r>
            <w:r>
              <w:rPr>
                <w:noProof/>
                <w:webHidden/>
              </w:rPr>
              <w:instrText xml:space="preserve"> PAGEREF _Toc300000016 \h </w:instrText>
            </w:r>
            <w:r>
              <w:rPr>
                <w:noProof/>
                <w:webHidden/>
              </w:rPr>
            </w:r>
            <w:r>
              <w:rPr>
                <w:noProof/>
                <w:webHidden/>
              </w:rPr>
              <w:fldChar w:fldCharType="separate"/>
            </w:r>
            <w:r>
              <w:rPr>
                <w:noProof/>
                <w:webHidden/>
              </w:rPr>
              <w:t>12</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17" w:history="1">
            <w:r w:rsidRPr="004513F3">
              <w:rPr>
                <w:rStyle w:val="Hyperlink"/>
                <w:noProof/>
              </w:rPr>
              <w:t>3.6</w:t>
            </w:r>
            <w:r>
              <w:rPr>
                <w:rFonts w:asciiTheme="minorHAnsi" w:hAnsiTheme="minorHAnsi"/>
                <w:noProof/>
                <w:kern w:val="2"/>
                <w:sz w:val="24"/>
                <w:szCs w:val="24"/>
                <w:lang w:val="en-IN" w:eastAsia="en-IN"/>
                <w14:ligatures w14:val="standardContextual"/>
              </w:rPr>
              <w:tab/>
            </w:r>
            <w:r w:rsidRPr="004513F3">
              <w:rPr>
                <w:rStyle w:val="Hyperlink"/>
                <w:noProof/>
              </w:rPr>
              <w:t>Sensitivity</w:t>
            </w:r>
            <w:r>
              <w:rPr>
                <w:noProof/>
                <w:webHidden/>
              </w:rPr>
              <w:tab/>
            </w:r>
            <w:r>
              <w:rPr>
                <w:noProof/>
                <w:webHidden/>
              </w:rPr>
              <w:fldChar w:fldCharType="begin"/>
            </w:r>
            <w:r>
              <w:rPr>
                <w:noProof/>
                <w:webHidden/>
              </w:rPr>
              <w:instrText xml:space="preserve"> PAGEREF _Toc300000017 \h </w:instrText>
            </w:r>
            <w:r>
              <w:rPr>
                <w:noProof/>
                <w:webHidden/>
              </w:rPr>
            </w:r>
            <w:r>
              <w:rPr>
                <w:noProof/>
                <w:webHidden/>
              </w:rPr>
              <w:fldChar w:fldCharType="separate"/>
            </w:r>
            <w:r>
              <w:rPr>
                <w:noProof/>
                <w:webHidden/>
              </w:rPr>
              <w:t>13</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18" w:history="1">
            <w:r w:rsidRPr="004513F3">
              <w:rPr>
                <w:rStyle w:val="Hyperlink"/>
                <w:noProof/>
              </w:rPr>
              <w:t>3.7</w:t>
            </w:r>
            <w:r>
              <w:rPr>
                <w:rFonts w:asciiTheme="minorHAnsi" w:hAnsiTheme="minorHAnsi"/>
                <w:noProof/>
                <w:kern w:val="2"/>
                <w:sz w:val="24"/>
                <w:szCs w:val="24"/>
                <w:lang w:val="en-IN" w:eastAsia="en-IN"/>
                <w14:ligatures w14:val="standardContextual"/>
              </w:rPr>
              <w:tab/>
            </w:r>
            <w:r w:rsidRPr="004513F3">
              <w:rPr>
                <w:rStyle w:val="Hyperlink"/>
                <w:noProof/>
              </w:rPr>
              <w:t>Recommendation</w:t>
            </w:r>
            <w:r>
              <w:rPr>
                <w:noProof/>
                <w:webHidden/>
              </w:rPr>
              <w:tab/>
            </w:r>
            <w:r>
              <w:rPr>
                <w:noProof/>
                <w:webHidden/>
              </w:rPr>
              <w:fldChar w:fldCharType="begin"/>
            </w:r>
            <w:r>
              <w:rPr>
                <w:noProof/>
                <w:webHidden/>
              </w:rPr>
              <w:instrText xml:space="preserve"> PAGEREF _Toc300000018 \h </w:instrText>
            </w:r>
            <w:r>
              <w:rPr>
                <w:noProof/>
                <w:webHidden/>
              </w:rPr>
            </w:r>
            <w:r>
              <w:rPr>
                <w:noProof/>
                <w:webHidden/>
              </w:rPr>
              <w:fldChar w:fldCharType="separate"/>
            </w:r>
            <w:r>
              <w:rPr>
                <w:noProof/>
                <w:webHidden/>
              </w:rPr>
              <w:t>13</w:t>
            </w:r>
            <w:r>
              <w:rPr>
                <w:noProof/>
                <w:webHidden/>
              </w:rPr>
              <w:fldChar w:fldCharType="end"/>
            </w:r>
          </w:hyperlink>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hyperlink w:anchor="_Toc300000019" w:history="1">
            <w:r w:rsidR="00106C46" w:rsidRPr="004513F3">
              <w:rPr>
                <w:rStyle w:val="Hyperlink"/>
                <w:noProof/>
              </w:rPr>
              <w:t>4</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Reporting and Analytics Store</w:t>
            </w:r>
            <w:r w:rsidR="00106C46">
              <w:rPr>
                <w:noProof/>
                <w:webHidden/>
              </w:rPr>
              <w:tab/>
            </w:r>
            <w:r w:rsidR="00106C46">
              <w:rPr>
                <w:noProof/>
                <w:webHidden/>
              </w:rPr>
              <w:fldChar w:fldCharType="begin"/>
            </w:r>
            <w:r w:rsidR="00106C46">
              <w:rPr>
                <w:noProof/>
                <w:webHidden/>
              </w:rPr>
              <w:instrText xml:space="preserve"> PAGEREF _Toc300000019 \h </w:instrText>
            </w:r>
            <w:r w:rsidR="00106C46">
              <w:rPr>
                <w:noProof/>
                <w:webHidden/>
              </w:rPr>
            </w:r>
            <w:r w:rsidR="00106C46">
              <w:rPr>
                <w:noProof/>
                <w:webHidden/>
              </w:rPr>
              <w:fldChar w:fldCharType="separate"/>
            </w:r>
            <w:r w:rsidR="00106C46">
              <w:rPr>
                <w:noProof/>
                <w:webHidden/>
              </w:rPr>
              <w:t>15</w:t>
            </w:r>
            <w:r w:rsidR="00106C46">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20" w:history="1">
            <w:r w:rsidRPr="004513F3">
              <w:rPr>
                <w:rStyle w:val="Hyperlink"/>
                <w:noProof/>
              </w:rPr>
              <w:t>4.1</w:t>
            </w:r>
            <w:r>
              <w:rPr>
                <w:rFonts w:asciiTheme="minorHAnsi" w:hAnsiTheme="minorHAnsi"/>
                <w:noProof/>
                <w:kern w:val="2"/>
                <w:sz w:val="24"/>
                <w:szCs w:val="24"/>
                <w:lang w:val="en-IN" w:eastAsia="en-IN"/>
                <w14:ligatures w14:val="standardContextual"/>
              </w:rPr>
              <w:tab/>
            </w:r>
            <w:r w:rsidRPr="004513F3">
              <w:rPr>
                <w:rStyle w:val="Hyperlink"/>
                <w:noProof/>
              </w:rPr>
              <w:t>Available tools</w:t>
            </w:r>
            <w:r>
              <w:rPr>
                <w:noProof/>
                <w:webHidden/>
              </w:rPr>
              <w:tab/>
            </w:r>
            <w:r>
              <w:rPr>
                <w:noProof/>
                <w:webHidden/>
              </w:rPr>
              <w:fldChar w:fldCharType="begin"/>
            </w:r>
            <w:r>
              <w:rPr>
                <w:noProof/>
                <w:webHidden/>
              </w:rPr>
              <w:instrText xml:space="preserve"> PAGEREF _Toc300000020 \h </w:instrText>
            </w:r>
            <w:r>
              <w:rPr>
                <w:noProof/>
                <w:webHidden/>
              </w:rPr>
            </w:r>
            <w:r>
              <w:rPr>
                <w:noProof/>
                <w:webHidden/>
              </w:rPr>
              <w:fldChar w:fldCharType="separate"/>
            </w:r>
            <w:r>
              <w:rPr>
                <w:noProof/>
                <w:webHidden/>
              </w:rPr>
              <w:t>15</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21" w:history="1">
            <w:r w:rsidRPr="004513F3">
              <w:rPr>
                <w:rStyle w:val="Hyperlink"/>
                <w:noProof/>
              </w:rPr>
              <w:t>4.1.1</w:t>
            </w:r>
            <w:r>
              <w:rPr>
                <w:rFonts w:asciiTheme="minorHAnsi" w:hAnsiTheme="minorHAnsi"/>
                <w:noProof/>
                <w:kern w:val="2"/>
                <w:sz w:val="24"/>
                <w:szCs w:val="24"/>
                <w:lang w:val="en-IN" w:eastAsia="en-IN"/>
                <w14:ligatures w14:val="standardContextual"/>
              </w:rPr>
              <w:tab/>
            </w:r>
            <w:r w:rsidRPr="004513F3">
              <w:rPr>
                <w:rStyle w:val="Hyperlink"/>
                <w:noProof/>
              </w:rPr>
              <w:t>Amazon Redshift</w:t>
            </w:r>
            <w:r>
              <w:rPr>
                <w:noProof/>
                <w:webHidden/>
              </w:rPr>
              <w:tab/>
            </w:r>
            <w:r>
              <w:rPr>
                <w:noProof/>
                <w:webHidden/>
              </w:rPr>
              <w:fldChar w:fldCharType="begin"/>
            </w:r>
            <w:r>
              <w:rPr>
                <w:noProof/>
                <w:webHidden/>
              </w:rPr>
              <w:instrText xml:space="preserve"> PAGEREF _Toc300000021 \h </w:instrText>
            </w:r>
            <w:r>
              <w:rPr>
                <w:noProof/>
                <w:webHidden/>
              </w:rPr>
            </w:r>
            <w:r>
              <w:rPr>
                <w:noProof/>
                <w:webHidden/>
              </w:rPr>
              <w:fldChar w:fldCharType="separate"/>
            </w:r>
            <w:r>
              <w:rPr>
                <w:noProof/>
                <w:webHidden/>
              </w:rPr>
              <w:t>15</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22" w:history="1">
            <w:r w:rsidRPr="004513F3">
              <w:rPr>
                <w:rStyle w:val="Hyperlink"/>
                <w:noProof/>
              </w:rPr>
              <w:t>4.1.2</w:t>
            </w:r>
            <w:r>
              <w:rPr>
                <w:rFonts w:asciiTheme="minorHAnsi" w:hAnsiTheme="minorHAnsi"/>
                <w:noProof/>
                <w:kern w:val="2"/>
                <w:sz w:val="24"/>
                <w:szCs w:val="24"/>
                <w:lang w:val="en-IN" w:eastAsia="en-IN"/>
                <w14:ligatures w14:val="standardContextual"/>
              </w:rPr>
              <w:tab/>
            </w:r>
            <w:r w:rsidRPr="004513F3">
              <w:rPr>
                <w:rStyle w:val="Hyperlink"/>
                <w:noProof/>
              </w:rPr>
              <w:t>Amazon Athena on an S3 data lake</w:t>
            </w:r>
            <w:r>
              <w:rPr>
                <w:noProof/>
                <w:webHidden/>
              </w:rPr>
              <w:tab/>
            </w:r>
            <w:r>
              <w:rPr>
                <w:noProof/>
                <w:webHidden/>
              </w:rPr>
              <w:fldChar w:fldCharType="begin"/>
            </w:r>
            <w:r>
              <w:rPr>
                <w:noProof/>
                <w:webHidden/>
              </w:rPr>
              <w:instrText xml:space="preserve"> PAGEREF _Toc300000022 \h </w:instrText>
            </w:r>
            <w:r>
              <w:rPr>
                <w:noProof/>
                <w:webHidden/>
              </w:rPr>
            </w:r>
            <w:r>
              <w:rPr>
                <w:noProof/>
                <w:webHidden/>
              </w:rPr>
              <w:fldChar w:fldCharType="separate"/>
            </w:r>
            <w:r>
              <w:rPr>
                <w:noProof/>
                <w:webHidden/>
              </w:rPr>
              <w:t>16</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23" w:history="1">
            <w:r w:rsidRPr="004513F3">
              <w:rPr>
                <w:rStyle w:val="Hyperlink"/>
                <w:noProof/>
              </w:rPr>
              <w:t>4.1.3</w:t>
            </w:r>
            <w:r>
              <w:rPr>
                <w:rFonts w:asciiTheme="minorHAnsi" w:hAnsiTheme="minorHAnsi"/>
                <w:noProof/>
                <w:kern w:val="2"/>
                <w:sz w:val="24"/>
                <w:szCs w:val="24"/>
                <w:lang w:val="en-IN" w:eastAsia="en-IN"/>
                <w14:ligatures w14:val="standardContextual"/>
              </w:rPr>
              <w:tab/>
            </w:r>
            <w:r w:rsidRPr="004513F3">
              <w:rPr>
                <w:rStyle w:val="Hyperlink"/>
                <w:noProof/>
              </w:rPr>
              <w:t>Snowflake</w:t>
            </w:r>
            <w:r>
              <w:rPr>
                <w:noProof/>
                <w:webHidden/>
              </w:rPr>
              <w:tab/>
            </w:r>
            <w:r>
              <w:rPr>
                <w:noProof/>
                <w:webHidden/>
              </w:rPr>
              <w:fldChar w:fldCharType="begin"/>
            </w:r>
            <w:r>
              <w:rPr>
                <w:noProof/>
                <w:webHidden/>
              </w:rPr>
              <w:instrText xml:space="preserve"> PAGEREF _Toc300000023 \h </w:instrText>
            </w:r>
            <w:r>
              <w:rPr>
                <w:noProof/>
                <w:webHidden/>
              </w:rPr>
            </w:r>
            <w:r>
              <w:rPr>
                <w:noProof/>
                <w:webHidden/>
              </w:rPr>
              <w:fldChar w:fldCharType="separate"/>
            </w:r>
            <w:r>
              <w:rPr>
                <w:noProof/>
                <w:webHidden/>
              </w:rPr>
              <w:t>16</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24" w:history="1">
            <w:r w:rsidRPr="004513F3">
              <w:rPr>
                <w:rStyle w:val="Hyperlink"/>
                <w:noProof/>
              </w:rPr>
              <w:t>4.1.4</w:t>
            </w:r>
            <w:r>
              <w:rPr>
                <w:rFonts w:asciiTheme="minorHAnsi" w:hAnsiTheme="minorHAnsi"/>
                <w:noProof/>
                <w:kern w:val="2"/>
                <w:sz w:val="24"/>
                <w:szCs w:val="24"/>
                <w:lang w:val="en-IN" w:eastAsia="en-IN"/>
                <w14:ligatures w14:val="standardContextual"/>
              </w:rPr>
              <w:tab/>
            </w:r>
            <w:r w:rsidRPr="004513F3">
              <w:rPr>
                <w:rStyle w:val="Hyperlink"/>
                <w:noProof/>
              </w:rPr>
              <w:t>PostgreSQL reporting replica</w:t>
            </w:r>
            <w:r>
              <w:rPr>
                <w:noProof/>
                <w:webHidden/>
              </w:rPr>
              <w:tab/>
            </w:r>
            <w:r>
              <w:rPr>
                <w:noProof/>
                <w:webHidden/>
              </w:rPr>
              <w:fldChar w:fldCharType="begin"/>
            </w:r>
            <w:r>
              <w:rPr>
                <w:noProof/>
                <w:webHidden/>
              </w:rPr>
              <w:instrText xml:space="preserve"> PAGEREF _Toc300000024 \h </w:instrText>
            </w:r>
            <w:r>
              <w:rPr>
                <w:noProof/>
                <w:webHidden/>
              </w:rPr>
            </w:r>
            <w:r>
              <w:rPr>
                <w:noProof/>
                <w:webHidden/>
              </w:rPr>
              <w:fldChar w:fldCharType="separate"/>
            </w:r>
            <w:r>
              <w:rPr>
                <w:noProof/>
                <w:webHidden/>
              </w:rPr>
              <w:t>17</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25" w:history="1">
            <w:r w:rsidRPr="004513F3">
              <w:rPr>
                <w:rStyle w:val="Hyperlink"/>
                <w:noProof/>
              </w:rPr>
              <w:t>4.2</w:t>
            </w:r>
            <w:r>
              <w:rPr>
                <w:rFonts w:asciiTheme="minorHAnsi" w:hAnsiTheme="minorHAnsi"/>
                <w:noProof/>
                <w:kern w:val="2"/>
                <w:sz w:val="24"/>
                <w:szCs w:val="24"/>
                <w:lang w:val="en-IN" w:eastAsia="en-IN"/>
                <w14:ligatures w14:val="standardContextual"/>
              </w:rPr>
              <w:tab/>
            </w:r>
            <w:r w:rsidRPr="004513F3">
              <w:rPr>
                <w:rStyle w:val="Hyperlink"/>
                <w:noProof/>
              </w:rPr>
              <w:t>Point Matrix</w:t>
            </w:r>
            <w:r>
              <w:rPr>
                <w:noProof/>
                <w:webHidden/>
              </w:rPr>
              <w:tab/>
            </w:r>
            <w:r>
              <w:rPr>
                <w:noProof/>
                <w:webHidden/>
              </w:rPr>
              <w:fldChar w:fldCharType="begin"/>
            </w:r>
            <w:r>
              <w:rPr>
                <w:noProof/>
                <w:webHidden/>
              </w:rPr>
              <w:instrText xml:space="preserve"> PAGEREF _Toc300000025 \h </w:instrText>
            </w:r>
            <w:r>
              <w:rPr>
                <w:noProof/>
                <w:webHidden/>
              </w:rPr>
            </w:r>
            <w:r>
              <w:rPr>
                <w:noProof/>
                <w:webHidden/>
              </w:rPr>
              <w:fldChar w:fldCharType="separate"/>
            </w:r>
            <w:r>
              <w:rPr>
                <w:noProof/>
                <w:webHidden/>
              </w:rPr>
              <w:t>17</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26" w:history="1">
            <w:r w:rsidRPr="004513F3">
              <w:rPr>
                <w:rStyle w:val="Hyperlink"/>
                <w:noProof/>
              </w:rPr>
              <w:t>4.3</w:t>
            </w:r>
            <w:r>
              <w:rPr>
                <w:rFonts w:asciiTheme="minorHAnsi" w:hAnsiTheme="minorHAnsi"/>
                <w:noProof/>
                <w:kern w:val="2"/>
                <w:sz w:val="24"/>
                <w:szCs w:val="24"/>
                <w:lang w:val="en-IN" w:eastAsia="en-IN"/>
                <w14:ligatures w14:val="standardContextual"/>
              </w:rPr>
              <w:tab/>
            </w:r>
            <w:r w:rsidRPr="004513F3">
              <w:rPr>
                <w:rStyle w:val="Hyperlink"/>
                <w:noProof/>
              </w:rPr>
              <w:t>Comparison 1 — Weighted Scoring</w:t>
            </w:r>
            <w:r>
              <w:rPr>
                <w:noProof/>
                <w:webHidden/>
              </w:rPr>
              <w:tab/>
            </w:r>
            <w:r>
              <w:rPr>
                <w:noProof/>
                <w:webHidden/>
              </w:rPr>
              <w:fldChar w:fldCharType="begin"/>
            </w:r>
            <w:r>
              <w:rPr>
                <w:noProof/>
                <w:webHidden/>
              </w:rPr>
              <w:instrText xml:space="preserve"> PAGEREF _Toc300000026 \h </w:instrText>
            </w:r>
            <w:r>
              <w:rPr>
                <w:noProof/>
                <w:webHidden/>
              </w:rPr>
            </w:r>
            <w:r>
              <w:rPr>
                <w:noProof/>
                <w:webHidden/>
              </w:rPr>
              <w:fldChar w:fldCharType="separate"/>
            </w:r>
            <w:r>
              <w:rPr>
                <w:noProof/>
                <w:webHidden/>
              </w:rPr>
              <w:t>18</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27" w:history="1">
            <w:r w:rsidRPr="004513F3">
              <w:rPr>
                <w:rStyle w:val="Hyperlink"/>
                <w:noProof/>
              </w:rPr>
              <w:t>4.4</w:t>
            </w:r>
            <w:r>
              <w:rPr>
                <w:rFonts w:asciiTheme="minorHAnsi" w:hAnsiTheme="minorHAnsi"/>
                <w:noProof/>
                <w:kern w:val="2"/>
                <w:sz w:val="24"/>
                <w:szCs w:val="24"/>
                <w:lang w:val="en-IN" w:eastAsia="en-IN"/>
                <w14:ligatures w14:val="standardContextual"/>
              </w:rPr>
              <w:tab/>
            </w:r>
            <w:r w:rsidRPr="004513F3">
              <w:rPr>
                <w:rStyle w:val="Hyperlink"/>
                <w:noProof/>
              </w:rPr>
              <w:t>Comparison 2 — Capability Comparison</w:t>
            </w:r>
            <w:r>
              <w:rPr>
                <w:noProof/>
                <w:webHidden/>
              </w:rPr>
              <w:tab/>
            </w:r>
            <w:r>
              <w:rPr>
                <w:noProof/>
                <w:webHidden/>
              </w:rPr>
              <w:fldChar w:fldCharType="begin"/>
            </w:r>
            <w:r>
              <w:rPr>
                <w:noProof/>
                <w:webHidden/>
              </w:rPr>
              <w:instrText xml:space="preserve"> PAGEREF _Toc300000027 \h </w:instrText>
            </w:r>
            <w:r>
              <w:rPr>
                <w:noProof/>
                <w:webHidden/>
              </w:rPr>
            </w:r>
            <w:r>
              <w:rPr>
                <w:noProof/>
                <w:webHidden/>
              </w:rPr>
              <w:fldChar w:fldCharType="separate"/>
            </w:r>
            <w:r>
              <w:rPr>
                <w:noProof/>
                <w:webHidden/>
              </w:rPr>
              <w:t>18</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28" w:history="1">
            <w:r w:rsidRPr="004513F3">
              <w:rPr>
                <w:rStyle w:val="Hyperlink"/>
                <w:noProof/>
              </w:rPr>
              <w:t>4.5</w:t>
            </w:r>
            <w:r>
              <w:rPr>
                <w:rFonts w:asciiTheme="minorHAnsi" w:hAnsiTheme="minorHAnsi"/>
                <w:noProof/>
                <w:kern w:val="2"/>
                <w:sz w:val="24"/>
                <w:szCs w:val="24"/>
                <w:lang w:val="en-IN" w:eastAsia="en-IN"/>
                <w14:ligatures w14:val="standardContextual"/>
              </w:rPr>
              <w:tab/>
            </w:r>
            <w:r w:rsidRPr="004513F3">
              <w:rPr>
                <w:rStyle w:val="Hyperlink"/>
                <w:noProof/>
              </w:rPr>
              <w:t>Comparison 3 — Pricing at eClaims Volume</w:t>
            </w:r>
            <w:r>
              <w:rPr>
                <w:noProof/>
                <w:webHidden/>
              </w:rPr>
              <w:tab/>
            </w:r>
            <w:r>
              <w:rPr>
                <w:noProof/>
                <w:webHidden/>
              </w:rPr>
              <w:fldChar w:fldCharType="begin"/>
            </w:r>
            <w:r>
              <w:rPr>
                <w:noProof/>
                <w:webHidden/>
              </w:rPr>
              <w:instrText xml:space="preserve"> PAGEREF _Toc300000028 \h </w:instrText>
            </w:r>
            <w:r>
              <w:rPr>
                <w:noProof/>
                <w:webHidden/>
              </w:rPr>
            </w:r>
            <w:r>
              <w:rPr>
                <w:noProof/>
                <w:webHidden/>
              </w:rPr>
              <w:fldChar w:fldCharType="separate"/>
            </w:r>
            <w:r>
              <w:rPr>
                <w:noProof/>
                <w:webHidden/>
              </w:rPr>
              <w:t>19</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29" w:history="1">
            <w:r w:rsidRPr="004513F3">
              <w:rPr>
                <w:rStyle w:val="Hyperlink"/>
                <w:noProof/>
              </w:rPr>
              <w:t>4.6</w:t>
            </w:r>
            <w:r>
              <w:rPr>
                <w:rFonts w:asciiTheme="minorHAnsi" w:hAnsiTheme="minorHAnsi"/>
                <w:noProof/>
                <w:kern w:val="2"/>
                <w:sz w:val="24"/>
                <w:szCs w:val="24"/>
                <w:lang w:val="en-IN" w:eastAsia="en-IN"/>
                <w14:ligatures w14:val="standardContextual"/>
              </w:rPr>
              <w:tab/>
            </w:r>
            <w:r w:rsidRPr="004513F3">
              <w:rPr>
                <w:rStyle w:val="Hyperlink"/>
                <w:noProof/>
              </w:rPr>
              <w:t>Sensitivity</w:t>
            </w:r>
            <w:r>
              <w:rPr>
                <w:noProof/>
                <w:webHidden/>
              </w:rPr>
              <w:tab/>
            </w:r>
            <w:r>
              <w:rPr>
                <w:noProof/>
                <w:webHidden/>
              </w:rPr>
              <w:fldChar w:fldCharType="begin"/>
            </w:r>
            <w:r>
              <w:rPr>
                <w:noProof/>
                <w:webHidden/>
              </w:rPr>
              <w:instrText xml:space="preserve"> PAGEREF _Toc300000029 \h </w:instrText>
            </w:r>
            <w:r>
              <w:rPr>
                <w:noProof/>
                <w:webHidden/>
              </w:rPr>
            </w:r>
            <w:r>
              <w:rPr>
                <w:noProof/>
                <w:webHidden/>
              </w:rPr>
              <w:fldChar w:fldCharType="separate"/>
            </w:r>
            <w:r>
              <w:rPr>
                <w:noProof/>
                <w:webHidden/>
              </w:rPr>
              <w:t>20</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30" w:history="1">
            <w:r w:rsidRPr="004513F3">
              <w:rPr>
                <w:rStyle w:val="Hyperlink"/>
                <w:noProof/>
              </w:rPr>
              <w:t>4.7</w:t>
            </w:r>
            <w:r>
              <w:rPr>
                <w:rFonts w:asciiTheme="minorHAnsi" w:hAnsiTheme="minorHAnsi"/>
                <w:noProof/>
                <w:kern w:val="2"/>
                <w:sz w:val="24"/>
                <w:szCs w:val="24"/>
                <w:lang w:val="en-IN" w:eastAsia="en-IN"/>
                <w14:ligatures w14:val="standardContextual"/>
              </w:rPr>
              <w:tab/>
            </w:r>
            <w:r w:rsidRPr="004513F3">
              <w:rPr>
                <w:rStyle w:val="Hyperlink"/>
                <w:noProof/>
              </w:rPr>
              <w:t>Recommendation</w:t>
            </w:r>
            <w:r>
              <w:rPr>
                <w:noProof/>
                <w:webHidden/>
              </w:rPr>
              <w:tab/>
            </w:r>
            <w:r>
              <w:rPr>
                <w:noProof/>
                <w:webHidden/>
              </w:rPr>
              <w:fldChar w:fldCharType="begin"/>
            </w:r>
            <w:r>
              <w:rPr>
                <w:noProof/>
                <w:webHidden/>
              </w:rPr>
              <w:instrText xml:space="preserve"> PAGEREF _Toc300000030 \h </w:instrText>
            </w:r>
            <w:r>
              <w:rPr>
                <w:noProof/>
                <w:webHidden/>
              </w:rPr>
            </w:r>
            <w:r>
              <w:rPr>
                <w:noProof/>
                <w:webHidden/>
              </w:rPr>
              <w:fldChar w:fldCharType="separate"/>
            </w:r>
            <w:r>
              <w:rPr>
                <w:noProof/>
                <w:webHidden/>
              </w:rPr>
              <w:t>20</w:t>
            </w:r>
            <w:r>
              <w:rPr>
                <w:noProof/>
                <w:webHidden/>
              </w:rPr>
              <w:fldChar w:fldCharType="end"/>
            </w:r>
          </w:hyperlink>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hyperlink w:anchor="_Toc300000031" w:history="1">
            <w:r w:rsidR="00106C46" w:rsidRPr="004513F3">
              <w:rPr>
                <w:rStyle w:val="Hyperlink"/>
                <w:noProof/>
              </w:rPr>
              <w:t>5</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Identity and Access</w:t>
            </w:r>
            <w:r w:rsidR="00106C46">
              <w:rPr>
                <w:noProof/>
                <w:webHidden/>
              </w:rPr>
              <w:tab/>
            </w:r>
            <w:r w:rsidR="00106C46">
              <w:rPr>
                <w:noProof/>
                <w:webHidden/>
              </w:rPr>
              <w:fldChar w:fldCharType="begin"/>
            </w:r>
            <w:r w:rsidR="00106C46">
              <w:rPr>
                <w:noProof/>
                <w:webHidden/>
              </w:rPr>
              <w:instrText xml:space="preserve"> PAGEREF _Toc300000031 \h </w:instrText>
            </w:r>
            <w:r w:rsidR="00106C46">
              <w:rPr>
                <w:noProof/>
                <w:webHidden/>
              </w:rPr>
            </w:r>
            <w:r w:rsidR="00106C46">
              <w:rPr>
                <w:noProof/>
                <w:webHidden/>
              </w:rPr>
              <w:fldChar w:fldCharType="separate"/>
            </w:r>
            <w:r w:rsidR="00106C46">
              <w:rPr>
                <w:noProof/>
                <w:webHidden/>
              </w:rPr>
              <w:t>22</w:t>
            </w:r>
            <w:r w:rsidR="00106C46">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32" w:history="1">
            <w:r w:rsidRPr="004513F3">
              <w:rPr>
                <w:rStyle w:val="Hyperlink"/>
                <w:noProof/>
              </w:rPr>
              <w:t>5.1</w:t>
            </w:r>
            <w:r>
              <w:rPr>
                <w:rFonts w:asciiTheme="minorHAnsi" w:hAnsiTheme="minorHAnsi"/>
                <w:noProof/>
                <w:kern w:val="2"/>
                <w:sz w:val="24"/>
                <w:szCs w:val="24"/>
                <w:lang w:val="en-IN" w:eastAsia="en-IN"/>
                <w14:ligatures w14:val="standardContextual"/>
              </w:rPr>
              <w:tab/>
            </w:r>
            <w:r w:rsidRPr="004513F3">
              <w:rPr>
                <w:rStyle w:val="Hyperlink"/>
                <w:noProof/>
              </w:rPr>
              <w:t>Available tools</w:t>
            </w:r>
            <w:r>
              <w:rPr>
                <w:noProof/>
                <w:webHidden/>
              </w:rPr>
              <w:tab/>
            </w:r>
            <w:r>
              <w:rPr>
                <w:noProof/>
                <w:webHidden/>
              </w:rPr>
              <w:fldChar w:fldCharType="begin"/>
            </w:r>
            <w:r>
              <w:rPr>
                <w:noProof/>
                <w:webHidden/>
              </w:rPr>
              <w:instrText xml:space="preserve"> PAGEREF _Toc300000032 \h </w:instrText>
            </w:r>
            <w:r>
              <w:rPr>
                <w:noProof/>
                <w:webHidden/>
              </w:rPr>
            </w:r>
            <w:r>
              <w:rPr>
                <w:noProof/>
                <w:webHidden/>
              </w:rPr>
              <w:fldChar w:fldCharType="separate"/>
            </w:r>
            <w:r>
              <w:rPr>
                <w:noProof/>
                <w:webHidden/>
              </w:rPr>
              <w:t>22</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33" w:history="1">
            <w:r w:rsidRPr="004513F3">
              <w:rPr>
                <w:rStyle w:val="Hyperlink"/>
                <w:noProof/>
              </w:rPr>
              <w:t>5.1.1</w:t>
            </w:r>
            <w:r>
              <w:rPr>
                <w:rFonts w:asciiTheme="minorHAnsi" w:hAnsiTheme="minorHAnsi"/>
                <w:noProof/>
                <w:kern w:val="2"/>
                <w:sz w:val="24"/>
                <w:szCs w:val="24"/>
                <w:lang w:val="en-IN" w:eastAsia="en-IN"/>
                <w14:ligatures w14:val="standardContextual"/>
              </w:rPr>
              <w:tab/>
            </w:r>
            <w:r w:rsidRPr="004513F3">
              <w:rPr>
                <w:rStyle w:val="Hyperlink"/>
                <w:noProof/>
              </w:rPr>
              <w:t>eClaims Auth Service with Okta federation</w:t>
            </w:r>
            <w:r>
              <w:rPr>
                <w:noProof/>
                <w:webHidden/>
              </w:rPr>
              <w:tab/>
            </w:r>
            <w:r>
              <w:rPr>
                <w:noProof/>
                <w:webHidden/>
              </w:rPr>
              <w:fldChar w:fldCharType="begin"/>
            </w:r>
            <w:r>
              <w:rPr>
                <w:noProof/>
                <w:webHidden/>
              </w:rPr>
              <w:instrText xml:space="preserve"> PAGEREF _Toc300000033 \h </w:instrText>
            </w:r>
            <w:r>
              <w:rPr>
                <w:noProof/>
                <w:webHidden/>
              </w:rPr>
            </w:r>
            <w:r>
              <w:rPr>
                <w:noProof/>
                <w:webHidden/>
              </w:rPr>
              <w:fldChar w:fldCharType="separate"/>
            </w:r>
            <w:r>
              <w:rPr>
                <w:noProof/>
                <w:webHidden/>
              </w:rPr>
              <w:t>22</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34" w:history="1">
            <w:r w:rsidRPr="004513F3">
              <w:rPr>
                <w:rStyle w:val="Hyperlink"/>
                <w:noProof/>
              </w:rPr>
              <w:t>5.1.2</w:t>
            </w:r>
            <w:r>
              <w:rPr>
                <w:rFonts w:asciiTheme="minorHAnsi" w:hAnsiTheme="minorHAnsi"/>
                <w:noProof/>
                <w:kern w:val="2"/>
                <w:sz w:val="24"/>
                <w:szCs w:val="24"/>
                <w:lang w:val="en-IN" w:eastAsia="en-IN"/>
                <w14:ligatures w14:val="standardContextual"/>
              </w:rPr>
              <w:tab/>
            </w:r>
            <w:r w:rsidRPr="004513F3">
              <w:rPr>
                <w:rStyle w:val="Hyperlink"/>
                <w:noProof/>
              </w:rPr>
              <w:t>Amazon Cognito user pools</w:t>
            </w:r>
            <w:r>
              <w:rPr>
                <w:noProof/>
                <w:webHidden/>
              </w:rPr>
              <w:tab/>
            </w:r>
            <w:r>
              <w:rPr>
                <w:noProof/>
                <w:webHidden/>
              </w:rPr>
              <w:fldChar w:fldCharType="begin"/>
            </w:r>
            <w:r>
              <w:rPr>
                <w:noProof/>
                <w:webHidden/>
              </w:rPr>
              <w:instrText xml:space="preserve"> PAGEREF _Toc300000034 \h </w:instrText>
            </w:r>
            <w:r>
              <w:rPr>
                <w:noProof/>
                <w:webHidden/>
              </w:rPr>
            </w:r>
            <w:r>
              <w:rPr>
                <w:noProof/>
                <w:webHidden/>
              </w:rPr>
              <w:fldChar w:fldCharType="separate"/>
            </w:r>
            <w:r>
              <w:rPr>
                <w:noProof/>
                <w:webHidden/>
              </w:rPr>
              <w:t>23</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35" w:history="1">
            <w:r w:rsidRPr="004513F3">
              <w:rPr>
                <w:rStyle w:val="Hyperlink"/>
                <w:noProof/>
              </w:rPr>
              <w:t>5.1.3</w:t>
            </w:r>
            <w:r>
              <w:rPr>
                <w:rFonts w:asciiTheme="minorHAnsi" w:hAnsiTheme="minorHAnsi"/>
                <w:noProof/>
                <w:kern w:val="2"/>
                <w:sz w:val="24"/>
                <w:szCs w:val="24"/>
                <w:lang w:val="en-IN" w:eastAsia="en-IN"/>
                <w14:ligatures w14:val="standardContextual"/>
              </w:rPr>
              <w:tab/>
            </w:r>
            <w:r w:rsidRPr="004513F3">
              <w:rPr>
                <w:rStyle w:val="Hyperlink"/>
                <w:noProof/>
              </w:rPr>
              <w:t>Okta Customer Identity (Auth0)</w:t>
            </w:r>
            <w:r>
              <w:rPr>
                <w:noProof/>
                <w:webHidden/>
              </w:rPr>
              <w:tab/>
            </w:r>
            <w:r>
              <w:rPr>
                <w:noProof/>
                <w:webHidden/>
              </w:rPr>
              <w:fldChar w:fldCharType="begin"/>
            </w:r>
            <w:r>
              <w:rPr>
                <w:noProof/>
                <w:webHidden/>
              </w:rPr>
              <w:instrText xml:space="preserve"> PAGEREF _Toc300000035 \h </w:instrText>
            </w:r>
            <w:r>
              <w:rPr>
                <w:noProof/>
                <w:webHidden/>
              </w:rPr>
            </w:r>
            <w:r>
              <w:rPr>
                <w:noProof/>
                <w:webHidden/>
              </w:rPr>
              <w:fldChar w:fldCharType="separate"/>
            </w:r>
            <w:r>
              <w:rPr>
                <w:noProof/>
                <w:webHidden/>
              </w:rPr>
              <w:t>23</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36" w:history="1">
            <w:r w:rsidRPr="004513F3">
              <w:rPr>
                <w:rStyle w:val="Hyperlink"/>
                <w:noProof/>
              </w:rPr>
              <w:t>5.1.4</w:t>
            </w:r>
            <w:r>
              <w:rPr>
                <w:rFonts w:asciiTheme="minorHAnsi" w:hAnsiTheme="minorHAnsi"/>
                <w:noProof/>
                <w:kern w:val="2"/>
                <w:sz w:val="24"/>
                <w:szCs w:val="24"/>
                <w:lang w:val="en-IN" w:eastAsia="en-IN"/>
                <w14:ligatures w14:val="standardContextual"/>
              </w:rPr>
              <w:tab/>
            </w:r>
            <w:r w:rsidRPr="004513F3">
              <w:rPr>
                <w:rStyle w:val="Hyperlink"/>
                <w:noProof/>
              </w:rPr>
              <w:t>Keycloak</w:t>
            </w:r>
            <w:r>
              <w:rPr>
                <w:noProof/>
                <w:webHidden/>
              </w:rPr>
              <w:tab/>
            </w:r>
            <w:r>
              <w:rPr>
                <w:noProof/>
                <w:webHidden/>
              </w:rPr>
              <w:fldChar w:fldCharType="begin"/>
            </w:r>
            <w:r>
              <w:rPr>
                <w:noProof/>
                <w:webHidden/>
              </w:rPr>
              <w:instrText xml:space="preserve"> PAGEREF _Toc300000036 \h </w:instrText>
            </w:r>
            <w:r>
              <w:rPr>
                <w:noProof/>
                <w:webHidden/>
              </w:rPr>
            </w:r>
            <w:r>
              <w:rPr>
                <w:noProof/>
                <w:webHidden/>
              </w:rPr>
              <w:fldChar w:fldCharType="separate"/>
            </w:r>
            <w:r>
              <w:rPr>
                <w:noProof/>
                <w:webHidden/>
              </w:rPr>
              <w:t>24</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37" w:history="1">
            <w:r w:rsidRPr="004513F3">
              <w:rPr>
                <w:rStyle w:val="Hyperlink"/>
                <w:noProof/>
              </w:rPr>
              <w:t>5.2</w:t>
            </w:r>
            <w:r>
              <w:rPr>
                <w:rFonts w:asciiTheme="minorHAnsi" w:hAnsiTheme="minorHAnsi"/>
                <w:noProof/>
                <w:kern w:val="2"/>
                <w:sz w:val="24"/>
                <w:szCs w:val="24"/>
                <w:lang w:val="en-IN" w:eastAsia="en-IN"/>
                <w14:ligatures w14:val="standardContextual"/>
              </w:rPr>
              <w:tab/>
            </w:r>
            <w:r w:rsidRPr="004513F3">
              <w:rPr>
                <w:rStyle w:val="Hyperlink"/>
                <w:noProof/>
              </w:rPr>
              <w:t>Point Matrix</w:t>
            </w:r>
            <w:r>
              <w:rPr>
                <w:noProof/>
                <w:webHidden/>
              </w:rPr>
              <w:tab/>
            </w:r>
            <w:r>
              <w:rPr>
                <w:noProof/>
                <w:webHidden/>
              </w:rPr>
              <w:fldChar w:fldCharType="begin"/>
            </w:r>
            <w:r>
              <w:rPr>
                <w:noProof/>
                <w:webHidden/>
              </w:rPr>
              <w:instrText xml:space="preserve"> PAGEREF _Toc300000037 \h </w:instrText>
            </w:r>
            <w:r>
              <w:rPr>
                <w:noProof/>
                <w:webHidden/>
              </w:rPr>
            </w:r>
            <w:r>
              <w:rPr>
                <w:noProof/>
                <w:webHidden/>
              </w:rPr>
              <w:fldChar w:fldCharType="separate"/>
            </w:r>
            <w:r>
              <w:rPr>
                <w:noProof/>
                <w:webHidden/>
              </w:rPr>
              <w:t>24</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38" w:history="1">
            <w:r w:rsidRPr="004513F3">
              <w:rPr>
                <w:rStyle w:val="Hyperlink"/>
                <w:noProof/>
              </w:rPr>
              <w:t>5.3</w:t>
            </w:r>
            <w:r>
              <w:rPr>
                <w:rFonts w:asciiTheme="minorHAnsi" w:hAnsiTheme="minorHAnsi"/>
                <w:noProof/>
                <w:kern w:val="2"/>
                <w:sz w:val="24"/>
                <w:szCs w:val="24"/>
                <w:lang w:val="en-IN" w:eastAsia="en-IN"/>
                <w14:ligatures w14:val="standardContextual"/>
              </w:rPr>
              <w:tab/>
            </w:r>
            <w:r w:rsidRPr="004513F3">
              <w:rPr>
                <w:rStyle w:val="Hyperlink"/>
                <w:noProof/>
              </w:rPr>
              <w:t>Comparison 1 — Weighted Scoring</w:t>
            </w:r>
            <w:r>
              <w:rPr>
                <w:noProof/>
                <w:webHidden/>
              </w:rPr>
              <w:tab/>
            </w:r>
            <w:r>
              <w:rPr>
                <w:noProof/>
                <w:webHidden/>
              </w:rPr>
              <w:fldChar w:fldCharType="begin"/>
            </w:r>
            <w:r>
              <w:rPr>
                <w:noProof/>
                <w:webHidden/>
              </w:rPr>
              <w:instrText xml:space="preserve"> PAGEREF _Toc300000038 \h </w:instrText>
            </w:r>
            <w:r>
              <w:rPr>
                <w:noProof/>
                <w:webHidden/>
              </w:rPr>
            </w:r>
            <w:r>
              <w:rPr>
                <w:noProof/>
                <w:webHidden/>
              </w:rPr>
              <w:fldChar w:fldCharType="separate"/>
            </w:r>
            <w:r>
              <w:rPr>
                <w:noProof/>
                <w:webHidden/>
              </w:rPr>
              <w:t>25</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39" w:history="1">
            <w:r w:rsidRPr="004513F3">
              <w:rPr>
                <w:rStyle w:val="Hyperlink"/>
                <w:noProof/>
              </w:rPr>
              <w:t>5.4</w:t>
            </w:r>
            <w:r>
              <w:rPr>
                <w:rFonts w:asciiTheme="minorHAnsi" w:hAnsiTheme="minorHAnsi"/>
                <w:noProof/>
                <w:kern w:val="2"/>
                <w:sz w:val="24"/>
                <w:szCs w:val="24"/>
                <w:lang w:val="en-IN" w:eastAsia="en-IN"/>
                <w14:ligatures w14:val="standardContextual"/>
              </w:rPr>
              <w:tab/>
            </w:r>
            <w:r w:rsidRPr="004513F3">
              <w:rPr>
                <w:rStyle w:val="Hyperlink"/>
                <w:noProof/>
              </w:rPr>
              <w:t>Comparison 2 — Capability Comparison</w:t>
            </w:r>
            <w:r>
              <w:rPr>
                <w:noProof/>
                <w:webHidden/>
              </w:rPr>
              <w:tab/>
            </w:r>
            <w:r>
              <w:rPr>
                <w:noProof/>
                <w:webHidden/>
              </w:rPr>
              <w:fldChar w:fldCharType="begin"/>
            </w:r>
            <w:r>
              <w:rPr>
                <w:noProof/>
                <w:webHidden/>
              </w:rPr>
              <w:instrText xml:space="preserve"> PAGEREF _Toc300000039 \h </w:instrText>
            </w:r>
            <w:r>
              <w:rPr>
                <w:noProof/>
                <w:webHidden/>
              </w:rPr>
            </w:r>
            <w:r>
              <w:rPr>
                <w:noProof/>
                <w:webHidden/>
              </w:rPr>
              <w:fldChar w:fldCharType="separate"/>
            </w:r>
            <w:r>
              <w:rPr>
                <w:noProof/>
                <w:webHidden/>
              </w:rPr>
              <w:t>25</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40" w:history="1">
            <w:r w:rsidRPr="004513F3">
              <w:rPr>
                <w:rStyle w:val="Hyperlink"/>
                <w:noProof/>
              </w:rPr>
              <w:t>5.5</w:t>
            </w:r>
            <w:r>
              <w:rPr>
                <w:rFonts w:asciiTheme="minorHAnsi" w:hAnsiTheme="minorHAnsi"/>
                <w:noProof/>
                <w:kern w:val="2"/>
                <w:sz w:val="24"/>
                <w:szCs w:val="24"/>
                <w:lang w:val="en-IN" w:eastAsia="en-IN"/>
                <w14:ligatures w14:val="standardContextual"/>
              </w:rPr>
              <w:tab/>
            </w:r>
            <w:r w:rsidRPr="004513F3">
              <w:rPr>
                <w:rStyle w:val="Hyperlink"/>
                <w:noProof/>
              </w:rPr>
              <w:t>Comparison 3 — Pricing at eClaims Volume</w:t>
            </w:r>
            <w:r>
              <w:rPr>
                <w:noProof/>
                <w:webHidden/>
              </w:rPr>
              <w:tab/>
            </w:r>
            <w:r>
              <w:rPr>
                <w:noProof/>
                <w:webHidden/>
              </w:rPr>
              <w:fldChar w:fldCharType="begin"/>
            </w:r>
            <w:r>
              <w:rPr>
                <w:noProof/>
                <w:webHidden/>
              </w:rPr>
              <w:instrText xml:space="preserve"> PAGEREF _Toc300000040 \h </w:instrText>
            </w:r>
            <w:r>
              <w:rPr>
                <w:noProof/>
                <w:webHidden/>
              </w:rPr>
            </w:r>
            <w:r>
              <w:rPr>
                <w:noProof/>
                <w:webHidden/>
              </w:rPr>
              <w:fldChar w:fldCharType="separate"/>
            </w:r>
            <w:r>
              <w:rPr>
                <w:noProof/>
                <w:webHidden/>
              </w:rPr>
              <w:t>26</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41" w:history="1">
            <w:r w:rsidRPr="004513F3">
              <w:rPr>
                <w:rStyle w:val="Hyperlink"/>
                <w:noProof/>
              </w:rPr>
              <w:t>5.6</w:t>
            </w:r>
            <w:r>
              <w:rPr>
                <w:rFonts w:asciiTheme="minorHAnsi" w:hAnsiTheme="minorHAnsi"/>
                <w:noProof/>
                <w:kern w:val="2"/>
                <w:sz w:val="24"/>
                <w:szCs w:val="24"/>
                <w:lang w:val="en-IN" w:eastAsia="en-IN"/>
                <w14:ligatures w14:val="standardContextual"/>
              </w:rPr>
              <w:tab/>
            </w:r>
            <w:r w:rsidRPr="004513F3">
              <w:rPr>
                <w:rStyle w:val="Hyperlink"/>
                <w:noProof/>
              </w:rPr>
              <w:t>Sensitivity</w:t>
            </w:r>
            <w:r>
              <w:rPr>
                <w:noProof/>
                <w:webHidden/>
              </w:rPr>
              <w:tab/>
            </w:r>
            <w:r>
              <w:rPr>
                <w:noProof/>
                <w:webHidden/>
              </w:rPr>
              <w:fldChar w:fldCharType="begin"/>
            </w:r>
            <w:r>
              <w:rPr>
                <w:noProof/>
                <w:webHidden/>
              </w:rPr>
              <w:instrText xml:space="preserve"> PAGEREF _Toc300000041 \h </w:instrText>
            </w:r>
            <w:r>
              <w:rPr>
                <w:noProof/>
                <w:webHidden/>
              </w:rPr>
            </w:r>
            <w:r>
              <w:rPr>
                <w:noProof/>
                <w:webHidden/>
              </w:rPr>
              <w:fldChar w:fldCharType="separate"/>
            </w:r>
            <w:r>
              <w:rPr>
                <w:noProof/>
                <w:webHidden/>
              </w:rPr>
              <w:t>27</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42" w:history="1">
            <w:r w:rsidRPr="004513F3">
              <w:rPr>
                <w:rStyle w:val="Hyperlink"/>
                <w:noProof/>
              </w:rPr>
              <w:t>5.7</w:t>
            </w:r>
            <w:r>
              <w:rPr>
                <w:rFonts w:asciiTheme="minorHAnsi" w:hAnsiTheme="minorHAnsi"/>
                <w:noProof/>
                <w:kern w:val="2"/>
                <w:sz w:val="24"/>
                <w:szCs w:val="24"/>
                <w:lang w:val="en-IN" w:eastAsia="en-IN"/>
                <w14:ligatures w14:val="standardContextual"/>
              </w:rPr>
              <w:tab/>
            </w:r>
            <w:r w:rsidRPr="004513F3">
              <w:rPr>
                <w:rStyle w:val="Hyperlink"/>
                <w:noProof/>
              </w:rPr>
              <w:t>Recommendation</w:t>
            </w:r>
            <w:r>
              <w:rPr>
                <w:noProof/>
                <w:webHidden/>
              </w:rPr>
              <w:tab/>
            </w:r>
            <w:r>
              <w:rPr>
                <w:noProof/>
                <w:webHidden/>
              </w:rPr>
              <w:fldChar w:fldCharType="begin"/>
            </w:r>
            <w:r>
              <w:rPr>
                <w:noProof/>
                <w:webHidden/>
              </w:rPr>
              <w:instrText xml:space="preserve"> PAGEREF _Toc300000042 \h </w:instrText>
            </w:r>
            <w:r>
              <w:rPr>
                <w:noProof/>
                <w:webHidden/>
              </w:rPr>
            </w:r>
            <w:r>
              <w:rPr>
                <w:noProof/>
                <w:webHidden/>
              </w:rPr>
              <w:fldChar w:fldCharType="separate"/>
            </w:r>
            <w:r>
              <w:rPr>
                <w:noProof/>
                <w:webHidden/>
              </w:rPr>
              <w:t>27</w:t>
            </w:r>
            <w:r>
              <w:rPr>
                <w:noProof/>
                <w:webHidden/>
              </w:rPr>
              <w:fldChar w:fldCharType="end"/>
            </w:r>
          </w:hyperlink>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hyperlink w:anchor="_Toc300000043" w:history="1">
            <w:r w:rsidR="00106C46" w:rsidRPr="004513F3">
              <w:rPr>
                <w:rStyle w:val="Hyperlink"/>
                <w:noProof/>
              </w:rPr>
              <w:t>6</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Summary of Recommendations</w:t>
            </w:r>
            <w:r w:rsidR="00106C46">
              <w:rPr>
                <w:noProof/>
                <w:webHidden/>
              </w:rPr>
              <w:tab/>
            </w:r>
            <w:r w:rsidR="00106C46">
              <w:rPr>
                <w:noProof/>
                <w:webHidden/>
              </w:rPr>
              <w:fldChar w:fldCharType="begin"/>
            </w:r>
            <w:r w:rsidR="00106C46">
              <w:rPr>
                <w:noProof/>
                <w:webHidden/>
              </w:rPr>
              <w:instrText xml:space="preserve"> PAGEREF _Toc300000043 \h </w:instrText>
            </w:r>
            <w:r w:rsidR="00106C46">
              <w:rPr>
                <w:noProof/>
                <w:webHidden/>
              </w:rPr>
            </w:r>
            <w:r w:rsidR="00106C46">
              <w:rPr>
                <w:noProof/>
                <w:webHidden/>
              </w:rPr>
              <w:fldChar w:fldCharType="separate"/>
            </w:r>
            <w:r w:rsidR="00106C46">
              <w:rPr>
                <w:noProof/>
                <w:webHidden/>
              </w:rPr>
              <w:t>29</w:t>
            </w:r>
            <w:r w:rsidR="00106C46">
              <w:rPr>
                <w:noProof/>
                <w:webHidden/>
              </w:rPr>
              <w:fldChar w:fldCharType="end"/>
            </w:r>
          </w:hyperlink>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hyperlink w:anchor="_Toc300000044" w:history="1">
            <w:r w:rsidR="00106C46" w:rsidRPr="004513F3">
              <w:rPr>
                <w:rStyle w:val="Hyperlink"/>
                <w:noProof/>
              </w:rPr>
              <w:t>7</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Assumptions</w:t>
            </w:r>
            <w:r w:rsidR="00106C46">
              <w:rPr>
                <w:noProof/>
                <w:webHidden/>
              </w:rPr>
              <w:tab/>
            </w:r>
            <w:r w:rsidR="00106C46">
              <w:rPr>
                <w:noProof/>
                <w:webHidden/>
              </w:rPr>
              <w:fldChar w:fldCharType="begin"/>
            </w:r>
            <w:r w:rsidR="00106C46">
              <w:rPr>
                <w:noProof/>
                <w:webHidden/>
              </w:rPr>
              <w:instrText xml:space="preserve"> PAGEREF _Toc300000044 \h </w:instrText>
            </w:r>
            <w:r w:rsidR="00106C46">
              <w:rPr>
                <w:noProof/>
                <w:webHidden/>
              </w:rPr>
            </w:r>
            <w:r w:rsidR="00106C46">
              <w:rPr>
                <w:noProof/>
                <w:webHidden/>
              </w:rPr>
              <w:fldChar w:fldCharType="separate"/>
            </w:r>
            <w:r w:rsidR="00106C46">
              <w:rPr>
                <w:noProof/>
                <w:webHidden/>
              </w:rPr>
              <w:t>30</w:t>
            </w:r>
            <w:r w:rsidR="00106C46">
              <w:rPr>
                <w:noProof/>
                <w:webHidden/>
              </w:rPr>
              <w:fldChar w:fldCharType="end"/>
            </w:r>
          </w:hyperlink>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hyperlink w:anchor="_Toc300000045" w:history="1">
            <w:r w:rsidR="00106C46" w:rsidRPr="004513F3">
              <w:rPr>
                <w:rStyle w:val="Hyperlink"/>
                <w:noProof/>
              </w:rPr>
              <w:t>8</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Risks</w:t>
            </w:r>
            <w:r w:rsidR="00106C46">
              <w:rPr>
                <w:noProof/>
                <w:webHidden/>
              </w:rPr>
              <w:tab/>
            </w:r>
            <w:r w:rsidR="00106C46">
              <w:rPr>
                <w:noProof/>
                <w:webHidden/>
              </w:rPr>
              <w:fldChar w:fldCharType="begin"/>
            </w:r>
            <w:r w:rsidR="00106C46">
              <w:rPr>
                <w:noProof/>
                <w:webHidden/>
              </w:rPr>
              <w:instrText xml:space="preserve"> PAGEREF _Toc300000045 \h </w:instrText>
            </w:r>
            <w:r w:rsidR="00106C46">
              <w:rPr>
                <w:noProof/>
                <w:webHidden/>
              </w:rPr>
            </w:r>
            <w:r w:rsidR="00106C46">
              <w:rPr>
                <w:noProof/>
                <w:webHidden/>
              </w:rPr>
              <w:fldChar w:fldCharType="separate"/>
            </w:r>
            <w:r w:rsidR="00106C46">
              <w:rPr>
                <w:noProof/>
                <w:webHidden/>
              </w:rPr>
              <w:t>31</w:t>
            </w:r>
            <w:r w:rsidR="00106C46">
              <w:rPr>
                <w:noProof/>
                <w:webHidden/>
              </w:rPr>
              <w:fldChar w:fldCharType="end"/>
            </w:r>
          </w:hyperlink>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hyperlink w:anchor="_Toc300000046" w:history="1">
            <w:r w:rsidR="00106C46" w:rsidRPr="004513F3">
              <w:rPr>
                <w:rStyle w:val="Hyperlink"/>
                <w:noProof/>
              </w:rPr>
              <w:t>9</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Appendix</w:t>
            </w:r>
            <w:r w:rsidR="00106C46">
              <w:rPr>
                <w:noProof/>
                <w:webHidden/>
              </w:rPr>
              <w:tab/>
            </w:r>
            <w:r w:rsidR="00106C46">
              <w:rPr>
                <w:noProof/>
                <w:webHidden/>
              </w:rPr>
              <w:fldChar w:fldCharType="begin"/>
            </w:r>
            <w:r w:rsidR="00106C46">
              <w:rPr>
                <w:noProof/>
                <w:webHidden/>
              </w:rPr>
              <w:instrText xml:space="preserve"> PAGEREF _Toc300000046 \h </w:instrText>
            </w:r>
            <w:r w:rsidR="00106C46">
              <w:rPr>
                <w:noProof/>
                <w:webHidden/>
              </w:rPr>
            </w:r>
            <w:r w:rsidR="00106C46">
              <w:rPr>
                <w:noProof/>
                <w:webHidden/>
              </w:rPr>
              <w:fldChar w:fldCharType="separate"/>
            </w:r>
            <w:r w:rsidR="00106C46">
              <w:rPr>
                <w:noProof/>
                <w:webHidden/>
              </w:rPr>
              <w:t>33</w:t>
            </w:r>
            <w:r w:rsidR="00106C46">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47" w:history="1">
            <w:r w:rsidRPr="004513F3">
              <w:rPr>
                <w:rStyle w:val="Hyperlink"/>
                <w:noProof/>
              </w:rPr>
              <w:t>9.1</w:t>
            </w:r>
            <w:r>
              <w:rPr>
                <w:rFonts w:asciiTheme="minorHAnsi" w:hAnsiTheme="minorHAnsi"/>
                <w:noProof/>
                <w:kern w:val="2"/>
                <w:sz w:val="24"/>
                <w:szCs w:val="24"/>
                <w:lang w:val="en-IN" w:eastAsia="en-IN"/>
                <w14:ligatures w14:val="standardContextual"/>
              </w:rPr>
              <w:tab/>
            </w:r>
            <w:r w:rsidRPr="004513F3">
              <w:rPr>
                <w:rStyle w:val="Hyperlink"/>
                <w:noProof/>
              </w:rPr>
              <w:t>References</w:t>
            </w:r>
            <w:r>
              <w:rPr>
                <w:noProof/>
                <w:webHidden/>
              </w:rPr>
              <w:tab/>
            </w:r>
            <w:r>
              <w:rPr>
                <w:noProof/>
                <w:webHidden/>
              </w:rPr>
              <w:fldChar w:fldCharType="begin"/>
            </w:r>
            <w:r>
              <w:rPr>
                <w:noProof/>
                <w:webHidden/>
              </w:rPr>
              <w:instrText xml:space="preserve"> PAGEREF _Toc300000047 \h </w:instrText>
            </w:r>
            <w:r>
              <w:rPr>
                <w:noProof/>
                <w:webHidden/>
              </w:rPr>
            </w:r>
            <w:r>
              <w:rPr>
                <w:noProof/>
                <w:webHidden/>
              </w:rPr>
              <w:fldChar w:fldCharType="separate"/>
            </w:r>
            <w:r>
              <w:rPr>
                <w:noProof/>
                <w:webHidden/>
              </w:rPr>
              <w:t>33</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48" w:history="1">
            <w:r w:rsidRPr="004513F3">
              <w:rPr>
                <w:rStyle w:val="Hyperlink"/>
                <w:noProof/>
              </w:rPr>
              <w:t>9.2</w:t>
            </w:r>
            <w:r>
              <w:rPr>
                <w:rFonts w:asciiTheme="minorHAnsi" w:hAnsiTheme="minorHAnsi"/>
                <w:noProof/>
                <w:kern w:val="2"/>
                <w:sz w:val="24"/>
                <w:szCs w:val="24"/>
                <w:lang w:val="en-IN" w:eastAsia="en-IN"/>
                <w14:ligatures w14:val="standardContextual"/>
              </w:rPr>
              <w:tab/>
            </w:r>
            <w:r w:rsidRPr="004513F3">
              <w:rPr>
                <w:rStyle w:val="Hyperlink"/>
                <w:noProof/>
              </w:rPr>
              <w:t>Scoring Methodology</w:t>
            </w:r>
            <w:r>
              <w:rPr>
                <w:noProof/>
                <w:webHidden/>
              </w:rPr>
              <w:tab/>
            </w:r>
            <w:r>
              <w:rPr>
                <w:noProof/>
                <w:webHidden/>
              </w:rPr>
              <w:fldChar w:fldCharType="begin"/>
            </w:r>
            <w:r>
              <w:rPr>
                <w:noProof/>
                <w:webHidden/>
              </w:rPr>
              <w:instrText xml:space="preserve"> PAGEREF _Toc300000048 \h </w:instrText>
            </w:r>
            <w:r>
              <w:rPr>
                <w:noProof/>
                <w:webHidden/>
              </w:rPr>
            </w:r>
            <w:r>
              <w:rPr>
                <w:noProof/>
                <w:webHidden/>
              </w:rPr>
              <w:fldChar w:fldCharType="separate"/>
            </w:r>
            <w:r>
              <w:rPr>
                <w:noProof/>
                <w:webHidden/>
              </w:rPr>
              <w:t>33</w:t>
            </w:r>
            <w:r>
              <w:rPr>
                <w:noProof/>
                <w:webHidden/>
              </w:rPr>
              <w:fldChar w:fldCharType="end"/>
            </w:r>
          </w:hyperlink>
        </w:p>
        <w:p w14:paraId="6CD82433" w14:textId="016C287E" w:rsidR="00756E07" w:rsidRPr="008848D6" w:rsidRDefault="00756E07" w:rsidP="00C22C69">
          <w:pPr>
            <w:spacing w:line="240" w:lineRule="auto"/>
            <w:rPr>
              <w:rFonts w:asciiTheme="majorHAnsi" w:hAnsiTheme="majorHAnsi"/>
            </w:rPr>
          </w:pPr>
          <w:r w:rsidRPr="008848D6">
            <w:rPr>
              <w:rFonts w:asciiTheme="majorHAnsi" w:hAnsiTheme="majorHAnsi"/>
              <w:b/>
              <w:bCs/>
              <w:noProof/>
            </w:rPr>
            <w:fldChar w:fldCharType="end"/>
          </w:r>
        </w:p>
      </w:sdtContent>
    </w:sdt>
    <w:p w14:paraId="3AF1A074" w14:textId="77777777" w:rsidR="00BF58F6" w:rsidRPr="008848D6" w:rsidRDefault="00643A1C" w:rsidP="00C22C69">
      <w:pPr>
        <w:spacing w:line="240" w:lineRule="auto"/>
        <w:rPr>
          <w:rFonts w:asciiTheme="majorHAnsi" w:hAnsiTheme="majorHAnsi"/>
        </w:rPr>
      </w:pPr>
      <w:r w:rsidRPr="008848D6">
        <w:rPr>
          <w:rFonts w:asciiTheme="majorHAnsi" w:hAnsiTheme="majorHAnsi"/>
        </w:rPr>
        <w:br w:type="page"/>
      </w:r>
    </w:p>
    <w:p>
      <w:pPr>
        <w:pStyle w:val="Heading1"/>
      </w:pPr>
      <w:bookmarkStart w:id="100" w:name="_Toc300000001"/>
      <w:r>
        <w:t>Introduction</w:t>
      </w:r>
      <w:bookmarkEnd w:id="100"/>
    </w:p>
    <w:p>
      <w:r>
        <w:t>This Decision Analysis and Recommendation (DAR) document records the evaluation behind three technology choices for the YCompany eClaims platform: the messaging and event backbone that carries every claim status change, the analytics store behind management reporting, and the identity platform through which customers, partners and staff sign in.</w:t>
      </w:r>
    </w:p>
    <w:p>
      <w:r>
        <w:t>The eClaims Solution Approach Document (SAD) names Amazon EventBridge, SQS and SNS for messaging, Amazon Redshift for analytics, and Okta with the eClaims Auth Service for identity (SAD Sections 4 and 8). The SAD states each conclusion in a line; this DAR supplies the evidence for it — the candidates considered, the evaluation attributes and their weights, the scoring, the indicative cost at eClaims volume, how sensitive each result is to its weights, and the assumptions and risks each recommendation carries.</w:t>
      </w:r>
    </w:p>
    <w:p>
      <w:r>
        <w:t>The three decisions share one document because they share one requirement set, one workload model and one set of assumptions, and each is small enough that a separate document would mostly repeat Sections 1, 2 and 7. Each decision is analysed on its own in Sections 3, 4 and 5, with its own candidates, point matrix, comparisons and recommendation.</w:t>
      </w:r>
    </w:p>
    <w:p>
      <w:pPr>
        <w:pStyle w:val="Heading2"/>
      </w:pPr>
      <w:bookmarkStart w:id="101" w:name="_Toc300000002"/>
      <w:r>
        <w:t>Objective and scope of document</w:t>
      </w:r>
      <w:bookmarkEnd w:id="101"/>
    </w:p>
    <w:p>
      <w:r>
        <w:t>The objective of this document is to identify the viable options for each of the three decisions, compare them objectively against requirement-derived criteria, and recommend one for the target production architecture.</w:t>
      </w:r>
    </w:p>
    <w:p>
      <w:r>
        <w:t>The scope of this DAR includes:</w:t>
      </w:r>
    </w:p>
    <w:p>
      <w:pPr>
        <w:pStyle w:val="ListParagraph"/>
        <w:numPr>
          <w:ilvl w:val="0"/>
          <w:numId w:val="40"/>
        </w:numPr>
      </w:pPr>
      <w:r>
        <w:t>Candidate identification — for each decision, the options that are credible for an insurance claims platform serving more than 200 million customers on AWS, including the simplest option that could work.</w:t>
      </w:r>
    </w:p>
    <w:p>
      <w:pPr>
        <w:pStyle w:val="ListParagraph"/>
        <w:numPr>
          <w:ilvl w:val="0"/>
          <w:numId w:val="40"/>
        </w:numPr>
      </w:pPr>
      <w:r>
        <w:t>Evaluation attributes and weights — each attribute traced to a stated functional or non-functional requirement, so that the weighting is auditable rather than asserted.</w:t>
      </w:r>
    </w:p>
    <w:p>
      <w:pPr>
        <w:pStyle w:val="ListParagraph"/>
        <w:numPr>
          <w:ilvl w:val="0"/>
          <w:numId w:val="40"/>
        </w:numPr>
      </w:pPr>
      <w:r>
        <w:t>Comparative analysis — for each decision, a weighted point matrix, a native-capability comparison and an indicative cost comparison at projected eClaims volume.</w:t>
      </w:r>
    </w:p>
    <w:p>
      <w:pPr>
        <w:pStyle w:val="ListParagraph"/>
        <w:numPr>
          <w:ilvl w:val="0"/>
          <w:numId w:val="40"/>
        </w:numPr>
      </w:pPr>
      <w:r>
        <w:t>Sensitivity — for each decision, the weight at which the runner-up would overtake the recommended option on the attribute most likely to be challenged.</w:t>
      </w:r>
    </w:p>
    <w:p>
      <w:pPr>
        <w:pStyle w:val="ListParagraph"/>
        <w:numPr>
          <w:ilvl w:val="0"/>
          <w:numId w:val="40"/>
        </w:numPr>
      </w:pPr>
      <w:r>
        <w:t>Recommendation — including the conditions under which each recommendation would change.</w:t>
      </w:r>
    </w:p>
    <w:p>
      <w:pPr>
        <w:pStyle w:val="ListParagraph"/>
        <w:numPr>
          <w:ilvl w:val="0"/>
          <w:numId w:val="40"/>
        </w:numPr>
      </w:pPr>
      <w:r>
        <w:t>Assumptions and risks — with mitigations, for the recommended options.</w:t>
      </w:r>
    </w:p>
    <w:p>
      <w:r>
        <w:t>The following are out of scope. This document does not restate the eClaims solution architecture, does not design the event schemas, report layouts or sign-in screens, and does not cover deployment topology or sizing, all of which are addressed in the SAD. The cost of delivering SMS and email, and the cost of a reporting front end such as Amazon QuickSight, are the same under every option and are excluded. Cost figures are indicative public list prices for US East (N. Virginia) as at the document date and are not quotations.</w:t>
      </w:r>
    </w:p>
    <w:p>
      <w:r>
        <w:br w:type="page"/>
      </w:r>
    </w:p>
    <w:p>
      <w:pPr>
        <w:pStyle w:val="Heading1"/>
      </w:pPr>
      <w:bookmarkStart w:id="102" w:name="_Toc300000003"/>
      <w:r>
        <w:t>Requirements at a Glance</w:t>
      </w:r>
      <w:bookmarkEnd w:id="102"/>
    </w:p>
    <w:p>
      <w:r>
        <w:t>This section summarises only those requirements that discriminate between the options. It is deliberately not a restatement of the full eClaims requirement set; requirements that every candidate satisfies equally are omitted, because they cannot influence a decision.</w:t>
      </w:r>
    </w:p>
    <w:p>
      <w:pPr>
        <w:pStyle w:val="Heading2"/>
      </w:pPr>
      <w:bookmarkStart w:id="103" w:name="_Toc300000004"/>
      <w:r>
        <w:t>Functional Requirements</w:t>
      </w:r>
      <w:bookmarkEnd w:id="103"/>
    </w:p>
    <w:p>
      <w:r>
        <w:rPr>
          <w:b/>
        </w:rPr>
        <w:t>Messaging and events</w:t>
      </w:r>
    </w:p>
    <w:p>
      <w:pPr>
        <w:pStyle w:val="ListParagraph"/>
        <w:numPr>
          <w:ilvl w:val="0"/>
          <w:numId w:val="40"/>
        </w:numPr>
      </w:pPr>
      <w:r>
        <w:t>Notification on every status change — customers and concerned parties must be notified by SMS and email as soon as a claim's status changes (case study, Sections 3 and 4.2).</w:t>
      </w:r>
    </w:p>
    <w:p>
      <w:pPr>
        <w:pStyle w:val="ListParagraph"/>
        <w:numPr>
          <w:ilvl w:val="0"/>
          <w:numId w:val="40"/>
        </w:numPr>
      </w:pPr>
      <w:r>
        <w:t>Event-driven processing — assignment, fraud scoring, notification, document indexing and report generation react to claim events instead of being called on the request path (SAD Section 9.2, rule 1).</w:t>
      </w:r>
    </w:p>
    <w:p>
      <w:pPr>
        <w:pStyle w:val="ListParagraph"/>
        <w:numPr>
          <w:ilvl w:val="0"/>
          <w:numId w:val="40"/>
        </w:numPr>
      </w:pPr>
      <w:r>
        <w:t>New consumers without producer changes — the design must allow evolution, flexibility and reuse; a new consumer of claim events must not require the service that produces them to change (case study, Section 5).</w:t>
      </w:r>
    </w:p>
    <w:p>
      <w:pPr>
        <w:pStyle w:val="ListParagraph"/>
        <w:numPr>
          <w:ilvl w:val="0"/>
          <w:numId w:val="40"/>
        </w:numPr>
      </w:pPr>
      <w:r>
        <w:t>Workflow participation — claim events must start and resume the AWS Step Functions claim workflow (Workflow Orchestration Engine DAR).</w:t>
      </w:r>
    </w:p>
    <w:p>
      <w:r>
        <w:rPr>
          <w:b/>
        </w:rPr>
        <w:t>Reporting and analytics</w:t>
      </w:r>
    </w:p>
    <w:p>
      <w:pPr>
        <w:pStyle w:val="ListParagraph"/>
        <w:numPr>
          <w:ilvl w:val="0"/>
          <w:numId w:val="40"/>
        </w:numPr>
      </w:pPr>
      <w:r>
        <w:t>Role-based reports — Case Managers report on the claims they received; Regional Managers see processing time, amount paid and claim count by geography for their region; top management compares regions by claims received and amount paid (case study, Section 3).</w:t>
      </w:r>
    </w:p>
    <w:p>
      <w:pPr>
        <w:pStyle w:val="ListParagraph"/>
        <w:numPr>
          <w:ilvl w:val="0"/>
          <w:numId w:val="40"/>
        </w:numPr>
      </w:pPr>
      <w:r>
        <w:t>Claims department analytics — reports on claims processed, processing time and fraudulent claims, and an ageing matrix for claims pending a long time (case study, Section 3).</w:t>
      </w:r>
    </w:p>
    <w:p>
      <w:pPr>
        <w:pStyle w:val="ListParagraph"/>
        <w:numPr>
          <w:ilvl w:val="0"/>
          <w:numId w:val="40"/>
        </w:numPr>
      </w:pPr>
      <w:r>
        <w:t>Reports off the transactional path — management reports run as background jobs and never query the transactional database on the request path (SAD Section 9.2, rule 3).</w:t>
      </w:r>
    </w:p>
    <w:p>
      <w:r>
        <w:rPr>
          <w:b/>
        </w:rPr>
        <w:t>Identity</w:t>
      </w:r>
    </w:p>
    <w:p>
      <w:pPr>
        <w:pStyle w:val="ListParagraph"/>
        <w:numPr>
          <w:ilvl w:val="0"/>
          <w:numId w:val="40"/>
        </w:numPr>
      </w:pPr>
      <w:r>
        <w:t>Registration by policy details — a customer creates a login using their policy details, checked against YCompany's Policy Administration System (case study, Section 3; SAD Assumptions 2 and 12).</w:t>
      </w:r>
    </w:p>
    <w:p>
      <w:pPr>
        <w:pStyle w:val="ListParagraph"/>
        <w:numPr>
          <w:ilvl w:val="0"/>
          <w:numId w:val="40"/>
        </w:numPr>
      </w:pPr>
      <w:r>
        <w:t>Three portals, one role model — customers, partner workshops and six internal roles sign in to the Customer, Partner and Internal Portals, under an identity management system with role-based authentication and authorisation (case study, Section 5.1, item 2).</w:t>
      </w:r>
    </w:p>
    <w:p>
      <w:pPr>
        <w:pStyle w:val="ListParagraph"/>
        <w:numPr>
          <w:ilvl w:val="0"/>
          <w:numId w:val="40"/>
        </w:numPr>
      </w:pPr>
      <w:r>
        <w:t>Roles configurable without code — the actions each role may perform must be changeable without a code change (case study, Section 5.1, item 3).</w:t>
      </w:r>
    </w:p>
    <w:p>
      <w:pPr>
        <w:pStyle w:val="ListParagraph"/>
        <w:numPr>
          <w:ilvl w:val="0"/>
          <w:numId w:val="40"/>
        </w:numPr>
      </w:pPr>
      <w:r>
        <w:t>Staff single sign-on — internal users sign in with their corporate identity (SAD Layer 6).</w:t>
      </w:r>
    </w:p>
    <w:p>
      <w:pPr>
        <w:pStyle w:val="Heading2"/>
      </w:pPr>
      <w:bookmarkStart w:id="104" w:name="_Toc300000005"/>
      <w:r>
        <w:t>Non-Functional Requirements</w:t>
      </w:r>
      <w:bookmarkEnd w:id="104"/>
    </w:p>
    <w:p>
      <w:pPr>
        <w:pStyle w:val="ListParagraph"/>
        <w:numPr>
          <w:ilvl w:val="0"/>
          <w:numId w:val="40"/>
        </w:numPr>
      </w:pPr>
      <w:r>
        <w:t>Availability and self-healing — 24×7 operation; after a crash the system must restart on its own, without losing in-flight work.</w:t>
      </w:r>
    </w:p>
    <w:p>
      <w:pPr>
        <w:pStyle w:val="ListParagraph"/>
        <w:numPr>
          <w:ilvl w:val="0"/>
          <w:numId w:val="40"/>
        </w:numPr>
      </w:pPr>
      <w:r>
        <w:t>Performance — 99% of requests must complete in under 5,000 ms in peak and non-peak hours, so nothing slow may sit on the request path.</w:t>
      </w:r>
    </w:p>
    <w:p>
      <w:pPr>
        <w:pStyle w:val="ListParagraph"/>
        <w:numPr>
          <w:ilvl w:val="0"/>
          <w:numId w:val="40"/>
        </w:numPr>
      </w:pPr>
      <w:r>
        <w:t>Scalability — a customer base above 200 million, and claim volumes that rise about tenfold on a catastrophe day.</w:t>
      </w:r>
    </w:p>
    <w:p>
      <w:pPr>
        <w:pStyle w:val="ListParagraph"/>
        <w:numPr>
          <w:ilvl w:val="0"/>
          <w:numId w:val="40"/>
        </w:numPr>
      </w:pPr>
      <w:r>
        <w:t>Deployment flexibility — the platform must support both on-premise and cloud-based deployment (case study, Section 5.2, item 2). SAD Assumption 1 makes AWS the Phase 1 target, with an on-premise profile designed but not built.</w:t>
      </w:r>
    </w:p>
    <w:p>
      <w:pPr>
        <w:pStyle w:val="ListParagraph"/>
        <w:numPr>
          <w:ilvl w:val="0"/>
          <w:numId w:val="40"/>
        </w:numPr>
      </w:pPr>
      <w:r>
        <w:t>Security — protection against the OWASP Top 10, encryption of sensitive data at rest and in transit, and industry-proven security standards and protocols.</w:t>
      </w:r>
    </w:p>
    <w:p>
      <w:pPr>
        <w:pStyle w:val="ListParagraph"/>
        <w:numPr>
          <w:ilvl w:val="0"/>
          <w:numId w:val="40"/>
        </w:numPr>
      </w:pPr>
      <w:r>
        <w:t>Non-repudiation and audit — an evidential record of who did what to a claim, including who signed in, when and how.</w:t>
      </w:r>
    </w:p>
    <w:p>
      <w:pPr>
        <w:pStyle w:val="ListParagraph"/>
        <w:numPr>
          <w:ilvl w:val="0"/>
          <w:numId w:val="40"/>
        </w:numPr>
      </w:pPr>
      <w:r>
        <w:t>Maintainability — monitoring, testability, configurability and upgradeability, by a lean platform team.</w:t>
      </w:r>
    </w:p>
    <w:p>
      <w:pPr>
        <w:pStyle w:val="Heading2"/>
      </w:pPr>
      <w:bookmarkStart w:id="105" w:name="_Toc300000006"/>
      <w:r>
        <w:t>Workload basis</w:t>
      </w:r>
      <w:bookmarkEnd w:id="105"/>
    </w:p>
    <w:p>
      <w:r>
        <w:t>The volumes below drive the pricing comparisons in Sections 3.5, 4.5 and 5.5. Most come from the SAD workload model (Section 9.1), which treats them as planning assumptions to be validated against YCompany's data; the rest are planning assumptions made here.</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660"/>
        <w:gridCol w:w="2999"/>
        <w:gridCol w:w="4367"/>
      </w:tblGrid>
      <w:tr>
        <w:trPr>
          <w:cantSplit/>
          <w:tblHeader/>
        </w:trPr>
        <w:tc>
          <w:tcPr>
            <w:tcW w:w="166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Driver</w:t>
            </w:r>
          </w:p>
        </w:tc>
        <w:tc>
          <w:tcPr>
            <w:tcW w:w="2999"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Planning value</w:t>
            </w:r>
          </w:p>
        </w:tc>
        <w:tc>
          <w:tcPr>
            <w:tcW w:w="4367"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Basis</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New claims</w:t>
            </w:r>
          </w:p>
        </w:tc>
        <w:tc>
          <w:tcPr>
            <w:tcW w:w="2999" w:type="dxa"/>
            <w:tcBorders>
              <w:top w:val="dotted" w:sz="4" w:space="0" w:color="auto"/>
              <w:left w:val="dotted" w:sz="4" w:space="0" w:color="auto"/>
              <w:bottom w:val="dotted" w:sz="4" w:space="0" w:color="auto"/>
              <w:right w:val="dotted" w:sz="4" w:space="0" w:color="auto"/>
            </w:tcBorders>
          </w:tcPr>
          <w:p>
            <w:pPr>
              <w:pStyle w:val="NoSpacing"/>
            </w:pPr>
            <w:r>
              <w:t>12 million a year, about 1 million a month</w:t>
            </w:r>
          </w:p>
        </w:tc>
        <w:tc>
          <w:tcPr>
            <w:tcW w:w="4367" w:type="dxa"/>
            <w:tcBorders>
              <w:top w:val="dotted" w:sz="4" w:space="0" w:color="auto"/>
              <w:left w:val="dotted" w:sz="4" w:space="0" w:color="auto"/>
              <w:bottom w:val="dotted" w:sz="4" w:space="0" w:color="auto"/>
              <w:right w:val="dotted" w:sz="4" w:space="0" w:color="auto"/>
            </w:tcBorders>
          </w:tcPr>
          <w:p>
            <w:pPr>
              <w:pStyle w:val="NoSpacing"/>
            </w:pPr>
            <w:r>
              <w:t>SAD Section 9.1, 6% annual claim frequency</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Catastrophe peak</w:t>
            </w:r>
          </w:p>
        </w:tc>
        <w:tc>
          <w:tcPr>
            <w:tcW w:w="2999" w:type="dxa"/>
            <w:tcBorders>
              <w:top w:val="dotted" w:sz="4" w:space="0" w:color="auto"/>
              <w:left w:val="dotted" w:sz="4" w:space="0" w:color="auto"/>
              <w:bottom w:val="dotted" w:sz="4" w:space="0" w:color="auto"/>
              <w:right w:val="dotted" w:sz="4" w:space="0" w:color="auto"/>
            </w:tcBorders>
          </w:tcPr>
          <w:p>
            <w:pPr>
              <w:pStyle w:val="NoSpacing"/>
            </w:pPr>
            <w:r>
              <w:t>10× the daily average</w:t>
            </w:r>
          </w:p>
        </w:tc>
        <w:tc>
          <w:tcPr>
            <w:tcW w:w="4367" w:type="dxa"/>
            <w:tcBorders>
              <w:top w:val="dotted" w:sz="4" w:space="0" w:color="auto"/>
              <w:left w:val="dotted" w:sz="4" w:space="0" w:color="auto"/>
              <w:bottom w:val="dotted" w:sz="4" w:space="0" w:color="auto"/>
              <w:right w:val="dotted" w:sz="4" w:space="0" w:color="auto"/>
            </w:tcBorders>
          </w:tcPr>
          <w:p>
            <w:pPr>
              <w:pStyle w:val="NoSpacing"/>
            </w:pPr>
            <w:r>
              <w:t>SAD Section 9.1</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Domain events</w:t>
            </w:r>
          </w:p>
        </w:tc>
        <w:tc>
          <w:tcPr>
            <w:tcW w:w="2999" w:type="dxa"/>
            <w:tcBorders>
              <w:top w:val="dotted" w:sz="4" w:space="0" w:color="auto"/>
              <w:left w:val="dotted" w:sz="4" w:space="0" w:color="auto"/>
              <w:bottom w:val="dotted" w:sz="4" w:space="0" w:color="auto"/>
              <w:right w:val="dotted" w:sz="4" w:space="0" w:color="auto"/>
            </w:tcBorders>
          </w:tcPr>
          <w:p>
            <w:pPr>
              <w:pStyle w:val="NoSpacing"/>
            </w:pPr>
            <w:r>
              <w:t>About 15 per claim, about 15 million a month</w:t>
            </w:r>
          </w:p>
        </w:tc>
        <w:tc>
          <w:tcPr>
            <w:tcW w:w="4367" w:type="dxa"/>
            <w:tcBorders>
              <w:top w:val="dotted" w:sz="4" w:space="0" w:color="auto"/>
              <w:left w:val="dotted" w:sz="4" w:space="0" w:color="auto"/>
              <w:bottom w:val="dotted" w:sz="4" w:space="0" w:color="auto"/>
              <w:right w:val="dotted" w:sz="4" w:space="0" w:color="auto"/>
            </w:tcBorders>
          </w:tcPr>
          <w:p>
            <w:pPr>
              <w:pStyle w:val="NoSpacing"/>
            </w:pPr>
            <w:r>
              <w:t>About 10 status changes, plus assignment, document and payment events</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Event deliveries</w:t>
            </w:r>
          </w:p>
        </w:tc>
        <w:tc>
          <w:tcPr>
            <w:tcW w:w="2999" w:type="dxa"/>
            <w:tcBorders>
              <w:top w:val="dotted" w:sz="4" w:space="0" w:color="auto"/>
              <w:left w:val="dotted" w:sz="4" w:space="0" w:color="auto"/>
              <w:bottom w:val="dotted" w:sz="4" w:space="0" w:color="auto"/>
              <w:right w:val="dotted" w:sz="4" w:space="0" w:color="auto"/>
            </w:tcBorders>
          </w:tcPr>
          <w:p>
            <w:pPr>
              <w:pStyle w:val="NoSpacing"/>
            </w:pPr>
            <w:r>
              <w:t>About 3 consumer queues per event, about 45 million messages a month</w:t>
            </w:r>
          </w:p>
        </w:tc>
        <w:tc>
          <w:tcPr>
            <w:tcW w:w="4367" w:type="dxa"/>
            <w:tcBorders>
              <w:top w:val="dotted" w:sz="4" w:space="0" w:color="auto"/>
              <w:left w:val="dotted" w:sz="4" w:space="0" w:color="auto"/>
              <w:bottom w:val="dotted" w:sz="4" w:space="0" w:color="auto"/>
              <w:right w:val="dotted" w:sz="4" w:space="0" w:color="auto"/>
            </w:tcBorders>
          </w:tcPr>
          <w:p>
            <w:pPr>
              <w:pStyle w:val="NoSpacing"/>
            </w:pPr>
            <w:r>
              <w:t>Assignment, fraud scoring, notification, indexing and workflow consumers</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Analytics data</w:t>
            </w:r>
          </w:p>
        </w:tc>
        <w:tc>
          <w:tcPr>
            <w:tcW w:w="2999" w:type="dxa"/>
            <w:tcBorders>
              <w:top w:val="dotted" w:sz="4" w:space="0" w:color="auto"/>
              <w:left w:val="dotted" w:sz="4" w:space="0" w:color="auto"/>
              <w:bottom w:val="dotted" w:sz="4" w:space="0" w:color="auto"/>
              <w:right w:val="dotted" w:sz="4" w:space="0" w:color="auto"/>
            </w:tcBorders>
          </w:tcPr>
          <w:p>
            <w:pPr>
              <w:pStyle w:val="NoSpacing"/>
            </w:pPr>
            <w:r>
              <w:t>About 0.5 TB of new data a year, compressed</w:t>
            </w:r>
          </w:p>
        </w:tc>
        <w:tc>
          <w:tcPr>
            <w:tcW w:w="4367" w:type="dxa"/>
            <w:tcBorders>
              <w:top w:val="dotted" w:sz="4" w:space="0" w:color="auto"/>
              <w:left w:val="dotted" w:sz="4" w:space="0" w:color="auto"/>
              <w:bottom w:val="dotted" w:sz="4" w:space="0" w:color="auto"/>
              <w:right w:val="dotted" w:sz="4" w:space="0" w:color="auto"/>
            </w:tcBorders>
          </w:tcPr>
          <w:p>
            <w:pPr>
              <w:pStyle w:val="NoSpacing"/>
            </w:pPr>
            <w:r>
              <w:t>12 million claims and about 120 million status-history rows a year (SAD Section 9.1)</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Customer sign-ins</w:t>
            </w:r>
          </w:p>
        </w:tc>
        <w:tc>
          <w:tcPr>
            <w:tcW w:w="2999" w:type="dxa"/>
            <w:tcBorders>
              <w:top w:val="dotted" w:sz="4" w:space="0" w:color="auto"/>
              <w:left w:val="dotted" w:sz="4" w:space="0" w:color="auto"/>
              <w:bottom w:val="dotted" w:sz="4" w:space="0" w:color="auto"/>
              <w:right w:val="dotted" w:sz="4" w:space="0" w:color="auto"/>
            </w:tcBorders>
          </w:tcPr>
          <w:p>
            <w:pPr>
              <w:pStyle w:val="NoSpacing"/>
            </w:pPr>
            <w:r>
              <w:t>About 2 million monthly active users</w:t>
            </w:r>
          </w:p>
        </w:tc>
        <w:tc>
          <w:tcPr>
            <w:tcW w:w="4367" w:type="dxa"/>
            <w:tcBorders>
              <w:top w:val="dotted" w:sz="4" w:space="0" w:color="auto"/>
              <w:left w:val="dotted" w:sz="4" w:space="0" w:color="auto"/>
              <w:bottom w:val="dotted" w:sz="4" w:space="0" w:color="auto"/>
              <w:right w:val="dotted" w:sz="4" w:space="0" w:color="auto"/>
            </w:tcBorders>
          </w:tcPr>
          <w:p>
            <w:pPr>
              <w:pStyle w:val="NoSpacing"/>
            </w:pPr>
            <w:r>
              <w:t>Customers filing or tracking about 1 million open claims; up to 10 million if the portal is widely used for billing and address changes</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Partner and staff users</w:t>
            </w:r>
          </w:p>
        </w:tc>
        <w:tc>
          <w:tcPr>
            <w:tcW w:w="2999" w:type="dxa"/>
            <w:tcBorders>
              <w:top w:val="dotted" w:sz="4" w:space="0" w:color="auto"/>
              <w:left w:val="dotted" w:sz="4" w:space="0" w:color="auto"/>
              <w:bottom w:val="dotted" w:sz="4" w:space="0" w:color="auto"/>
              <w:right w:val="dotted" w:sz="4" w:space="0" w:color="auto"/>
            </w:tcBorders>
          </w:tcPr>
          <w:p>
            <w:pPr>
              <w:pStyle w:val="NoSpacing"/>
            </w:pPr>
            <w:r>
              <w:t>About 50,000 partner users and about 20,000 staff</w:t>
            </w:r>
          </w:p>
        </w:tc>
        <w:tc>
          <w:tcPr>
            <w:tcW w:w="4367" w:type="dxa"/>
            <w:tcBorders>
              <w:top w:val="dotted" w:sz="4" w:space="0" w:color="auto"/>
              <w:left w:val="dotted" w:sz="4" w:space="0" w:color="auto"/>
              <w:bottom w:val="dotted" w:sz="4" w:space="0" w:color="auto"/>
              <w:right w:val="dotted" w:sz="4" w:space="0" w:color="auto"/>
            </w:tcBorders>
          </w:tcPr>
          <w:p>
            <w:pPr>
              <w:pStyle w:val="NoSpacing"/>
            </w:pPr>
            <w:r>
              <w:t>Planning assumption: in-network workshops and the six internal roles</w:t>
            </w:r>
          </w:p>
        </w:tc>
      </w:tr>
    </w:tbl>
    <w:p/>
    <w:p>
      <w:r>
        <w:br w:type="page"/>
      </w:r>
    </w:p>
    <w:p>
      <w:pPr>
        <w:pStyle w:val="Heading1"/>
      </w:pPr>
      <w:bookmarkStart w:id="106" w:name="_Toc300000007"/>
      <w:r>
        <w:t>Messaging and Event Backbone</w:t>
      </w:r>
      <w:bookmarkEnd w:id="106"/>
    </w:p>
    <w:p>
      <w:r>
        <w:t>The event backbone carries domain events from the services that change a claim to the services that react to the change: assignment, fraud scoring, notification, document indexing, reporting jobs and the claim workflow. It decides who receives each event and holds each event until its receiver is ready.</w:t>
      </w:r>
    </w:p>
    <w:p>
      <w:pPr>
        <w:pStyle w:val="Heading2"/>
      </w:pPr>
      <w:bookmarkStart w:id="107" w:name="_Toc300000008"/>
      <w:r>
        <w:t>Available tools</w:t>
      </w:r>
      <w:bookmarkEnd w:id="107"/>
    </w:p>
    <w:p>
      <w:r>
        <w:t>Four options were carried into detailed comparison. Two are serverless AWS patterns that differ in how events are routed; two are managed brokers that run open-source software.</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91"/>
        <w:gridCol w:w="3423"/>
        <w:gridCol w:w="3012"/>
      </w:tblGrid>
      <w:tr>
        <w:trPr>
          <w:cantSplit/>
          <w:tblHeader/>
        </w:trPr>
        <w:tc>
          <w:tcPr>
            <w:tcW w:w="2591"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Option</w:t>
            </w:r>
          </w:p>
        </w:tc>
        <w:tc>
          <w:tcPr>
            <w:tcW w:w="3423"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Category</w:t>
            </w:r>
          </w:p>
        </w:tc>
        <w:tc>
          <w:tcPr>
            <w:tcW w:w="3012"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Delivery model</w:t>
            </w:r>
          </w:p>
        </w:tc>
      </w:tr>
      <w:tr>
        <w:trPr>
          <w:cantSplit/>
        </w:trPr>
        <w:tc>
          <w:tcPr>
            <w:tcW w:w="2591" w:type="dxa"/>
            <w:tcBorders>
              <w:top w:val="dotted" w:sz="4" w:space="0" w:color="auto"/>
              <w:left w:val="dotted" w:sz="4" w:space="0" w:color="auto"/>
              <w:bottom w:val="dotted" w:sz="4" w:space="0" w:color="auto"/>
              <w:right w:val="dotted" w:sz="4" w:space="0" w:color="auto"/>
            </w:tcBorders>
          </w:tcPr>
          <w:p>
            <w:pPr>
              <w:pStyle w:val="NoSpacing"/>
            </w:pPr>
            <w:r>
              <w:t>Amazon EventBridge with SQS and SNS</w:t>
            </w:r>
          </w:p>
        </w:tc>
        <w:tc>
          <w:tcPr>
            <w:tcW w:w="3423" w:type="dxa"/>
            <w:tcBorders>
              <w:top w:val="dotted" w:sz="4" w:space="0" w:color="auto"/>
              <w:left w:val="dotted" w:sz="4" w:space="0" w:color="auto"/>
              <w:bottom w:val="dotted" w:sz="4" w:space="0" w:color="auto"/>
              <w:right w:val="dotted" w:sz="4" w:space="0" w:color="auto"/>
            </w:tcBorders>
          </w:tcPr>
          <w:p>
            <w:pPr>
              <w:pStyle w:val="NoSpacing"/>
            </w:pPr>
            <w:r>
              <w:t>Managed event bus with a queue per consumer</w:t>
            </w:r>
          </w:p>
        </w:tc>
        <w:tc>
          <w:tcPr>
            <w:tcW w:w="3012" w:type="dxa"/>
            <w:tcBorders>
              <w:top w:val="dotted" w:sz="4" w:space="0" w:color="auto"/>
              <w:left w:val="dotted" w:sz="4" w:space="0" w:color="auto"/>
              <w:bottom w:val="dotted" w:sz="4" w:space="0" w:color="auto"/>
              <w:right w:val="dotted" w:sz="4" w:space="0" w:color="auto"/>
            </w:tcBorders>
          </w:tcPr>
          <w:p>
            <w:pPr>
              <w:pStyle w:val="NoSpacing"/>
            </w:pPr>
            <w:r>
              <w:t>AWS-managed, serverless</w:t>
            </w:r>
          </w:p>
        </w:tc>
      </w:tr>
      <w:tr>
        <w:trPr>
          <w:cantSplit/>
        </w:trPr>
        <w:tc>
          <w:tcPr>
            <w:tcW w:w="2591" w:type="dxa"/>
            <w:tcBorders>
              <w:top w:val="dotted" w:sz="4" w:space="0" w:color="auto"/>
              <w:left w:val="dotted" w:sz="4" w:space="0" w:color="auto"/>
              <w:bottom w:val="dotted" w:sz="4" w:space="0" w:color="auto"/>
              <w:right w:val="dotted" w:sz="4" w:space="0" w:color="auto"/>
            </w:tcBorders>
          </w:tcPr>
          <w:p>
            <w:pPr>
              <w:pStyle w:val="NoSpacing"/>
            </w:pPr>
            <w:r>
              <w:t>Amazon SNS with SQS</w:t>
            </w:r>
          </w:p>
        </w:tc>
        <w:tc>
          <w:tcPr>
            <w:tcW w:w="3423" w:type="dxa"/>
            <w:tcBorders>
              <w:top w:val="dotted" w:sz="4" w:space="0" w:color="auto"/>
              <w:left w:val="dotted" w:sz="4" w:space="0" w:color="auto"/>
              <w:bottom w:val="dotted" w:sz="4" w:space="0" w:color="auto"/>
              <w:right w:val="dotted" w:sz="4" w:space="0" w:color="auto"/>
            </w:tcBorders>
          </w:tcPr>
          <w:p>
            <w:pPr>
              <w:pStyle w:val="NoSpacing"/>
            </w:pPr>
            <w:r>
              <w:t>Managed publish-subscribe topics with a queue per consumer</w:t>
            </w:r>
          </w:p>
        </w:tc>
        <w:tc>
          <w:tcPr>
            <w:tcW w:w="3012" w:type="dxa"/>
            <w:tcBorders>
              <w:top w:val="dotted" w:sz="4" w:space="0" w:color="auto"/>
              <w:left w:val="dotted" w:sz="4" w:space="0" w:color="auto"/>
              <w:bottom w:val="dotted" w:sz="4" w:space="0" w:color="auto"/>
              <w:right w:val="dotted" w:sz="4" w:space="0" w:color="auto"/>
            </w:tcBorders>
          </w:tcPr>
          <w:p>
            <w:pPr>
              <w:pStyle w:val="NoSpacing"/>
            </w:pPr>
            <w:r>
              <w:t>AWS-managed, serverless</w:t>
            </w:r>
          </w:p>
        </w:tc>
      </w:tr>
      <w:tr>
        <w:trPr>
          <w:cantSplit/>
        </w:trPr>
        <w:tc>
          <w:tcPr>
            <w:tcW w:w="2591" w:type="dxa"/>
            <w:tcBorders>
              <w:top w:val="dotted" w:sz="4" w:space="0" w:color="auto"/>
              <w:left w:val="dotted" w:sz="4" w:space="0" w:color="auto"/>
              <w:bottom w:val="dotted" w:sz="4" w:space="0" w:color="auto"/>
              <w:right w:val="dotted" w:sz="4" w:space="0" w:color="auto"/>
            </w:tcBorders>
          </w:tcPr>
          <w:p>
            <w:pPr>
              <w:pStyle w:val="NoSpacing"/>
            </w:pPr>
            <w:r>
              <w:t>Amazon MSK (Apache Kafka)</w:t>
            </w:r>
          </w:p>
        </w:tc>
        <w:tc>
          <w:tcPr>
            <w:tcW w:w="3423" w:type="dxa"/>
            <w:tcBorders>
              <w:top w:val="dotted" w:sz="4" w:space="0" w:color="auto"/>
              <w:left w:val="dotted" w:sz="4" w:space="0" w:color="auto"/>
              <w:bottom w:val="dotted" w:sz="4" w:space="0" w:color="auto"/>
              <w:right w:val="dotted" w:sz="4" w:space="0" w:color="auto"/>
            </w:tcBorders>
          </w:tcPr>
          <w:p>
            <w:pPr>
              <w:pStyle w:val="NoSpacing"/>
            </w:pPr>
            <w:r>
              <w:t>Distributed, replayable event log</w:t>
            </w:r>
          </w:p>
        </w:tc>
        <w:tc>
          <w:tcPr>
            <w:tcW w:w="3012" w:type="dxa"/>
            <w:tcBorders>
              <w:top w:val="dotted" w:sz="4" w:space="0" w:color="auto"/>
              <w:left w:val="dotted" w:sz="4" w:space="0" w:color="auto"/>
              <w:bottom w:val="dotted" w:sz="4" w:space="0" w:color="auto"/>
              <w:right w:val="dotted" w:sz="4" w:space="0" w:color="auto"/>
            </w:tcBorders>
          </w:tcPr>
          <w:p>
            <w:pPr>
              <w:pStyle w:val="NoSpacing"/>
            </w:pPr>
            <w:r>
              <w:t>AWS-managed brokers, provisioned or serverless</w:t>
            </w:r>
          </w:p>
        </w:tc>
      </w:tr>
      <w:tr>
        <w:trPr>
          <w:cantSplit/>
        </w:trPr>
        <w:tc>
          <w:tcPr>
            <w:tcW w:w="2591" w:type="dxa"/>
            <w:tcBorders>
              <w:top w:val="dotted" w:sz="4" w:space="0" w:color="auto"/>
              <w:left w:val="dotted" w:sz="4" w:space="0" w:color="auto"/>
              <w:bottom w:val="dotted" w:sz="4" w:space="0" w:color="auto"/>
              <w:right w:val="dotted" w:sz="4" w:space="0" w:color="auto"/>
            </w:tcBorders>
          </w:tcPr>
          <w:p>
            <w:pPr>
              <w:pStyle w:val="NoSpacing"/>
            </w:pPr>
            <w:r>
              <w:t>Amazon MQ for RabbitMQ</w:t>
            </w:r>
          </w:p>
        </w:tc>
        <w:tc>
          <w:tcPr>
            <w:tcW w:w="3423" w:type="dxa"/>
            <w:tcBorders>
              <w:top w:val="dotted" w:sz="4" w:space="0" w:color="auto"/>
              <w:left w:val="dotted" w:sz="4" w:space="0" w:color="auto"/>
              <w:bottom w:val="dotted" w:sz="4" w:space="0" w:color="auto"/>
              <w:right w:val="dotted" w:sz="4" w:space="0" w:color="auto"/>
            </w:tcBorders>
          </w:tcPr>
          <w:p>
            <w:pPr>
              <w:pStyle w:val="NoSpacing"/>
            </w:pPr>
            <w:r>
              <w:t>Message broker (AMQP)</w:t>
            </w:r>
          </w:p>
        </w:tc>
        <w:tc>
          <w:tcPr>
            <w:tcW w:w="3012" w:type="dxa"/>
            <w:tcBorders>
              <w:top w:val="dotted" w:sz="4" w:space="0" w:color="auto"/>
              <w:left w:val="dotted" w:sz="4" w:space="0" w:color="auto"/>
              <w:bottom w:val="dotted" w:sz="4" w:space="0" w:color="auto"/>
              <w:right w:val="dotted" w:sz="4" w:space="0" w:color="auto"/>
            </w:tcBorders>
          </w:tcPr>
          <w:p>
            <w:pPr>
              <w:pStyle w:val="NoSpacing"/>
            </w:pPr>
            <w:r>
              <w:t>AWS-managed brokers</w:t>
            </w:r>
          </w:p>
        </w:tc>
      </w:tr>
    </w:tbl>
    <w:p/>
    <w:p>
      <w:r>
        <w:t>Options that were considered and not carried forward are recorded for completeness. Amazon Kinesis Data Streams is built for analytics pipelines: shards must be managed, a failing record blocks its shard, and the analytics feed is already served by change-data capture (Section 4). Self-managed Kafka or RabbitMQ on EC2 is the on-premise profile's choice, but inside AWS it adds the operating burden of Sections 3.1.3 and 3.1.4 without the management. Redis Streams depends on the cache's durability settings, and the eClaims cache is not replicated across Regions.</w:t>
      </w:r>
    </w:p>
    <w:p>
      <w:pPr>
        <w:pStyle w:val="Heading3"/>
      </w:pPr>
      <w:bookmarkStart w:id="108" w:name="_Toc300000009"/>
      <w:r>
        <w:t>Amazon EventBridge with SQS and SNS</w:t>
      </w:r>
      <w:bookmarkEnd w:id="108"/>
    </w:p>
    <w:p>
      <w:r>
        <w:t>Every service publishes its domain events to one EventBridge event bus. Rules match events by type and content and deliver each to the SQS queue of the consumer that needs it, or start and resume Step Functions executions directly. Each consumer reads only its own queue. SNS is used only for the last-mile SMS hop from the Notification Service. This is the design in SAD Layer 4.</w:t>
      </w:r>
    </w:p>
    <w:p>
      <w:pPr>
        <w:pStyle w:val="Heading4"/>
      </w:pPr>
      <w:r>
        <w:t>Key Features</w:t>
      </w:r>
    </w:p>
    <w:p>
      <w:pPr>
        <w:pStyle w:val="ListParagraph"/>
        <w:numPr>
          <w:ilvl w:val="0"/>
          <w:numId w:val="40"/>
        </w:numPr>
      </w:pPr>
      <w:r>
        <w:t>Content-based routing — rules match on any field of an event, so approved claims above a threshold can go to one consumer and every status change to another, without the producer knowing either.</w:t>
      </w:r>
    </w:p>
    <w:p>
      <w:pPr>
        <w:pStyle w:val="ListParagraph"/>
        <w:numPr>
          <w:ilvl w:val="0"/>
          <w:numId w:val="40"/>
        </w:numPr>
      </w:pPr>
      <w:r>
        <w:t>Consumers added without producer changes — a new consumer is a new rule and a new queue.</w:t>
      </w:r>
    </w:p>
    <w:p>
      <w:pPr>
        <w:pStyle w:val="ListParagraph"/>
        <w:numPr>
          <w:ilvl w:val="0"/>
          <w:numId w:val="40"/>
        </w:numPr>
      </w:pPr>
      <w:r>
        <w:t>Buffering and back-pressure per consumer — each SQS queue absorbs bursts at its consumer's own pace, retries a failed message after its visibility timeout and moves repeated failures to a dead-letter queue.</w:t>
      </w:r>
    </w:p>
    <w:p>
      <w:pPr>
        <w:pStyle w:val="ListParagraph"/>
        <w:numPr>
          <w:ilvl w:val="0"/>
          <w:numId w:val="40"/>
        </w:numPr>
      </w:pPr>
      <w:r>
        <w:t>Archive and replay — events can be archived and replayed to a new or repaired consumer, which also supports re-driving work after a Region failover.</w:t>
      </w:r>
    </w:p>
    <w:p>
      <w:pPr>
        <w:pStyle w:val="ListParagraph"/>
        <w:numPr>
          <w:ilvl w:val="0"/>
          <w:numId w:val="40"/>
        </w:numPr>
      </w:pPr>
      <w:r>
        <w:t>Direct targets — Step Functions, Lambda, API destinations and more than 20 other AWS targets, so the workflow needs no glue code.</w:t>
      </w:r>
    </w:p>
    <w:p>
      <w:pPr>
        <w:pStyle w:val="ListParagraph"/>
        <w:numPr>
          <w:ilvl w:val="0"/>
          <w:numId w:val="40"/>
        </w:numPr>
      </w:pPr>
      <w:r>
        <w:t>Schema registry — event schemas can be discovered and versioned.</w:t>
      </w:r>
    </w:p>
    <w:p>
      <w:pPr>
        <w:pStyle w:val="ListParagraph"/>
        <w:numPr>
          <w:ilvl w:val="0"/>
          <w:numId w:val="40"/>
        </w:numPr>
      </w:pPr>
      <w:r>
        <w:t>Serverless operation — no brokers, partitions or capacity to plan; access controlled by IAM and reached through VPC endpoints; ECS scales each consumer on its queue depth.</w:t>
      </w:r>
    </w:p>
    <w:p>
      <w:pPr>
        <w:pStyle w:val="Heading4"/>
      </w:pPr>
      <w:r>
        <w:t>Pricing Model</w:t>
      </w:r>
    </w:p>
    <w:p>
      <w:r>
        <w:t>EventBridge custom events cost USD 1.00 per million, with each 64 KB of payload counted as one event. Archiving costs USD 0.10 per GB processed and USD 0.023 per GB-month stored, and replayed events are billed as new events. SQS standard queues cost USD 0.40 per million requests after the first million each month, and FIFO queues USD 0.50; each 64 KB counts as one request, and a message usually costs three requests (send, receive and delete). SNS standard topics cost USD 0.50 per million publishes, with no per-message charge for delivery to SQS or Lambda. Nothing is charged while the backbone is idle, so the us-east-2 standby costs nothing until it carries traffic.</w:t>
      </w:r>
    </w:p>
    <w:p>
      <w:pPr>
        <w:pStyle w:val="Heading3"/>
      </w:pPr>
      <w:bookmarkStart w:id="109" w:name="_Toc300000010"/>
      <w:r>
        <w:t>Amazon SNS with SQS</w:t>
      </w:r>
      <w:bookmarkEnd w:id="109"/>
    </w:p>
    <w:p>
      <w:r>
        <w:t>Each producer publishes to an SNS topic per event type, and each consumer subscribes its SQS queue to the topics it needs, with filter policies on message attributes or on the message body. It is the classic AWS fan-out pattern, without the event bus.</w:t>
      </w:r>
    </w:p>
    <w:p>
      <w:pPr>
        <w:pStyle w:val="Heading4"/>
      </w:pPr>
      <w:r>
        <w:t>Key Features</w:t>
      </w:r>
    </w:p>
    <w:p>
      <w:pPr>
        <w:pStyle w:val="ListParagraph"/>
        <w:numPr>
          <w:ilvl w:val="0"/>
          <w:numId w:val="40"/>
        </w:numPr>
      </w:pPr>
      <w:r>
        <w:t>Fan-out with buffering — the same per-consumer SQS queues as Section 3.1.1.</w:t>
      </w:r>
    </w:p>
    <w:p>
      <w:pPr>
        <w:pStyle w:val="ListParagraph"/>
        <w:numPr>
          <w:ilvl w:val="0"/>
          <w:numId w:val="40"/>
        </w:numPr>
      </w:pPr>
      <w:r>
        <w:t>Filter policies — subscriptions filter on message attributes and on the message body.</w:t>
      </w:r>
    </w:p>
    <w:p>
      <w:pPr>
        <w:pStyle w:val="ListParagraph"/>
        <w:numPr>
          <w:ilvl w:val="0"/>
          <w:numId w:val="40"/>
        </w:numPr>
      </w:pPr>
      <w:r>
        <w:t>FIFO topics — SNS FIFO topics feeding SQS FIFO queues give ordered delivery per message group, such as per claim.</w:t>
      </w:r>
    </w:p>
    <w:p>
      <w:pPr>
        <w:pStyle w:val="ListParagraph"/>
        <w:numPr>
          <w:ilvl w:val="0"/>
          <w:numId w:val="40"/>
        </w:numPr>
      </w:pPr>
      <w:r>
        <w:t>Serverless operation — the same managed model as Section 3.1.1.</w:t>
      </w:r>
    </w:p>
    <w:p>
      <w:pPr>
        <w:pStyle w:val="ListParagraph"/>
        <w:numPr>
          <w:ilvl w:val="0"/>
          <w:numId w:val="40"/>
        </w:numPr>
      </w:pPr>
      <w:r>
        <w:t>No archive or replay — a consumed message is gone, and SQS keeps an unconsumed message for at most 14 days.</w:t>
      </w:r>
    </w:p>
    <w:p>
      <w:pPr>
        <w:pStyle w:val="ListParagraph"/>
        <w:numPr>
          <w:ilvl w:val="0"/>
          <w:numId w:val="40"/>
        </w:numPr>
      </w:pPr>
      <w:r>
        <w:t>Fewer direct targets — Step Functions cannot subscribe to a topic, so starting and resuming the workflow needs a Lambda function or a consumer in between.</w:t>
      </w:r>
    </w:p>
    <w:p>
      <w:pPr>
        <w:pStyle w:val="Heading4"/>
      </w:pPr>
      <w:r>
        <w:t>Pricing Model</w:t>
      </w:r>
    </w:p>
    <w:p>
      <w:r>
        <w:t>USD 0.50 per million publishes, with delivery to SQS and Lambda free, and SQS as in Section 3.1.1. For the same traffic it costs about half of EventBridge's ingestion charge.</w:t>
      </w:r>
    </w:p>
    <w:p>
      <w:pPr>
        <w:pStyle w:val="Heading3"/>
      </w:pPr>
      <w:bookmarkStart w:id="110" w:name="_Toc300000011"/>
      <w:r>
        <w:t>Amazon MSK (Apache Kafka)</w:t>
      </w:r>
      <w:bookmarkEnd w:id="110"/>
    </w:p>
    <w:p>
      <w:r>
        <w:t>Amazon Managed Streaming for Apache Kafka runs Kafka brokers on YCompany's behalf. Producers append events to topics partitioned by a key such as the claim ID; consumer groups read at their own offsets; events are retained for a configured period whether or not they have been consumed.</w:t>
      </w:r>
    </w:p>
    <w:p>
      <w:pPr>
        <w:pStyle w:val="Heading4"/>
      </w:pPr>
      <w:r>
        <w:t>Key Features</w:t>
      </w:r>
    </w:p>
    <w:p>
      <w:pPr>
        <w:pStyle w:val="ListParagraph"/>
        <w:numPr>
          <w:ilvl w:val="0"/>
          <w:numId w:val="40"/>
        </w:numPr>
      </w:pPr>
      <w:r>
        <w:t>Durable, replayable log — any consumer can re-read history within the retention period.</w:t>
      </w:r>
    </w:p>
    <w:p>
      <w:pPr>
        <w:pStyle w:val="ListParagraph"/>
        <w:numPr>
          <w:ilvl w:val="0"/>
          <w:numId w:val="40"/>
        </w:numPr>
      </w:pPr>
      <w:r>
        <w:t>Ordering per partition key — every event for one claim is read in order.</w:t>
      </w:r>
    </w:p>
    <w:p>
      <w:pPr>
        <w:pStyle w:val="ListParagraph"/>
        <w:numPr>
          <w:ilvl w:val="0"/>
          <w:numId w:val="40"/>
        </w:numPr>
      </w:pPr>
      <w:r>
        <w:t>High throughput — millions of events a second on a cluster sized for it.</w:t>
      </w:r>
    </w:p>
    <w:p>
      <w:pPr>
        <w:pStyle w:val="ListParagraph"/>
        <w:numPr>
          <w:ilvl w:val="0"/>
          <w:numId w:val="40"/>
        </w:numPr>
      </w:pPr>
      <w:r>
        <w:t>Open protocol — the Kafka API is one of the on-premise profile's choices, so producer and consumer code would carry over.</w:t>
      </w:r>
    </w:p>
    <w:p>
      <w:pPr>
        <w:pStyle w:val="ListParagraph"/>
        <w:numPr>
          <w:ilvl w:val="0"/>
          <w:numId w:val="40"/>
        </w:numPr>
      </w:pPr>
      <w:r>
        <w:t>Operating surface — brokers, partitions, retention and consumer lag must be sized and watched, and a dead-letter pattern for failed messages must be built. MSK Serverless removes broker sizing but has partition and throughput limits.</w:t>
      </w:r>
    </w:p>
    <w:p>
      <w:pPr>
        <w:pStyle w:val="ListParagraph"/>
        <w:numPr>
          <w:ilvl w:val="0"/>
          <w:numId w:val="40"/>
        </w:numPr>
      </w:pPr>
      <w:r>
        <w:t>Indirect AWS integration — Step Functions cannot be targeted directly; EventBridge Pipes or a consumer is needed.</w:t>
      </w:r>
    </w:p>
    <w:p>
      <w:pPr>
        <w:pStyle w:val="Heading4"/>
      </w:pPr>
      <w:r>
        <w:t>Pricing Model</w:t>
      </w:r>
    </w:p>
    <w:p>
      <w:r>
        <w:t>Provisioned brokers are billed per broker-hour, USD 0.204 for kafka.m7g.large, plus USD 0.10 per GB-month of storage; three brokers across three Availability Zones is the smallest resilient cluster. MSK Serverless costs USD 0.75 per cluster-hour and USD 0.0015 per partition-hour, plus data in and out. The cluster is billed whether or not events flow, and the us-east-2 standby needs a cluster of its own.</w:t>
      </w:r>
    </w:p>
    <w:p>
      <w:pPr>
        <w:pStyle w:val="Heading3"/>
      </w:pPr>
      <w:bookmarkStart w:id="111" w:name="_Toc300000012"/>
      <w:r>
        <w:t>Amazon MQ for RabbitMQ</w:t>
      </w:r>
      <w:bookmarkEnd w:id="111"/>
    </w:p>
    <w:p>
      <w:r>
        <w:t>Amazon MQ runs RabbitMQ brokers on YCompany's behalf. Producers publish to exchanges; bindings route messages to queues by routing key or header; consumers read from queues over AMQP.</w:t>
      </w:r>
    </w:p>
    <w:p>
      <w:pPr>
        <w:pStyle w:val="Heading4"/>
      </w:pPr>
      <w:r>
        <w:t>Key Features</w:t>
      </w:r>
    </w:p>
    <w:p>
      <w:pPr>
        <w:pStyle w:val="ListParagraph"/>
        <w:numPr>
          <w:ilvl w:val="0"/>
          <w:numId w:val="40"/>
        </w:numPr>
      </w:pPr>
      <w:r>
        <w:t>Broker-side routing — direct, topic, fan-out and header exchanges.</w:t>
      </w:r>
    </w:p>
    <w:p>
      <w:pPr>
        <w:pStyle w:val="ListParagraph"/>
        <w:numPr>
          <w:ilvl w:val="0"/>
          <w:numId w:val="40"/>
        </w:numPr>
      </w:pPr>
      <w:r>
        <w:t>Dead-letter exchanges and quorum queues — retries and dead-lettering inside the broker.</w:t>
      </w:r>
    </w:p>
    <w:p>
      <w:pPr>
        <w:pStyle w:val="ListParagraph"/>
        <w:numPr>
          <w:ilvl w:val="0"/>
          <w:numId w:val="40"/>
        </w:numPr>
      </w:pPr>
      <w:r>
        <w:t>Ordered queues — a single queue delivers in order to one consumer.</w:t>
      </w:r>
    </w:p>
    <w:p>
      <w:pPr>
        <w:pStyle w:val="ListParagraph"/>
        <w:numPr>
          <w:ilvl w:val="0"/>
          <w:numId w:val="40"/>
        </w:numPr>
      </w:pPr>
      <w:r>
        <w:t>Open protocol — AMQP is portable to a self-managed RabbitMQ on-premise.</w:t>
      </w:r>
    </w:p>
    <w:p>
      <w:pPr>
        <w:pStyle w:val="ListParagraph"/>
        <w:numPr>
          <w:ilvl w:val="0"/>
          <w:numId w:val="40"/>
        </w:numPr>
      </w:pPr>
      <w:r>
        <w:t>Sized brokers — a three-node cluster has a throughput ceiling that must be planned against the catastrophe peak, and an acknowledged message cannot be replayed.</w:t>
      </w:r>
    </w:p>
    <w:p>
      <w:pPr>
        <w:pStyle w:val="ListParagraph"/>
        <w:numPr>
          <w:ilvl w:val="0"/>
          <w:numId w:val="40"/>
        </w:numPr>
      </w:pPr>
      <w:r>
        <w:t>Limited AWS integration — no native Step Functions or EventBridge targets, so consumers must bridge.</w:t>
      </w:r>
    </w:p>
    <w:p>
      <w:pPr>
        <w:pStyle w:val="Heading4"/>
      </w:pPr>
      <w:r>
        <w:t>Pricing Model</w:t>
      </w:r>
    </w:p>
    <w:p>
      <w:r>
        <w:t>Billed per broker-hour, USD 0.2734 for mq.m7g.large, with three nodes for a highly available cluster, plus USD 0.10 per GB-month of storage. As with MSK, the cluster is billed whether or not messages flow, and the standby Region needs its own.</w:t>
      </w:r>
    </w:p>
    <w:p>
      <w:pPr>
        <w:pStyle w:val="Heading2"/>
      </w:pPr>
      <w:bookmarkStart w:id="112" w:name="_Toc300000013"/>
      <w:r>
        <w:t>Point Matrix</w:t>
      </w:r>
      <w:bookmarkEnd w:id="112"/>
    </w:p>
    <w:p>
      <w:r>
        <w:t>Weights total 100 and were fixed before the options were scored. They follow the scheme of the Workflow Orchestration Engine DAR: 15 for an attribute whose absence would defeat the purpose of the backbone, 10 for one whose absence would degrade operation, and 5 for one that is bounded by an accepted assumption or that every option meets at baseline.</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03"/>
        <w:gridCol w:w="1060"/>
        <w:gridCol w:w="5363"/>
      </w:tblGrid>
      <w:tr>
        <w:trPr>
          <w:cantSplit/>
          <w:tblHeader/>
        </w:trPr>
        <w:tc>
          <w:tcPr>
            <w:tcW w:w="2603"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Evaluation Attribute</w:t>
            </w:r>
          </w:p>
        </w:tc>
        <w:tc>
          <w:tcPr>
            <w:tcW w:w="106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Weight</w:t>
            </w:r>
          </w:p>
        </w:tc>
        <w:tc>
          <w:tcPr>
            <w:tcW w:w="5363"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Why it carries this weight</w:t>
            </w:r>
          </w:p>
        </w:tc>
      </w:tr>
      <w:tr>
        <w:trPr>
          <w:cantSplit/>
        </w:trPr>
        <w:tc>
          <w:tcPr>
            <w:tcW w:w="2603" w:type="dxa"/>
            <w:tcBorders>
              <w:top w:val="dotted" w:sz="4" w:space="0" w:color="auto"/>
              <w:left w:val="dotted" w:sz="4" w:space="0" w:color="auto"/>
              <w:bottom w:val="dotted" w:sz="4" w:space="0" w:color="auto"/>
              <w:right w:val="dotted" w:sz="4" w:space="0" w:color="auto"/>
            </w:tcBorders>
          </w:tcPr>
          <w:p>
            <w:pPr>
              <w:pStyle w:val="NoSpacing"/>
            </w:pPr>
            <w:r>
              <w:t>Reliable delivery and buffering</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5363" w:type="dxa"/>
            <w:tcBorders>
              <w:top w:val="dotted" w:sz="4" w:space="0" w:color="auto"/>
              <w:left w:val="dotted" w:sz="4" w:space="0" w:color="auto"/>
              <w:bottom w:val="dotted" w:sz="4" w:space="0" w:color="auto"/>
              <w:right w:val="dotted" w:sz="4" w:space="0" w:color="auto"/>
            </w:tcBorders>
          </w:tcPr>
          <w:p>
            <w:pPr>
              <w:pStyle w:val="NoSpacing"/>
            </w:pPr>
            <w:r>
              <w:t>No notification or workflow step may be lost while a consumer is down; failures must be retried and set aside, never dropped (self-healing NFR; SAD Section 9.3).</w:t>
            </w:r>
          </w:p>
        </w:tc>
      </w:tr>
      <w:tr>
        <w:trPr>
          <w:cantSplit/>
        </w:trPr>
        <w:tc>
          <w:tcPr>
            <w:tcW w:w="2603" w:type="dxa"/>
            <w:tcBorders>
              <w:top w:val="dotted" w:sz="4" w:space="0" w:color="auto"/>
              <w:left w:val="dotted" w:sz="4" w:space="0" w:color="auto"/>
              <w:bottom w:val="dotted" w:sz="4" w:space="0" w:color="auto"/>
              <w:right w:val="dotted" w:sz="4" w:space="0" w:color="auto"/>
            </w:tcBorders>
          </w:tcPr>
          <w:p>
            <w:pPr>
              <w:pStyle w:val="NoSpacing"/>
            </w:pPr>
            <w:r>
              <w:t>Routing and fan-out without producer changes</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5363" w:type="dxa"/>
            <w:tcBorders>
              <w:top w:val="dotted" w:sz="4" w:space="0" w:color="auto"/>
              <w:left w:val="dotted" w:sz="4" w:space="0" w:color="auto"/>
              <w:bottom w:val="dotted" w:sz="4" w:space="0" w:color="auto"/>
              <w:right w:val="dotted" w:sz="4" w:space="0" w:color="auto"/>
            </w:tcBorders>
          </w:tcPr>
          <w:p>
            <w:pPr>
              <w:pStyle w:val="NoSpacing"/>
            </w:pPr>
            <w:r>
              <w:t>Design for evolution: each claim event feeds four to six consumers today, and adding one must not change the producer.</w:t>
            </w:r>
          </w:p>
        </w:tc>
      </w:tr>
      <w:tr>
        <w:trPr>
          <w:cantSplit/>
        </w:trPr>
        <w:tc>
          <w:tcPr>
            <w:tcW w:w="2603" w:type="dxa"/>
            <w:tcBorders>
              <w:top w:val="dotted" w:sz="4" w:space="0" w:color="auto"/>
              <w:left w:val="dotted" w:sz="4" w:space="0" w:color="auto"/>
              <w:bottom w:val="dotted" w:sz="4" w:space="0" w:color="auto"/>
              <w:right w:val="dotted" w:sz="4" w:space="0" w:color="auto"/>
            </w:tcBorders>
          </w:tcPr>
          <w:p>
            <w:pPr>
              <w:pStyle w:val="NoSpacing"/>
            </w:pPr>
            <w:r>
              <w:t>Operational overhead (5 = lowest overhead)</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5363" w:type="dxa"/>
            <w:tcBorders>
              <w:top w:val="dotted" w:sz="4" w:space="0" w:color="auto"/>
              <w:left w:val="dotted" w:sz="4" w:space="0" w:color="auto"/>
              <w:bottom w:val="dotted" w:sz="4" w:space="0" w:color="auto"/>
              <w:right w:val="dotted" w:sz="4" w:space="0" w:color="auto"/>
            </w:tcBorders>
          </w:tcPr>
          <w:p>
            <w:pPr>
              <w:pStyle w:val="NoSpacing"/>
            </w:pPr>
            <w:r>
              <w:t>The backbone runs 24×7 in two Regions and is operated by a lean team; every broker to size, patch and watch counts against an option.</w:t>
            </w:r>
          </w:p>
        </w:tc>
      </w:tr>
      <w:tr>
        <w:trPr>
          <w:cantSplit/>
        </w:trPr>
        <w:tc>
          <w:tcPr>
            <w:tcW w:w="2603" w:type="dxa"/>
            <w:tcBorders>
              <w:top w:val="dotted" w:sz="4" w:space="0" w:color="auto"/>
              <w:left w:val="dotted" w:sz="4" w:space="0" w:color="auto"/>
              <w:bottom w:val="dotted" w:sz="4" w:space="0" w:color="auto"/>
              <w:right w:val="dotted" w:sz="4" w:space="0" w:color="auto"/>
            </w:tcBorders>
          </w:tcPr>
          <w:p>
            <w:pPr>
              <w:pStyle w:val="NoSpacing"/>
            </w:pPr>
            <w:r>
              <w:t>Scalability and burst absorption</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363" w:type="dxa"/>
            <w:tcBorders>
              <w:top w:val="dotted" w:sz="4" w:space="0" w:color="auto"/>
              <w:left w:val="dotted" w:sz="4" w:space="0" w:color="auto"/>
              <w:bottom w:val="dotted" w:sz="4" w:space="0" w:color="auto"/>
              <w:right w:val="dotted" w:sz="4" w:space="0" w:color="auto"/>
            </w:tcBorders>
          </w:tcPr>
          <w:p>
            <w:pPr>
              <w:pStyle w:val="NoSpacing"/>
            </w:pPr>
            <w:r>
              <w:t>A catastrophe day brings about ten times the normal claim volume within hours.</w:t>
            </w:r>
          </w:p>
        </w:tc>
      </w:tr>
      <w:tr>
        <w:trPr>
          <w:cantSplit/>
        </w:trPr>
        <w:tc>
          <w:tcPr>
            <w:tcW w:w="2603" w:type="dxa"/>
            <w:tcBorders>
              <w:top w:val="dotted" w:sz="4" w:space="0" w:color="auto"/>
              <w:left w:val="dotted" w:sz="4" w:space="0" w:color="auto"/>
              <w:bottom w:val="dotted" w:sz="4" w:space="0" w:color="auto"/>
              <w:right w:val="dotted" w:sz="4" w:space="0" w:color="auto"/>
            </w:tcBorders>
          </w:tcPr>
          <w:p>
            <w:pPr>
              <w:pStyle w:val="NoSpacing"/>
            </w:pPr>
            <w:r>
              <w:t>Replay and event history</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363" w:type="dxa"/>
            <w:tcBorders>
              <w:top w:val="dotted" w:sz="4" w:space="0" w:color="auto"/>
              <w:left w:val="dotted" w:sz="4" w:space="0" w:color="auto"/>
              <w:bottom w:val="dotted" w:sz="4" w:space="0" w:color="auto"/>
              <w:right w:val="dotted" w:sz="4" w:space="0" w:color="auto"/>
            </w:tcBorders>
          </w:tcPr>
          <w:p>
            <w:pPr>
              <w:pStyle w:val="NoSpacing"/>
            </w:pPr>
            <w:r>
              <w:t>Work must be re-driven after a Region failover, and a new consumer may need past events.</w:t>
            </w:r>
          </w:p>
        </w:tc>
      </w:tr>
      <w:tr>
        <w:trPr>
          <w:cantSplit/>
        </w:trPr>
        <w:tc>
          <w:tcPr>
            <w:tcW w:w="2603" w:type="dxa"/>
            <w:tcBorders>
              <w:top w:val="dotted" w:sz="4" w:space="0" w:color="auto"/>
              <w:left w:val="dotted" w:sz="4" w:space="0" w:color="auto"/>
              <w:bottom w:val="dotted" w:sz="4" w:space="0" w:color="auto"/>
              <w:right w:val="dotted" w:sz="4" w:space="0" w:color="auto"/>
            </w:tcBorders>
          </w:tcPr>
          <w:p>
            <w:pPr>
              <w:pStyle w:val="NoSpacing"/>
            </w:pPr>
            <w:r>
              <w:t>AWS service integration</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363" w:type="dxa"/>
            <w:tcBorders>
              <w:top w:val="dotted" w:sz="4" w:space="0" w:color="auto"/>
              <w:left w:val="dotted" w:sz="4" w:space="0" w:color="auto"/>
              <w:bottom w:val="dotted" w:sz="4" w:space="0" w:color="auto"/>
              <w:right w:val="dotted" w:sz="4" w:space="0" w:color="auto"/>
            </w:tcBorders>
          </w:tcPr>
          <w:p>
            <w:pPr>
              <w:pStyle w:val="NoSpacing"/>
            </w:pPr>
            <w:r>
              <w:t>Step Functions, Lambda, ECS queue-depth scaling and IAM are already selected; native integration removes glue code and its failure modes.</w:t>
            </w:r>
          </w:p>
        </w:tc>
      </w:tr>
      <w:tr>
        <w:trPr>
          <w:cantSplit/>
        </w:trPr>
        <w:tc>
          <w:tcPr>
            <w:tcW w:w="2603" w:type="dxa"/>
            <w:tcBorders>
              <w:top w:val="dotted" w:sz="4" w:space="0" w:color="auto"/>
              <w:left w:val="dotted" w:sz="4" w:space="0" w:color="auto"/>
              <w:bottom w:val="dotted" w:sz="4" w:space="0" w:color="auto"/>
              <w:right w:val="dotted" w:sz="4" w:space="0" w:color="auto"/>
            </w:tcBorders>
          </w:tcPr>
          <w:p>
            <w:pPr>
              <w:pStyle w:val="NoSpacing"/>
            </w:pPr>
            <w:r>
              <w:t>Cost at eClaims volume</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363" w:type="dxa"/>
            <w:tcBorders>
              <w:top w:val="dotted" w:sz="4" w:space="0" w:color="auto"/>
              <w:left w:val="dotted" w:sz="4" w:space="0" w:color="auto"/>
              <w:bottom w:val="dotted" w:sz="4" w:space="0" w:color="auto"/>
              <w:right w:val="dotted" w:sz="4" w:space="0" w:color="auto"/>
            </w:tcBorders>
          </w:tcPr>
          <w:p>
            <w:pPr>
              <w:pStyle w:val="NoSpacing"/>
            </w:pPr>
            <w:r>
              <w:t>Run cost at about 15 million events a month in two Regions, including the effort to operate the option.</w:t>
            </w:r>
          </w:p>
        </w:tc>
      </w:tr>
      <w:tr>
        <w:trPr>
          <w:cantSplit/>
        </w:trPr>
        <w:tc>
          <w:tcPr>
            <w:tcW w:w="2603" w:type="dxa"/>
            <w:tcBorders>
              <w:top w:val="dotted" w:sz="4" w:space="0" w:color="auto"/>
              <w:left w:val="dotted" w:sz="4" w:space="0" w:color="auto"/>
              <w:bottom w:val="dotted" w:sz="4" w:space="0" w:color="auto"/>
              <w:right w:val="dotted" w:sz="4" w:space="0" w:color="auto"/>
            </w:tcBorders>
          </w:tcPr>
          <w:p>
            <w:pPr>
              <w:pStyle w:val="NoSpacing"/>
            </w:pPr>
            <w:r>
              <w:t>Ordering per claim</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5363" w:type="dxa"/>
            <w:tcBorders>
              <w:top w:val="dotted" w:sz="4" w:space="0" w:color="auto"/>
              <w:left w:val="dotted" w:sz="4" w:space="0" w:color="auto"/>
              <w:bottom w:val="dotted" w:sz="4" w:space="0" w:color="auto"/>
              <w:right w:val="dotted" w:sz="4" w:space="0" w:color="auto"/>
            </w:tcBorders>
          </w:tcPr>
          <w:p>
            <w:pPr>
              <w:pStyle w:val="NoSpacing"/>
            </w:pPr>
            <w:r>
              <w:t>A customer must not be told "approved" before "under survey". A claim version in each event also solves this, so ordering by the backbone is a convenience rather than a necessity.</w:t>
            </w:r>
          </w:p>
        </w:tc>
      </w:tr>
      <w:tr>
        <w:trPr>
          <w:cantSplit/>
        </w:trPr>
        <w:tc>
          <w:tcPr>
            <w:tcW w:w="2603" w:type="dxa"/>
            <w:tcBorders>
              <w:top w:val="dotted" w:sz="4" w:space="0" w:color="auto"/>
              <w:left w:val="dotted" w:sz="4" w:space="0" w:color="auto"/>
              <w:bottom w:val="dotted" w:sz="4" w:space="0" w:color="auto"/>
              <w:right w:val="dotted" w:sz="4" w:space="0" w:color="auto"/>
            </w:tcBorders>
          </w:tcPr>
          <w:p>
            <w:pPr>
              <w:pStyle w:val="NoSpacing"/>
            </w:pPr>
            <w:r>
              <w:t>Security and access control</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5363" w:type="dxa"/>
            <w:tcBorders>
              <w:top w:val="dotted" w:sz="4" w:space="0" w:color="auto"/>
              <w:left w:val="dotted" w:sz="4" w:space="0" w:color="auto"/>
              <w:bottom w:val="dotted" w:sz="4" w:space="0" w:color="auto"/>
              <w:right w:val="dotted" w:sz="4" w:space="0" w:color="auto"/>
            </w:tcBorders>
          </w:tcPr>
          <w:p>
            <w:pPr>
              <w:pStyle w:val="NoSpacing"/>
            </w:pPr>
            <w:r>
              <w:t>Least-privilege access per producer and consumer, encryption at rest and no internet path. Every option meets the baseline.</w:t>
            </w:r>
          </w:p>
        </w:tc>
      </w:tr>
      <w:tr>
        <w:trPr>
          <w:cantSplit/>
        </w:trPr>
        <w:tc>
          <w:tcPr>
            <w:tcW w:w="2603" w:type="dxa"/>
            <w:tcBorders>
              <w:top w:val="dotted" w:sz="4" w:space="0" w:color="auto"/>
              <w:left w:val="dotted" w:sz="4" w:space="0" w:color="auto"/>
              <w:bottom w:val="dotted" w:sz="4" w:space="0" w:color="auto"/>
              <w:right w:val="dotted" w:sz="4" w:space="0" w:color="auto"/>
            </w:tcBorders>
          </w:tcPr>
          <w:p>
            <w:pPr>
              <w:pStyle w:val="NoSpacing"/>
            </w:pPr>
            <w:r>
              <w:t>Deployment flexibility (cloud and on-premise)</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5363" w:type="dxa"/>
            <w:tcBorders>
              <w:top w:val="dotted" w:sz="4" w:space="0" w:color="auto"/>
              <w:left w:val="dotted" w:sz="4" w:space="0" w:color="auto"/>
              <w:bottom w:val="dotted" w:sz="4" w:space="0" w:color="auto"/>
              <w:right w:val="dotted" w:sz="4" w:space="0" w:color="auto"/>
            </w:tcBorders>
          </w:tcPr>
          <w:p>
            <w:pPr>
              <w:pStyle w:val="NoSpacing"/>
            </w:pPr>
            <w:r>
              <w:t>The NFR requires on-premise support; SAD Assumption 1 makes AWS the Phase 1 target, and the on-premise profile names Kafka or RabbitMQ behind the messaging adapter.</w:t>
            </w:r>
          </w:p>
        </w:tc>
      </w:tr>
      <w:tr>
        <w:trPr>
          <w:cantSplit/>
        </w:trPr>
        <w:tc>
          <w:tcPr>
            <w:tcW w:w="2603" w:type="dxa"/>
            <w:tcBorders>
              <w:top w:val="dotted" w:sz="4" w:space="0" w:color="auto"/>
              <w:left w:val="dotted" w:sz="4" w:space="0" w:color="auto"/>
              <w:bottom w:val="dotted" w:sz="4" w:space="0" w:color="auto"/>
              <w:right w:val="dotted" w:sz="4" w:space="0" w:color="auto"/>
            </w:tcBorders>
          </w:tcPr>
          <w:p>
            <w:pPr>
              <w:pStyle w:val="NoSpacing"/>
            </w:pPr>
            <w:r>
              <w:t>Total</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100</w:t>
            </w:r>
          </w:p>
        </w:tc>
        <w:tc>
          <w:tcPr>
            <w:tcW w:w="5363" w:type="dxa"/>
            <w:tcBorders>
              <w:top w:val="dotted" w:sz="4" w:space="0" w:color="auto"/>
              <w:left w:val="dotted" w:sz="4" w:space="0" w:color="auto"/>
              <w:bottom w:val="dotted" w:sz="4" w:space="0" w:color="auto"/>
              <w:right w:val="dotted" w:sz="4" w:space="0" w:color="auto"/>
            </w:tcBorders>
          </w:tcPr>
          <w:p>
            <w:pPr>
              <w:pStyle w:val="NoSpacing"/>
            </w:pPr>
          </w:p>
        </w:tc>
      </w:tr>
    </w:tbl>
    <w:p/>
    <w:p>
      <w:pPr>
        <w:pStyle w:val="Heading2"/>
      </w:pPr>
      <w:bookmarkStart w:id="113" w:name="_Toc300000014"/>
      <w:r>
        <w:t>Comparison 1 — Weighted Scoring</w:t>
      </w:r>
      <w:bookmarkEnd w:id="113"/>
    </w:p>
    <w:p>
      <w:r>
        <w:t>Scoring legend: 5 = excellent, 4 = strong, 3 = adequate, 2 = limited, 1 = minimal. Scores reflect native capability relative to the eClaims requirement, not absolute product quality. For operational overhead a score of 5 denotes the lowest overhead.</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41"/>
        <w:gridCol w:w="1060"/>
        <w:gridCol w:w="1783"/>
        <w:gridCol w:w="1064"/>
        <w:gridCol w:w="1127"/>
        <w:gridCol w:w="1651"/>
      </w:tblGrid>
      <w:tr>
        <w:trPr>
          <w:cantSplit/>
          <w:tblHeader/>
        </w:trPr>
        <w:tc>
          <w:tcPr>
            <w:tcW w:w="2341"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Evaluation Attribute</w:t>
            </w:r>
          </w:p>
        </w:tc>
        <w:tc>
          <w:tcPr>
            <w:tcW w:w="106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Weight</w:t>
            </w:r>
          </w:p>
        </w:tc>
        <w:tc>
          <w:tcPr>
            <w:tcW w:w="1783"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EventBridge + SQS + SNS</w:t>
            </w:r>
          </w:p>
        </w:tc>
        <w:tc>
          <w:tcPr>
            <w:tcW w:w="1064"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SNS + SQS</w:t>
            </w:r>
          </w:p>
        </w:tc>
        <w:tc>
          <w:tcPr>
            <w:tcW w:w="1127"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Amazon MSK</w:t>
            </w:r>
          </w:p>
        </w:tc>
        <w:tc>
          <w:tcPr>
            <w:tcW w:w="1651"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Amazon MQ (RabbitMQ)</w:t>
            </w:r>
          </w:p>
        </w:tc>
      </w:tr>
      <w:tr>
        <w:trPr>
          <w:cantSplit/>
        </w:trPr>
        <w:tc>
          <w:tcPr>
            <w:tcW w:w="2341" w:type="dxa"/>
            <w:tcBorders>
              <w:top w:val="dotted" w:sz="4" w:space="0" w:color="auto"/>
              <w:left w:val="dotted" w:sz="4" w:space="0" w:color="auto"/>
              <w:bottom w:val="dotted" w:sz="4" w:space="0" w:color="auto"/>
              <w:right w:val="dotted" w:sz="4" w:space="0" w:color="auto"/>
            </w:tcBorders>
          </w:tcPr>
          <w:p>
            <w:pPr>
              <w:pStyle w:val="NoSpacing"/>
            </w:pPr>
            <w:r>
              <w:t>Reliable delivery and buffering</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1783" w:type="dxa"/>
            <w:tcBorders>
              <w:top w:val="dotted" w:sz="4" w:space="0" w:color="auto"/>
              <w:left w:val="dotted" w:sz="4" w:space="0" w:color="auto"/>
              <w:bottom w:val="dotted" w:sz="4" w:space="0" w:color="auto"/>
              <w:right w:val="dotted" w:sz="4" w:space="0" w:color="auto"/>
            </w:tcBorders>
          </w:tcPr>
          <w:p>
            <w:pPr>
              <w:pStyle w:val="NoSpacing"/>
            </w:pPr>
            <w:r>
              <w:t>5</w:t>
            </w:r>
          </w:p>
        </w:tc>
        <w:tc>
          <w:tcPr>
            <w:tcW w:w="1064" w:type="dxa"/>
            <w:tcBorders>
              <w:top w:val="dotted" w:sz="4" w:space="0" w:color="auto"/>
              <w:left w:val="dotted" w:sz="4" w:space="0" w:color="auto"/>
              <w:bottom w:val="dotted" w:sz="4" w:space="0" w:color="auto"/>
              <w:right w:val="dotted" w:sz="4" w:space="0" w:color="auto"/>
            </w:tcBorders>
          </w:tcPr>
          <w:p>
            <w:pPr>
              <w:pStyle w:val="NoSpacing"/>
            </w:pPr>
            <w:r>
              <w:t>5</w:t>
            </w:r>
          </w:p>
        </w:tc>
        <w:tc>
          <w:tcPr>
            <w:tcW w:w="1127" w:type="dxa"/>
            <w:tcBorders>
              <w:top w:val="dotted" w:sz="4" w:space="0" w:color="auto"/>
              <w:left w:val="dotted" w:sz="4" w:space="0" w:color="auto"/>
              <w:bottom w:val="dotted" w:sz="4" w:space="0" w:color="auto"/>
              <w:right w:val="dotted" w:sz="4" w:space="0" w:color="auto"/>
            </w:tcBorders>
          </w:tcPr>
          <w:p>
            <w:pPr>
              <w:pStyle w:val="NoSpacing"/>
            </w:pPr>
            <w:r>
              <w:t>4</w:t>
            </w:r>
          </w:p>
        </w:tc>
        <w:tc>
          <w:tcPr>
            <w:tcW w:w="1651" w:type="dxa"/>
            <w:tcBorders>
              <w:top w:val="dotted" w:sz="4" w:space="0" w:color="auto"/>
              <w:left w:val="dotted" w:sz="4" w:space="0" w:color="auto"/>
              <w:bottom w:val="dotted" w:sz="4" w:space="0" w:color="auto"/>
              <w:right w:val="dotted" w:sz="4" w:space="0" w:color="auto"/>
            </w:tcBorders>
          </w:tcPr>
          <w:p>
            <w:pPr>
              <w:pStyle w:val="NoSpacing"/>
            </w:pPr>
            <w:r>
              <w:t>4</w:t>
            </w:r>
          </w:p>
        </w:tc>
      </w:tr>
      <w:tr>
        <w:trPr>
          <w:cantSplit/>
        </w:trPr>
        <w:tc>
          <w:tcPr>
            <w:tcW w:w="2341" w:type="dxa"/>
            <w:tcBorders>
              <w:top w:val="dotted" w:sz="4" w:space="0" w:color="auto"/>
              <w:left w:val="dotted" w:sz="4" w:space="0" w:color="auto"/>
              <w:bottom w:val="dotted" w:sz="4" w:space="0" w:color="auto"/>
              <w:right w:val="dotted" w:sz="4" w:space="0" w:color="auto"/>
            </w:tcBorders>
          </w:tcPr>
          <w:p>
            <w:pPr>
              <w:pStyle w:val="NoSpacing"/>
            </w:pPr>
            <w:r>
              <w:t>Routing and fan-out without producer changes</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1783" w:type="dxa"/>
            <w:tcBorders>
              <w:top w:val="dotted" w:sz="4" w:space="0" w:color="auto"/>
              <w:left w:val="dotted" w:sz="4" w:space="0" w:color="auto"/>
              <w:bottom w:val="dotted" w:sz="4" w:space="0" w:color="auto"/>
              <w:right w:val="dotted" w:sz="4" w:space="0" w:color="auto"/>
            </w:tcBorders>
          </w:tcPr>
          <w:p>
            <w:pPr>
              <w:pStyle w:val="NoSpacing"/>
            </w:pPr>
            <w:r>
              <w:t>5</w:t>
            </w:r>
          </w:p>
        </w:tc>
        <w:tc>
          <w:tcPr>
            <w:tcW w:w="1064" w:type="dxa"/>
            <w:tcBorders>
              <w:top w:val="dotted" w:sz="4" w:space="0" w:color="auto"/>
              <w:left w:val="dotted" w:sz="4" w:space="0" w:color="auto"/>
              <w:bottom w:val="dotted" w:sz="4" w:space="0" w:color="auto"/>
              <w:right w:val="dotted" w:sz="4" w:space="0" w:color="auto"/>
            </w:tcBorders>
          </w:tcPr>
          <w:p>
            <w:pPr>
              <w:pStyle w:val="NoSpacing"/>
            </w:pPr>
            <w:r>
              <w:t>4</w:t>
            </w:r>
          </w:p>
        </w:tc>
        <w:tc>
          <w:tcPr>
            <w:tcW w:w="1127" w:type="dxa"/>
            <w:tcBorders>
              <w:top w:val="dotted" w:sz="4" w:space="0" w:color="auto"/>
              <w:left w:val="dotted" w:sz="4" w:space="0" w:color="auto"/>
              <w:bottom w:val="dotted" w:sz="4" w:space="0" w:color="auto"/>
              <w:right w:val="dotted" w:sz="4" w:space="0" w:color="auto"/>
            </w:tcBorders>
          </w:tcPr>
          <w:p>
            <w:pPr>
              <w:pStyle w:val="NoSpacing"/>
            </w:pPr>
            <w:r>
              <w:t>3</w:t>
            </w:r>
          </w:p>
        </w:tc>
        <w:tc>
          <w:tcPr>
            <w:tcW w:w="1651" w:type="dxa"/>
            <w:tcBorders>
              <w:top w:val="dotted" w:sz="4" w:space="0" w:color="auto"/>
              <w:left w:val="dotted" w:sz="4" w:space="0" w:color="auto"/>
              <w:bottom w:val="dotted" w:sz="4" w:space="0" w:color="auto"/>
              <w:right w:val="dotted" w:sz="4" w:space="0" w:color="auto"/>
            </w:tcBorders>
          </w:tcPr>
          <w:p>
            <w:pPr>
              <w:pStyle w:val="NoSpacing"/>
            </w:pPr>
            <w:r>
              <w:t>4</w:t>
            </w:r>
          </w:p>
        </w:tc>
      </w:tr>
      <w:tr>
        <w:trPr>
          <w:cantSplit/>
        </w:trPr>
        <w:tc>
          <w:tcPr>
            <w:tcW w:w="2341" w:type="dxa"/>
            <w:tcBorders>
              <w:top w:val="dotted" w:sz="4" w:space="0" w:color="auto"/>
              <w:left w:val="dotted" w:sz="4" w:space="0" w:color="auto"/>
              <w:bottom w:val="dotted" w:sz="4" w:space="0" w:color="auto"/>
              <w:right w:val="dotted" w:sz="4" w:space="0" w:color="auto"/>
            </w:tcBorders>
          </w:tcPr>
          <w:p>
            <w:pPr>
              <w:pStyle w:val="NoSpacing"/>
            </w:pPr>
            <w:r>
              <w:t>Operational overhead</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1783" w:type="dxa"/>
            <w:tcBorders>
              <w:top w:val="dotted" w:sz="4" w:space="0" w:color="auto"/>
              <w:left w:val="dotted" w:sz="4" w:space="0" w:color="auto"/>
              <w:bottom w:val="dotted" w:sz="4" w:space="0" w:color="auto"/>
              <w:right w:val="dotted" w:sz="4" w:space="0" w:color="auto"/>
            </w:tcBorders>
          </w:tcPr>
          <w:p>
            <w:pPr>
              <w:pStyle w:val="NoSpacing"/>
            </w:pPr>
            <w:r>
              <w:t>5</w:t>
            </w:r>
          </w:p>
        </w:tc>
        <w:tc>
          <w:tcPr>
            <w:tcW w:w="1064" w:type="dxa"/>
            <w:tcBorders>
              <w:top w:val="dotted" w:sz="4" w:space="0" w:color="auto"/>
              <w:left w:val="dotted" w:sz="4" w:space="0" w:color="auto"/>
              <w:bottom w:val="dotted" w:sz="4" w:space="0" w:color="auto"/>
              <w:right w:val="dotted" w:sz="4" w:space="0" w:color="auto"/>
            </w:tcBorders>
          </w:tcPr>
          <w:p>
            <w:pPr>
              <w:pStyle w:val="NoSpacing"/>
            </w:pPr>
            <w:r>
              <w:t>5</w:t>
            </w:r>
          </w:p>
        </w:tc>
        <w:tc>
          <w:tcPr>
            <w:tcW w:w="1127" w:type="dxa"/>
            <w:tcBorders>
              <w:top w:val="dotted" w:sz="4" w:space="0" w:color="auto"/>
              <w:left w:val="dotted" w:sz="4" w:space="0" w:color="auto"/>
              <w:bottom w:val="dotted" w:sz="4" w:space="0" w:color="auto"/>
              <w:right w:val="dotted" w:sz="4" w:space="0" w:color="auto"/>
            </w:tcBorders>
          </w:tcPr>
          <w:p>
            <w:pPr>
              <w:pStyle w:val="NoSpacing"/>
            </w:pPr>
            <w:r>
              <w:t>2</w:t>
            </w:r>
          </w:p>
        </w:tc>
        <w:tc>
          <w:tcPr>
            <w:tcW w:w="1651" w:type="dxa"/>
            <w:tcBorders>
              <w:top w:val="dotted" w:sz="4" w:space="0" w:color="auto"/>
              <w:left w:val="dotted" w:sz="4" w:space="0" w:color="auto"/>
              <w:bottom w:val="dotted" w:sz="4" w:space="0" w:color="auto"/>
              <w:right w:val="dotted" w:sz="4" w:space="0" w:color="auto"/>
            </w:tcBorders>
          </w:tcPr>
          <w:p>
            <w:pPr>
              <w:pStyle w:val="NoSpacing"/>
            </w:pPr>
            <w:r>
              <w:t>3</w:t>
            </w:r>
          </w:p>
        </w:tc>
      </w:tr>
      <w:tr>
        <w:trPr>
          <w:cantSplit/>
        </w:trPr>
        <w:tc>
          <w:tcPr>
            <w:tcW w:w="2341" w:type="dxa"/>
            <w:tcBorders>
              <w:top w:val="dotted" w:sz="4" w:space="0" w:color="auto"/>
              <w:left w:val="dotted" w:sz="4" w:space="0" w:color="auto"/>
              <w:bottom w:val="dotted" w:sz="4" w:space="0" w:color="auto"/>
              <w:right w:val="dotted" w:sz="4" w:space="0" w:color="auto"/>
            </w:tcBorders>
          </w:tcPr>
          <w:p>
            <w:pPr>
              <w:pStyle w:val="NoSpacing"/>
            </w:pPr>
            <w:r>
              <w:t>Scalability and burst absorption</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783" w:type="dxa"/>
            <w:tcBorders>
              <w:top w:val="dotted" w:sz="4" w:space="0" w:color="auto"/>
              <w:left w:val="dotted" w:sz="4" w:space="0" w:color="auto"/>
              <w:bottom w:val="dotted" w:sz="4" w:space="0" w:color="auto"/>
              <w:right w:val="dotted" w:sz="4" w:space="0" w:color="auto"/>
            </w:tcBorders>
          </w:tcPr>
          <w:p>
            <w:pPr>
              <w:pStyle w:val="NoSpacing"/>
            </w:pPr>
            <w:r>
              <w:t>5</w:t>
            </w:r>
          </w:p>
        </w:tc>
        <w:tc>
          <w:tcPr>
            <w:tcW w:w="1064" w:type="dxa"/>
            <w:tcBorders>
              <w:top w:val="dotted" w:sz="4" w:space="0" w:color="auto"/>
              <w:left w:val="dotted" w:sz="4" w:space="0" w:color="auto"/>
              <w:bottom w:val="dotted" w:sz="4" w:space="0" w:color="auto"/>
              <w:right w:val="dotted" w:sz="4" w:space="0" w:color="auto"/>
            </w:tcBorders>
          </w:tcPr>
          <w:p>
            <w:pPr>
              <w:pStyle w:val="NoSpacing"/>
            </w:pPr>
            <w:r>
              <w:t>5</w:t>
            </w:r>
          </w:p>
        </w:tc>
        <w:tc>
          <w:tcPr>
            <w:tcW w:w="1127" w:type="dxa"/>
            <w:tcBorders>
              <w:top w:val="dotted" w:sz="4" w:space="0" w:color="auto"/>
              <w:left w:val="dotted" w:sz="4" w:space="0" w:color="auto"/>
              <w:bottom w:val="dotted" w:sz="4" w:space="0" w:color="auto"/>
              <w:right w:val="dotted" w:sz="4" w:space="0" w:color="auto"/>
            </w:tcBorders>
          </w:tcPr>
          <w:p>
            <w:pPr>
              <w:pStyle w:val="NoSpacing"/>
            </w:pPr>
            <w:r>
              <w:t>4</w:t>
            </w:r>
          </w:p>
        </w:tc>
        <w:tc>
          <w:tcPr>
            <w:tcW w:w="1651" w:type="dxa"/>
            <w:tcBorders>
              <w:top w:val="dotted" w:sz="4" w:space="0" w:color="auto"/>
              <w:left w:val="dotted" w:sz="4" w:space="0" w:color="auto"/>
              <w:bottom w:val="dotted" w:sz="4" w:space="0" w:color="auto"/>
              <w:right w:val="dotted" w:sz="4" w:space="0" w:color="auto"/>
            </w:tcBorders>
          </w:tcPr>
          <w:p>
            <w:pPr>
              <w:pStyle w:val="NoSpacing"/>
            </w:pPr>
            <w:r>
              <w:t>3</w:t>
            </w:r>
          </w:p>
        </w:tc>
      </w:tr>
      <w:tr>
        <w:trPr>
          <w:cantSplit/>
        </w:trPr>
        <w:tc>
          <w:tcPr>
            <w:tcW w:w="2341" w:type="dxa"/>
            <w:tcBorders>
              <w:top w:val="dotted" w:sz="4" w:space="0" w:color="auto"/>
              <w:left w:val="dotted" w:sz="4" w:space="0" w:color="auto"/>
              <w:bottom w:val="dotted" w:sz="4" w:space="0" w:color="auto"/>
              <w:right w:val="dotted" w:sz="4" w:space="0" w:color="auto"/>
            </w:tcBorders>
          </w:tcPr>
          <w:p>
            <w:pPr>
              <w:pStyle w:val="NoSpacing"/>
            </w:pPr>
            <w:r>
              <w:t>Replay and event history</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783" w:type="dxa"/>
            <w:tcBorders>
              <w:top w:val="dotted" w:sz="4" w:space="0" w:color="auto"/>
              <w:left w:val="dotted" w:sz="4" w:space="0" w:color="auto"/>
              <w:bottom w:val="dotted" w:sz="4" w:space="0" w:color="auto"/>
              <w:right w:val="dotted" w:sz="4" w:space="0" w:color="auto"/>
            </w:tcBorders>
          </w:tcPr>
          <w:p>
            <w:pPr>
              <w:pStyle w:val="NoSpacing"/>
            </w:pPr>
            <w:r>
              <w:t>4</w:t>
            </w:r>
          </w:p>
        </w:tc>
        <w:tc>
          <w:tcPr>
            <w:tcW w:w="1064" w:type="dxa"/>
            <w:tcBorders>
              <w:top w:val="dotted" w:sz="4" w:space="0" w:color="auto"/>
              <w:left w:val="dotted" w:sz="4" w:space="0" w:color="auto"/>
              <w:bottom w:val="dotted" w:sz="4" w:space="0" w:color="auto"/>
              <w:right w:val="dotted" w:sz="4" w:space="0" w:color="auto"/>
            </w:tcBorders>
          </w:tcPr>
          <w:p>
            <w:pPr>
              <w:pStyle w:val="NoSpacing"/>
            </w:pPr>
            <w:r>
              <w:t>1</w:t>
            </w:r>
          </w:p>
        </w:tc>
        <w:tc>
          <w:tcPr>
            <w:tcW w:w="1127" w:type="dxa"/>
            <w:tcBorders>
              <w:top w:val="dotted" w:sz="4" w:space="0" w:color="auto"/>
              <w:left w:val="dotted" w:sz="4" w:space="0" w:color="auto"/>
              <w:bottom w:val="dotted" w:sz="4" w:space="0" w:color="auto"/>
              <w:right w:val="dotted" w:sz="4" w:space="0" w:color="auto"/>
            </w:tcBorders>
          </w:tcPr>
          <w:p>
            <w:pPr>
              <w:pStyle w:val="NoSpacing"/>
            </w:pPr>
            <w:r>
              <w:t>5</w:t>
            </w:r>
          </w:p>
        </w:tc>
        <w:tc>
          <w:tcPr>
            <w:tcW w:w="1651" w:type="dxa"/>
            <w:tcBorders>
              <w:top w:val="dotted" w:sz="4" w:space="0" w:color="auto"/>
              <w:left w:val="dotted" w:sz="4" w:space="0" w:color="auto"/>
              <w:bottom w:val="dotted" w:sz="4" w:space="0" w:color="auto"/>
              <w:right w:val="dotted" w:sz="4" w:space="0" w:color="auto"/>
            </w:tcBorders>
          </w:tcPr>
          <w:p>
            <w:pPr>
              <w:pStyle w:val="NoSpacing"/>
            </w:pPr>
            <w:r>
              <w:t>1</w:t>
            </w:r>
          </w:p>
        </w:tc>
      </w:tr>
      <w:tr>
        <w:trPr>
          <w:cantSplit/>
        </w:trPr>
        <w:tc>
          <w:tcPr>
            <w:tcW w:w="2341" w:type="dxa"/>
            <w:tcBorders>
              <w:top w:val="dotted" w:sz="4" w:space="0" w:color="auto"/>
              <w:left w:val="dotted" w:sz="4" w:space="0" w:color="auto"/>
              <w:bottom w:val="dotted" w:sz="4" w:space="0" w:color="auto"/>
              <w:right w:val="dotted" w:sz="4" w:space="0" w:color="auto"/>
            </w:tcBorders>
          </w:tcPr>
          <w:p>
            <w:pPr>
              <w:pStyle w:val="NoSpacing"/>
            </w:pPr>
            <w:r>
              <w:t>AWS service integration</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783" w:type="dxa"/>
            <w:tcBorders>
              <w:top w:val="dotted" w:sz="4" w:space="0" w:color="auto"/>
              <w:left w:val="dotted" w:sz="4" w:space="0" w:color="auto"/>
              <w:bottom w:val="dotted" w:sz="4" w:space="0" w:color="auto"/>
              <w:right w:val="dotted" w:sz="4" w:space="0" w:color="auto"/>
            </w:tcBorders>
          </w:tcPr>
          <w:p>
            <w:pPr>
              <w:pStyle w:val="NoSpacing"/>
            </w:pPr>
            <w:r>
              <w:t>5</w:t>
            </w:r>
          </w:p>
        </w:tc>
        <w:tc>
          <w:tcPr>
            <w:tcW w:w="1064" w:type="dxa"/>
            <w:tcBorders>
              <w:top w:val="dotted" w:sz="4" w:space="0" w:color="auto"/>
              <w:left w:val="dotted" w:sz="4" w:space="0" w:color="auto"/>
              <w:bottom w:val="dotted" w:sz="4" w:space="0" w:color="auto"/>
              <w:right w:val="dotted" w:sz="4" w:space="0" w:color="auto"/>
            </w:tcBorders>
          </w:tcPr>
          <w:p>
            <w:pPr>
              <w:pStyle w:val="NoSpacing"/>
            </w:pPr>
            <w:r>
              <w:t>4</w:t>
            </w:r>
          </w:p>
        </w:tc>
        <w:tc>
          <w:tcPr>
            <w:tcW w:w="1127" w:type="dxa"/>
            <w:tcBorders>
              <w:top w:val="dotted" w:sz="4" w:space="0" w:color="auto"/>
              <w:left w:val="dotted" w:sz="4" w:space="0" w:color="auto"/>
              <w:bottom w:val="dotted" w:sz="4" w:space="0" w:color="auto"/>
              <w:right w:val="dotted" w:sz="4" w:space="0" w:color="auto"/>
            </w:tcBorders>
          </w:tcPr>
          <w:p>
            <w:pPr>
              <w:pStyle w:val="NoSpacing"/>
            </w:pPr>
            <w:r>
              <w:t>3</w:t>
            </w:r>
          </w:p>
        </w:tc>
        <w:tc>
          <w:tcPr>
            <w:tcW w:w="1651" w:type="dxa"/>
            <w:tcBorders>
              <w:top w:val="dotted" w:sz="4" w:space="0" w:color="auto"/>
              <w:left w:val="dotted" w:sz="4" w:space="0" w:color="auto"/>
              <w:bottom w:val="dotted" w:sz="4" w:space="0" w:color="auto"/>
              <w:right w:val="dotted" w:sz="4" w:space="0" w:color="auto"/>
            </w:tcBorders>
          </w:tcPr>
          <w:p>
            <w:pPr>
              <w:pStyle w:val="NoSpacing"/>
            </w:pPr>
            <w:r>
              <w:t>2</w:t>
            </w:r>
          </w:p>
        </w:tc>
      </w:tr>
      <w:tr>
        <w:trPr>
          <w:cantSplit/>
        </w:trPr>
        <w:tc>
          <w:tcPr>
            <w:tcW w:w="2341" w:type="dxa"/>
            <w:tcBorders>
              <w:top w:val="dotted" w:sz="4" w:space="0" w:color="auto"/>
              <w:left w:val="dotted" w:sz="4" w:space="0" w:color="auto"/>
              <w:bottom w:val="dotted" w:sz="4" w:space="0" w:color="auto"/>
              <w:right w:val="dotted" w:sz="4" w:space="0" w:color="auto"/>
            </w:tcBorders>
          </w:tcPr>
          <w:p>
            <w:pPr>
              <w:pStyle w:val="NoSpacing"/>
            </w:pPr>
            <w:r>
              <w:t>Cost at eClaims volume</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783" w:type="dxa"/>
            <w:tcBorders>
              <w:top w:val="dotted" w:sz="4" w:space="0" w:color="auto"/>
              <w:left w:val="dotted" w:sz="4" w:space="0" w:color="auto"/>
              <w:bottom w:val="dotted" w:sz="4" w:space="0" w:color="auto"/>
              <w:right w:val="dotted" w:sz="4" w:space="0" w:color="auto"/>
            </w:tcBorders>
          </w:tcPr>
          <w:p>
            <w:pPr>
              <w:pStyle w:val="NoSpacing"/>
            </w:pPr>
            <w:r>
              <w:t>5</w:t>
            </w:r>
          </w:p>
        </w:tc>
        <w:tc>
          <w:tcPr>
            <w:tcW w:w="1064" w:type="dxa"/>
            <w:tcBorders>
              <w:top w:val="dotted" w:sz="4" w:space="0" w:color="auto"/>
              <w:left w:val="dotted" w:sz="4" w:space="0" w:color="auto"/>
              <w:bottom w:val="dotted" w:sz="4" w:space="0" w:color="auto"/>
              <w:right w:val="dotted" w:sz="4" w:space="0" w:color="auto"/>
            </w:tcBorders>
          </w:tcPr>
          <w:p>
            <w:pPr>
              <w:pStyle w:val="NoSpacing"/>
            </w:pPr>
            <w:r>
              <w:t>5</w:t>
            </w:r>
          </w:p>
        </w:tc>
        <w:tc>
          <w:tcPr>
            <w:tcW w:w="1127" w:type="dxa"/>
            <w:tcBorders>
              <w:top w:val="dotted" w:sz="4" w:space="0" w:color="auto"/>
              <w:left w:val="dotted" w:sz="4" w:space="0" w:color="auto"/>
              <w:bottom w:val="dotted" w:sz="4" w:space="0" w:color="auto"/>
              <w:right w:val="dotted" w:sz="4" w:space="0" w:color="auto"/>
            </w:tcBorders>
          </w:tcPr>
          <w:p>
            <w:pPr>
              <w:pStyle w:val="NoSpacing"/>
            </w:pPr>
            <w:r>
              <w:t>2</w:t>
            </w:r>
          </w:p>
        </w:tc>
        <w:tc>
          <w:tcPr>
            <w:tcW w:w="1651" w:type="dxa"/>
            <w:tcBorders>
              <w:top w:val="dotted" w:sz="4" w:space="0" w:color="auto"/>
              <w:left w:val="dotted" w:sz="4" w:space="0" w:color="auto"/>
              <w:bottom w:val="dotted" w:sz="4" w:space="0" w:color="auto"/>
              <w:right w:val="dotted" w:sz="4" w:space="0" w:color="auto"/>
            </w:tcBorders>
          </w:tcPr>
          <w:p>
            <w:pPr>
              <w:pStyle w:val="NoSpacing"/>
            </w:pPr>
            <w:r>
              <w:t>3</w:t>
            </w:r>
          </w:p>
        </w:tc>
      </w:tr>
      <w:tr>
        <w:trPr>
          <w:cantSplit/>
        </w:trPr>
        <w:tc>
          <w:tcPr>
            <w:tcW w:w="2341" w:type="dxa"/>
            <w:tcBorders>
              <w:top w:val="dotted" w:sz="4" w:space="0" w:color="auto"/>
              <w:left w:val="dotted" w:sz="4" w:space="0" w:color="auto"/>
              <w:bottom w:val="dotted" w:sz="4" w:space="0" w:color="auto"/>
              <w:right w:val="dotted" w:sz="4" w:space="0" w:color="auto"/>
            </w:tcBorders>
          </w:tcPr>
          <w:p>
            <w:pPr>
              <w:pStyle w:val="NoSpacing"/>
            </w:pPr>
            <w:r>
              <w:t>Ordering per claim</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1783" w:type="dxa"/>
            <w:tcBorders>
              <w:top w:val="dotted" w:sz="4" w:space="0" w:color="auto"/>
              <w:left w:val="dotted" w:sz="4" w:space="0" w:color="auto"/>
              <w:bottom w:val="dotted" w:sz="4" w:space="0" w:color="auto"/>
              <w:right w:val="dotted" w:sz="4" w:space="0" w:color="auto"/>
            </w:tcBorders>
          </w:tcPr>
          <w:p>
            <w:pPr>
              <w:pStyle w:val="NoSpacing"/>
            </w:pPr>
            <w:r>
              <w:t>3</w:t>
            </w:r>
          </w:p>
        </w:tc>
        <w:tc>
          <w:tcPr>
            <w:tcW w:w="1064" w:type="dxa"/>
            <w:tcBorders>
              <w:top w:val="dotted" w:sz="4" w:space="0" w:color="auto"/>
              <w:left w:val="dotted" w:sz="4" w:space="0" w:color="auto"/>
              <w:bottom w:val="dotted" w:sz="4" w:space="0" w:color="auto"/>
              <w:right w:val="dotted" w:sz="4" w:space="0" w:color="auto"/>
            </w:tcBorders>
          </w:tcPr>
          <w:p>
            <w:pPr>
              <w:pStyle w:val="NoSpacing"/>
            </w:pPr>
            <w:r>
              <w:t>4</w:t>
            </w:r>
          </w:p>
        </w:tc>
        <w:tc>
          <w:tcPr>
            <w:tcW w:w="1127" w:type="dxa"/>
            <w:tcBorders>
              <w:top w:val="dotted" w:sz="4" w:space="0" w:color="auto"/>
              <w:left w:val="dotted" w:sz="4" w:space="0" w:color="auto"/>
              <w:bottom w:val="dotted" w:sz="4" w:space="0" w:color="auto"/>
              <w:right w:val="dotted" w:sz="4" w:space="0" w:color="auto"/>
            </w:tcBorders>
          </w:tcPr>
          <w:p>
            <w:pPr>
              <w:pStyle w:val="NoSpacing"/>
            </w:pPr>
            <w:r>
              <w:t>5</w:t>
            </w:r>
          </w:p>
        </w:tc>
        <w:tc>
          <w:tcPr>
            <w:tcW w:w="1651" w:type="dxa"/>
            <w:tcBorders>
              <w:top w:val="dotted" w:sz="4" w:space="0" w:color="auto"/>
              <w:left w:val="dotted" w:sz="4" w:space="0" w:color="auto"/>
              <w:bottom w:val="dotted" w:sz="4" w:space="0" w:color="auto"/>
              <w:right w:val="dotted" w:sz="4" w:space="0" w:color="auto"/>
            </w:tcBorders>
          </w:tcPr>
          <w:p>
            <w:pPr>
              <w:pStyle w:val="NoSpacing"/>
            </w:pPr>
            <w:r>
              <w:t>4</w:t>
            </w:r>
          </w:p>
        </w:tc>
      </w:tr>
      <w:tr>
        <w:trPr>
          <w:cantSplit/>
        </w:trPr>
        <w:tc>
          <w:tcPr>
            <w:tcW w:w="2341" w:type="dxa"/>
            <w:tcBorders>
              <w:top w:val="dotted" w:sz="4" w:space="0" w:color="auto"/>
              <w:left w:val="dotted" w:sz="4" w:space="0" w:color="auto"/>
              <w:bottom w:val="dotted" w:sz="4" w:space="0" w:color="auto"/>
              <w:right w:val="dotted" w:sz="4" w:space="0" w:color="auto"/>
            </w:tcBorders>
          </w:tcPr>
          <w:p>
            <w:pPr>
              <w:pStyle w:val="NoSpacing"/>
            </w:pPr>
            <w:r>
              <w:t>Security and access control</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1783" w:type="dxa"/>
            <w:tcBorders>
              <w:top w:val="dotted" w:sz="4" w:space="0" w:color="auto"/>
              <w:left w:val="dotted" w:sz="4" w:space="0" w:color="auto"/>
              <w:bottom w:val="dotted" w:sz="4" w:space="0" w:color="auto"/>
              <w:right w:val="dotted" w:sz="4" w:space="0" w:color="auto"/>
            </w:tcBorders>
          </w:tcPr>
          <w:p>
            <w:pPr>
              <w:pStyle w:val="NoSpacing"/>
            </w:pPr>
            <w:r>
              <w:t>5</w:t>
            </w:r>
          </w:p>
        </w:tc>
        <w:tc>
          <w:tcPr>
            <w:tcW w:w="1064" w:type="dxa"/>
            <w:tcBorders>
              <w:top w:val="dotted" w:sz="4" w:space="0" w:color="auto"/>
              <w:left w:val="dotted" w:sz="4" w:space="0" w:color="auto"/>
              <w:bottom w:val="dotted" w:sz="4" w:space="0" w:color="auto"/>
              <w:right w:val="dotted" w:sz="4" w:space="0" w:color="auto"/>
            </w:tcBorders>
          </w:tcPr>
          <w:p>
            <w:pPr>
              <w:pStyle w:val="NoSpacing"/>
            </w:pPr>
            <w:r>
              <w:t>5</w:t>
            </w:r>
          </w:p>
        </w:tc>
        <w:tc>
          <w:tcPr>
            <w:tcW w:w="1127" w:type="dxa"/>
            <w:tcBorders>
              <w:top w:val="dotted" w:sz="4" w:space="0" w:color="auto"/>
              <w:left w:val="dotted" w:sz="4" w:space="0" w:color="auto"/>
              <w:bottom w:val="dotted" w:sz="4" w:space="0" w:color="auto"/>
              <w:right w:val="dotted" w:sz="4" w:space="0" w:color="auto"/>
            </w:tcBorders>
          </w:tcPr>
          <w:p>
            <w:pPr>
              <w:pStyle w:val="NoSpacing"/>
            </w:pPr>
            <w:r>
              <w:t>4</w:t>
            </w:r>
          </w:p>
        </w:tc>
        <w:tc>
          <w:tcPr>
            <w:tcW w:w="1651" w:type="dxa"/>
            <w:tcBorders>
              <w:top w:val="dotted" w:sz="4" w:space="0" w:color="auto"/>
              <w:left w:val="dotted" w:sz="4" w:space="0" w:color="auto"/>
              <w:bottom w:val="dotted" w:sz="4" w:space="0" w:color="auto"/>
              <w:right w:val="dotted" w:sz="4" w:space="0" w:color="auto"/>
            </w:tcBorders>
          </w:tcPr>
          <w:p>
            <w:pPr>
              <w:pStyle w:val="NoSpacing"/>
            </w:pPr>
            <w:r>
              <w:t>3</w:t>
            </w:r>
          </w:p>
        </w:tc>
      </w:tr>
      <w:tr>
        <w:trPr>
          <w:cantSplit/>
        </w:trPr>
        <w:tc>
          <w:tcPr>
            <w:tcW w:w="2341" w:type="dxa"/>
            <w:tcBorders>
              <w:top w:val="dotted" w:sz="4" w:space="0" w:color="auto"/>
              <w:left w:val="dotted" w:sz="4" w:space="0" w:color="auto"/>
              <w:bottom w:val="dotted" w:sz="4" w:space="0" w:color="auto"/>
              <w:right w:val="dotted" w:sz="4" w:space="0" w:color="auto"/>
            </w:tcBorders>
          </w:tcPr>
          <w:p>
            <w:pPr>
              <w:pStyle w:val="NoSpacing"/>
            </w:pPr>
            <w:r>
              <w:t>Deployment flexibility</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1783" w:type="dxa"/>
            <w:tcBorders>
              <w:top w:val="dotted" w:sz="4" w:space="0" w:color="auto"/>
              <w:left w:val="dotted" w:sz="4" w:space="0" w:color="auto"/>
              <w:bottom w:val="dotted" w:sz="4" w:space="0" w:color="auto"/>
              <w:right w:val="dotted" w:sz="4" w:space="0" w:color="auto"/>
            </w:tcBorders>
          </w:tcPr>
          <w:p>
            <w:pPr>
              <w:pStyle w:val="NoSpacing"/>
            </w:pPr>
            <w:r>
              <w:t>1</w:t>
            </w:r>
          </w:p>
        </w:tc>
        <w:tc>
          <w:tcPr>
            <w:tcW w:w="1064" w:type="dxa"/>
            <w:tcBorders>
              <w:top w:val="dotted" w:sz="4" w:space="0" w:color="auto"/>
              <w:left w:val="dotted" w:sz="4" w:space="0" w:color="auto"/>
              <w:bottom w:val="dotted" w:sz="4" w:space="0" w:color="auto"/>
              <w:right w:val="dotted" w:sz="4" w:space="0" w:color="auto"/>
            </w:tcBorders>
          </w:tcPr>
          <w:p>
            <w:pPr>
              <w:pStyle w:val="NoSpacing"/>
            </w:pPr>
            <w:r>
              <w:t>1</w:t>
            </w:r>
          </w:p>
        </w:tc>
        <w:tc>
          <w:tcPr>
            <w:tcW w:w="1127" w:type="dxa"/>
            <w:tcBorders>
              <w:top w:val="dotted" w:sz="4" w:space="0" w:color="auto"/>
              <w:left w:val="dotted" w:sz="4" w:space="0" w:color="auto"/>
              <w:bottom w:val="dotted" w:sz="4" w:space="0" w:color="auto"/>
              <w:right w:val="dotted" w:sz="4" w:space="0" w:color="auto"/>
            </w:tcBorders>
          </w:tcPr>
          <w:p>
            <w:pPr>
              <w:pStyle w:val="NoSpacing"/>
            </w:pPr>
            <w:r>
              <w:t>4</w:t>
            </w:r>
          </w:p>
        </w:tc>
        <w:tc>
          <w:tcPr>
            <w:tcW w:w="1651" w:type="dxa"/>
            <w:tcBorders>
              <w:top w:val="dotted" w:sz="4" w:space="0" w:color="auto"/>
              <w:left w:val="dotted" w:sz="4" w:space="0" w:color="auto"/>
              <w:bottom w:val="dotted" w:sz="4" w:space="0" w:color="auto"/>
              <w:right w:val="dotted" w:sz="4" w:space="0" w:color="auto"/>
            </w:tcBorders>
          </w:tcPr>
          <w:p>
            <w:pPr>
              <w:pStyle w:val="NoSpacing"/>
            </w:pPr>
            <w:r>
              <w:t>5</w:t>
            </w:r>
          </w:p>
        </w:tc>
      </w:tr>
      <w:tr>
        <w:trPr>
          <w:cantSplit/>
        </w:trPr>
        <w:tc>
          <w:tcPr>
            <w:tcW w:w="2341" w:type="dxa"/>
            <w:tcBorders>
              <w:top w:val="dotted" w:sz="4" w:space="0" w:color="auto"/>
              <w:left w:val="dotted" w:sz="4" w:space="0" w:color="auto"/>
              <w:bottom w:val="dotted" w:sz="4" w:space="0" w:color="auto"/>
              <w:right w:val="dotted" w:sz="4" w:space="0" w:color="auto"/>
            </w:tcBorders>
          </w:tcPr>
          <w:p>
            <w:pPr>
              <w:pStyle w:val="NoSpacing"/>
            </w:pPr>
            <w:r>
              <w:t>Total Weighted Score</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100</w:t>
            </w:r>
          </w:p>
        </w:tc>
        <w:tc>
          <w:tcPr>
            <w:tcW w:w="1783" w:type="dxa"/>
            <w:tcBorders>
              <w:top w:val="dotted" w:sz="4" w:space="0" w:color="auto"/>
              <w:left w:val="dotted" w:sz="4" w:space="0" w:color="auto"/>
              <w:bottom w:val="dotted" w:sz="4" w:space="0" w:color="auto"/>
              <w:right w:val="dotted" w:sz="4" w:space="0" w:color="auto"/>
            </w:tcBorders>
          </w:tcPr>
          <w:p>
            <w:pPr>
              <w:pStyle w:val="NoSpacing"/>
            </w:pPr>
            <w:r>
              <w:t>4.60 / 5</w:t>
            </w:r>
          </w:p>
        </w:tc>
        <w:tc>
          <w:tcPr>
            <w:tcW w:w="1064" w:type="dxa"/>
            <w:tcBorders>
              <w:top w:val="dotted" w:sz="4" w:space="0" w:color="auto"/>
              <w:left w:val="dotted" w:sz="4" w:space="0" w:color="auto"/>
              <w:bottom w:val="dotted" w:sz="4" w:space="0" w:color="auto"/>
              <w:right w:val="dotted" w:sz="4" w:space="0" w:color="auto"/>
            </w:tcBorders>
          </w:tcPr>
          <w:p>
            <w:pPr>
              <w:pStyle w:val="NoSpacing"/>
            </w:pPr>
            <w:r>
              <w:t>4.10 / 5</w:t>
            </w:r>
          </w:p>
        </w:tc>
        <w:tc>
          <w:tcPr>
            <w:tcW w:w="1127" w:type="dxa"/>
            <w:tcBorders>
              <w:top w:val="dotted" w:sz="4" w:space="0" w:color="auto"/>
              <w:left w:val="dotted" w:sz="4" w:space="0" w:color="auto"/>
              <w:bottom w:val="dotted" w:sz="4" w:space="0" w:color="auto"/>
              <w:right w:val="dotted" w:sz="4" w:space="0" w:color="auto"/>
            </w:tcBorders>
          </w:tcPr>
          <w:p>
            <w:pPr>
              <w:pStyle w:val="NoSpacing"/>
            </w:pPr>
            <w:r>
              <w:t>3.40 / 5</w:t>
            </w:r>
          </w:p>
        </w:tc>
        <w:tc>
          <w:tcPr>
            <w:tcW w:w="1651" w:type="dxa"/>
            <w:tcBorders>
              <w:top w:val="dotted" w:sz="4" w:space="0" w:color="auto"/>
              <w:left w:val="dotted" w:sz="4" w:space="0" w:color="auto"/>
              <w:bottom w:val="dotted" w:sz="4" w:space="0" w:color="auto"/>
              <w:right w:val="dotted" w:sz="4" w:space="0" w:color="auto"/>
            </w:tcBorders>
          </w:tcPr>
          <w:p>
            <w:pPr>
              <w:pStyle w:val="NoSpacing"/>
            </w:pPr>
            <w:r>
              <w:t>3.15 / 5</w:t>
            </w:r>
          </w:p>
        </w:tc>
      </w:tr>
    </w:tbl>
    <w:p/>
    <w:p>
      <w:r>
        <w:t>EventBridge with SQS and SNS leads at 4.60, ahead of SNS with SQS at 4.10, Amazon MSK at 3.40 and Amazon MQ at 3.15. The two serverless options tie on delivery, operations, scale and cost. EventBridge pulls ahead on three attributes — content-based routing, replay and direct Step Functions targets — and loses one point on ordering, because it does not guarantee delivery order.</w:t>
      </w:r>
    </w:p>
    <w:p>
      <w:r>
        <w:t>The result is not one-sided. Kafka wins outright on replay and ordering, and Kafka and RabbitMQ are the only options that carry over to an on-premise estate. Both lose heavily on operations and cost: at about 15 million events a month eClaims would use a small fraction of a cluster that it must still pay for, size and patch in two Regions. Their strengths answer requirements eClaims does not have in Phase 1 — event sourcing, stream processing, very high throughput.</w:t>
      </w:r>
    </w:p>
    <w:p>
      <w:pPr>
        <w:pStyle w:val="Heading2"/>
      </w:pPr>
      <w:bookmarkStart w:id="114" w:name="_Toc300000015"/>
      <w:r>
        <w:t>Comparison 2 — Capability Comparison</w:t>
      </w:r>
      <w:bookmarkEnd w:id="114"/>
    </w:p>
    <w:p>
      <w:r>
        <w:t>Native means the capability is provided by the option itself. Partial means it is achievable but requires the team to build or integrate something. No means the capability is absent.</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00"/>
        <w:gridCol w:w="1660"/>
        <w:gridCol w:w="1894"/>
        <w:gridCol w:w="1912"/>
        <w:gridCol w:w="1660"/>
      </w:tblGrid>
      <w:tr>
        <w:trPr>
          <w:cantSplit/>
          <w:tblHeader/>
        </w:trPr>
        <w:tc>
          <w:tcPr>
            <w:tcW w:w="190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Key Capability</w:t>
            </w:r>
          </w:p>
        </w:tc>
        <w:tc>
          <w:tcPr>
            <w:tcW w:w="166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EventBridge + SQS + SNS</w:t>
            </w:r>
          </w:p>
        </w:tc>
        <w:tc>
          <w:tcPr>
            <w:tcW w:w="1894"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SNS + SQS</w:t>
            </w:r>
          </w:p>
        </w:tc>
        <w:tc>
          <w:tcPr>
            <w:tcW w:w="1912"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Amazon MSK</w:t>
            </w:r>
          </w:p>
        </w:tc>
        <w:tc>
          <w:tcPr>
            <w:tcW w:w="166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Amazon MQ (RabbitMQ)</w:t>
            </w:r>
          </w:p>
        </w:tc>
      </w:tr>
      <w:tr>
        <w:trPr>
          <w:cantSplit/>
        </w:trPr>
        <w:tc>
          <w:tcPr>
            <w:tcW w:w="1900" w:type="dxa"/>
            <w:tcBorders>
              <w:top w:val="dotted" w:sz="4" w:space="0" w:color="auto"/>
              <w:left w:val="dotted" w:sz="4" w:space="0" w:color="auto"/>
              <w:bottom w:val="dotted" w:sz="4" w:space="0" w:color="auto"/>
              <w:right w:val="dotted" w:sz="4" w:space="0" w:color="auto"/>
            </w:tcBorders>
          </w:tcPr>
          <w:p>
            <w:pPr>
              <w:pStyle w:val="NoSpacing"/>
            </w:pPr>
            <w:r>
              <w:t>Per-consumer buffering and retry</w:t>
            </w:r>
          </w:p>
        </w:tc>
        <w:tc>
          <w:tcPr>
            <w:tcW w:w="1660" w:type="dxa"/>
            <w:tcBorders>
              <w:top w:val="dotted" w:sz="4" w:space="0" w:color="auto"/>
              <w:left w:val="dotted" w:sz="4" w:space="0" w:color="auto"/>
              <w:bottom w:val="dotted" w:sz="4" w:space="0" w:color="auto"/>
              <w:right w:val="dotted" w:sz="4" w:space="0" w:color="auto"/>
            </w:tcBorders>
          </w:tcPr>
          <w:p>
            <w:pPr>
              <w:pStyle w:val="NoSpacing"/>
            </w:pPr>
            <w:r>
              <w:t>Native — SQS</w:t>
            </w:r>
          </w:p>
        </w:tc>
        <w:tc>
          <w:tcPr>
            <w:tcW w:w="1894" w:type="dxa"/>
            <w:tcBorders>
              <w:top w:val="dotted" w:sz="4" w:space="0" w:color="auto"/>
              <w:left w:val="dotted" w:sz="4" w:space="0" w:color="auto"/>
              <w:bottom w:val="dotted" w:sz="4" w:space="0" w:color="auto"/>
              <w:right w:val="dotted" w:sz="4" w:space="0" w:color="auto"/>
            </w:tcBorders>
          </w:tcPr>
          <w:p>
            <w:pPr>
              <w:pStyle w:val="NoSpacing"/>
            </w:pPr>
            <w:r>
              <w:t>Native — SQS</w:t>
            </w:r>
          </w:p>
        </w:tc>
        <w:tc>
          <w:tcPr>
            <w:tcW w:w="1912" w:type="dxa"/>
            <w:tcBorders>
              <w:top w:val="dotted" w:sz="4" w:space="0" w:color="auto"/>
              <w:left w:val="dotted" w:sz="4" w:space="0" w:color="auto"/>
              <w:bottom w:val="dotted" w:sz="4" w:space="0" w:color="auto"/>
              <w:right w:val="dotted" w:sz="4" w:space="0" w:color="auto"/>
            </w:tcBorders>
          </w:tcPr>
          <w:p>
            <w:pPr>
              <w:pStyle w:val="NoSpacing"/>
            </w:pPr>
            <w:r>
              <w:t>Partial — consumer offsets; retry built by the team</w:t>
            </w:r>
          </w:p>
        </w:tc>
        <w:tc>
          <w:tcPr>
            <w:tcW w:w="1660" w:type="dxa"/>
            <w:tcBorders>
              <w:top w:val="dotted" w:sz="4" w:space="0" w:color="auto"/>
              <w:left w:val="dotted" w:sz="4" w:space="0" w:color="auto"/>
              <w:bottom w:val="dotted" w:sz="4" w:space="0" w:color="auto"/>
              <w:right w:val="dotted" w:sz="4" w:space="0" w:color="auto"/>
            </w:tcBorders>
          </w:tcPr>
          <w:p>
            <w:pPr>
              <w:pStyle w:val="NoSpacing"/>
            </w:pPr>
            <w:r>
              <w:t>Native — queues</w:t>
            </w:r>
          </w:p>
        </w:tc>
      </w:tr>
      <w:tr>
        <w:trPr>
          <w:cantSplit/>
        </w:trPr>
        <w:tc>
          <w:tcPr>
            <w:tcW w:w="1900" w:type="dxa"/>
            <w:tcBorders>
              <w:top w:val="dotted" w:sz="4" w:space="0" w:color="auto"/>
              <w:left w:val="dotted" w:sz="4" w:space="0" w:color="auto"/>
              <w:bottom w:val="dotted" w:sz="4" w:space="0" w:color="auto"/>
              <w:right w:val="dotted" w:sz="4" w:space="0" w:color="auto"/>
            </w:tcBorders>
          </w:tcPr>
          <w:p>
            <w:pPr>
              <w:pStyle w:val="NoSpacing"/>
            </w:pPr>
            <w:r>
              <w:t>Dead-letter handling</w:t>
            </w:r>
          </w:p>
        </w:tc>
        <w:tc>
          <w:tcPr>
            <w:tcW w:w="1660" w:type="dxa"/>
            <w:tcBorders>
              <w:top w:val="dotted" w:sz="4" w:space="0" w:color="auto"/>
              <w:left w:val="dotted" w:sz="4" w:space="0" w:color="auto"/>
              <w:bottom w:val="dotted" w:sz="4" w:space="0" w:color="auto"/>
              <w:right w:val="dotted" w:sz="4" w:space="0" w:color="auto"/>
            </w:tcBorders>
          </w:tcPr>
          <w:p>
            <w:pPr>
              <w:pStyle w:val="NoSpacing"/>
            </w:pPr>
            <w:r>
              <w:t>Native — SQS and EventBridge target dead-letter queues</w:t>
            </w:r>
          </w:p>
        </w:tc>
        <w:tc>
          <w:tcPr>
            <w:tcW w:w="1894" w:type="dxa"/>
            <w:tcBorders>
              <w:top w:val="dotted" w:sz="4" w:space="0" w:color="auto"/>
              <w:left w:val="dotted" w:sz="4" w:space="0" w:color="auto"/>
              <w:bottom w:val="dotted" w:sz="4" w:space="0" w:color="auto"/>
              <w:right w:val="dotted" w:sz="4" w:space="0" w:color="auto"/>
            </w:tcBorders>
          </w:tcPr>
          <w:p>
            <w:pPr>
              <w:pStyle w:val="NoSpacing"/>
            </w:pPr>
            <w:r>
              <w:t>Native — SQS and subscription dead-letter queues</w:t>
            </w:r>
          </w:p>
        </w:tc>
        <w:tc>
          <w:tcPr>
            <w:tcW w:w="1912" w:type="dxa"/>
            <w:tcBorders>
              <w:top w:val="dotted" w:sz="4" w:space="0" w:color="auto"/>
              <w:left w:val="dotted" w:sz="4" w:space="0" w:color="auto"/>
              <w:bottom w:val="dotted" w:sz="4" w:space="0" w:color="auto"/>
              <w:right w:val="dotted" w:sz="4" w:space="0" w:color="auto"/>
            </w:tcBorders>
          </w:tcPr>
          <w:p>
            <w:pPr>
              <w:pStyle w:val="NoSpacing"/>
            </w:pPr>
            <w:r>
              <w:t>Partial — dead-letter topic built by the team</w:t>
            </w:r>
          </w:p>
        </w:tc>
        <w:tc>
          <w:tcPr>
            <w:tcW w:w="1660" w:type="dxa"/>
            <w:tcBorders>
              <w:top w:val="dotted" w:sz="4" w:space="0" w:color="auto"/>
              <w:left w:val="dotted" w:sz="4" w:space="0" w:color="auto"/>
              <w:bottom w:val="dotted" w:sz="4" w:space="0" w:color="auto"/>
              <w:right w:val="dotted" w:sz="4" w:space="0" w:color="auto"/>
            </w:tcBorders>
          </w:tcPr>
          <w:p>
            <w:pPr>
              <w:pStyle w:val="NoSpacing"/>
            </w:pPr>
            <w:r>
              <w:t>Native — dead-letter exchange</w:t>
            </w:r>
          </w:p>
        </w:tc>
      </w:tr>
      <w:tr>
        <w:trPr>
          <w:cantSplit/>
        </w:trPr>
        <w:tc>
          <w:tcPr>
            <w:tcW w:w="1900" w:type="dxa"/>
            <w:tcBorders>
              <w:top w:val="dotted" w:sz="4" w:space="0" w:color="auto"/>
              <w:left w:val="dotted" w:sz="4" w:space="0" w:color="auto"/>
              <w:bottom w:val="dotted" w:sz="4" w:space="0" w:color="auto"/>
              <w:right w:val="dotted" w:sz="4" w:space="0" w:color="auto"/>
            </w:tcBorders>
          </w:tcPr>
          <w:p>
            <w:pPr>
              <w:pStyle w:val="NoSpacing"/>
            </w:pPr>
            <w:r>
              <w:t>Content-based routing</w:t>
            </w:r>
          </w:p>
        </w:tc>
        <w:tc>
          <w:tcPr>
            <w:tcW w:w="1660" w:type="dxa"/>
            <w:tcBorders>
              <w:top w:val="dotted" w:sz="4" w:space="0" w:color="auto"/>
              <w:left w:val="dotted" w:sz="4" w:space="0" w:color="auto"/>
              <w:bottom w:val="dotted" w:sz="4" w:space="0" w:color="auto"/>
              <w:right w:val="dotted" w:sz="4" w:space="0" w:color="auto"/>
            </w:tcBorders>
          </w:tcPr>
          <w:p>
            <w:pPr>
              <w:pStyle w:val="NoSpacing"/>
            </w:pPr>
            <w:r>
              <w:t>Native — rules on any field</w:t>
            </w:r>
          </w:p>
        </w:tc>
        <w:tc>
          <w:tcPr>
            <w:tcW w:w="1894" w:type="dxa"/>
            <w:tcBorders>
              <w:top w:val="dotted" w:sz="4" w:space="0" w:color="auto"/>
              <w:left w:val="dotted" w:sz="4" w:space="0" w:color="auto"/>
              <w:bottom w:val="dotted" w:sz="4" w:space="0" w:color="auto"/>
              <w:right w:val="dotted" w:sz="4" w:space="0" w:color="auto"/>
            </w:tcBorders>
          </w:tcPr>
          <w:p>
            <w:pPr>
              <w:pStyle w:val="NoSpacing"/>
            </w:pPr>
            <w:r>
              <w:t>Native — filter policies</w:t>
            </w:r>
          </w:p>
        </w:tc>
        <w:tc>
          <w:tcPr>
            <w:tcW w:w="1912" w:type="dxa"/>
            <w:tcBorders>
              <w:top w:val="dotted" w:sz="4" w:space="0" w:color="auto"/>
              <w:left w:val="dotted" w:sz="4" w:space="0" w:color="auto"/>
              <w:bottom w:val="dotted" w:sz="4" w:space="0" w:color="auto"/>
              <w:right w:val="dotted" w:sz="4" w:space="0" w:color="auto"/>
            </w:tcBorders>
          </w:tcPr>
          <w:p>
            <w:pPr>
              <w:pStyle w:val="NoSpacing"/>
            </w:pPr>
            <w:r>
              <w:t>No — consumers filter</w:t>
            </w:r>
          </w:p>
        </w:tc>
        <w:tc>
          <w:tcPr>
            <w:tcW w:w="1660" w:type="dxa"/>
            <w:tcBorders>
              <w:top w:val="dotted" w:sz="4" w:space="0" w:color="auto"/>
              <w:left w:val="dotted" w:sz="4" w:space="0" w:color="auto"/>
              <w:bottom w:val="dotted" w:sz="4" w:space="0" w:color="auto"/>
              <w:right w:val="dotted" w:sz="4" w:space="0" w:color="auto"/>
            </w:tcBorders>
          </w:tcPr>
          <w:p>
            <w:pPr>
              <w:pStyle w:val="NoSpacing"/>
            </w:pPr>
            <w:r>
              <w:t>Partial — routing keys and headers</w:t>
            </w:r>
          </w:p>
        </w:tc>
      </w:tr>
      <w:tr>
        <w:trPr>
          <w:cantSplit/>
        </w:trPr>
        <w:tc>
          <w:tcPr>
            <w:tcW w:w="1900" w:type="dxa"/>
            <w:tcBorders>
              <w:top w:val="dotted" w:sz="4" w:space="0" w:color="auto"/>
              <w:left w:val="dotted" w:sz="4" w:space="0" w:color="auto"/>
              <w:bottom w:val="dotted" w:sz="4" w:space="0" w:color="auto"/>
              <w:right w:val="dotted" w:sz="4" w:space="0" w:color="auto"/>
            </w:tcBorders>
          </w:tcPr>
          <w:p>
            <w:pPr>
              <w:pStyle w:val="NoSpacing"/>
            </w:pPr>
            <w:r>
              <w:t>Archive and replay</w:t>
            </w:r>
          </w:p>
        </w:tc>
        <w:tc>
          <w:tcPr>
            <w:tcW w:w="1660" w:type="dxa"/>
            <w:tcBorders>
              <w:top w:val="dotted" w:sz="4" w:space="0" w:color="auto"/>
              <w:left w:val="dotted" w:sz="4" w:space="0" w:color="auto"/>
              <w:bottom w:val="dotted" w:sz="4" w:space="0" w:color="auto"/>
              <w:right w:val="dotted" w:sz="4" w:space="0" w:color="auto"/>
            </w:tcBorders>
          </w:tcPr>
          <w:p>
            <w:pPr>
              <w:pStyle w:val="NoSpacing"/>
            </w:pPr>
            <w:r>
              <w:t>Native</w:t>
            </w:r>
          </w:p>
        </w:tc>
        <w:tc>
          <w:tcPr>
            <w:tcW w:w="1894" w:type="dxa"/>
            <w:tcBorders>
              <w:top w:val="dotted" w:sz="4" w:space="0" w:color="auto"/>
              <w:left w:val="dotted" w:sz="4" w:space="0" w:color="auto"/>
              <w:bottom w:val="dotted" w:sz="4" w:space="0" w:color="auto"/>
              <w:right w:val="dotted" w:sz="4" w:space="0" w:color="auto"/>
            </w:tcBorders>
          </w:tcPr>
          <w:p>
            <w:pPr>
              <w:pStyle w:val="NoSpacing"/>
            </w:pPr>
            <w:r>
              <w:t>No</w:t>
            </w:r>
          </w:p>
        </w:tc>
        <w:tc>
          <w:tcPr>
            <w:tcW w:w="1912" w:type="dxa"/>
            <w:tcBorders>
              <w:top w:val="dotted" w:sz="4" w:space="0" w:color="auto"/>
              <w:left w:val="dotted" w:sz="4" w:space="0" w:color="auto"/>
              <w:bottom w:val="dotted" w:sz="4" w:space="0" w:color="auto"/>
              <w:right w:val="dotted" w:sz="4" w:space="0" w:color="auto"/>
            </w:tcBorders>
          </w:tcPr>
          <w:p>
            <w:pPr>
              <w:pStyle w:val="NoSpacing"/>
            </w:pPr>
            <w:r>
              <w:t>Native — within retention</w:t>
            </w:r>
          </w:p>
        </w:tc>
        <w:tc>
          <w:tcPr>
            <w:tcW w:w="1660" w:type="dxa"/>
            <w:tcBorders>
              <w:top w:val="dotted" w:sz="4" w:space="0" w:color="auto"/>
              <w:left w:val="dotted" w:sz="4" w:space="0" w:color="auto"/>
              <w:bottom w:val="dotted" w:sz="4" w:space="0" w:color="auto"/>
              <w:right w:val="dotted" w:sz="4" w:space="0" w:color="auto"/>
            </w:tcBorders>
          </w:tcPr>
          <w:p>
            <w:pPr>
              <w:pStyle w:val="NoSpacing"/>
            </w:pPr>
            <w:r>
              <w:t>No</w:t>
            </w:r>
          </w:p>
        </w:tc>
      </w:tr>
      <w:tr>
        <w:trPr>
          <w:cantSplit/>
        </w:trPr>
        <w:tc>
          <w:tcPr>
            <w:tcW w:w="1900" w:type="dxa"/>
            <w:tcBorders>
              <w:top w:val="dotted" w:sz="4" w:space="0" w:color="auto"/>
              <w:left w:val="dotted" w:sz="4" w:space="0" w:color="auto"/>
              <w:bottom w:val="dotted" w:sz="4" w:space="0" w:color="auto"/>
              <w:right w:val="dotted" w:sz="4" w:space="0" w:color="auto"/>
            </w:tcBorders>
          </w:tcPr>
          <w:p>
            <w:pPr>
              <w:pStyle w:val="NoSpacing"/>
            </w:pPr>
            <w:r>
              <w:t>Ordering per claim</w:t>
            </w:r>
          </w:p>
        </w:tc>
        <w:tc>
          <w:tcPr>
            <w:tcW w:w="1660" w:type="dxa"/>
            <w:tcBorders>
              <w:top w:val="dotted" w:sz="4" w:space="0" w:color="auto"/>
              <w:left w:val="dotted" w:sz="4" w:space="0" w:color="auto"/>
              <w:bottom w:val="dotted" w:sz="4" w:space="0" w:color="auto"/>
              <w:right w:val="dotted" w:sz="4" w:space="0" w:color="auto"/>
            </w:tcBorders>
          </w:tcPr>
          <w:p>
            <w:pPr>
              <w:pStyle w:val="NoSpacing"/>
            </w:pPr>
            <w:r>
              <w:t>Partial — claim version, or a FIFO queue target</w:t>
            </w:r>
          </w:p>
        </w:tc>
        <w:tc>
          <w:tcPr>
            <w:tcW w:w="1894" w:type="dxa"/>
            <w:tcBorders>
              <w:top w:val="dotted" w:sz="4" w:space="0" w:color="auto"/>
              <w:left w:val="dotted" w:sz="4" w:space="0" w:color="auto"/>
              <w:bottom w:val="dotted" w:sz="4" w:space="0" w:color="auto"/>
              <w:right w:val="dotted" w:sz="4" w:space="0" w:color="auto"/>
            </w:tcBorders>
          </w:tcPr>
          <w:p>
            <w:pPr>
              <w:pStyle w:val="NoSpacing"/>
            </w:pPr>
            <w:r>
              <w:t>Native — FIFO topics and queues</w:t>
            </w:r>
          </w:p>
        </w:tc>
        <w:tc>
          <w:tcPr>
            <w:tcW w:w="1912" w:type="dxa"/>
            <w:tcBorders>
              <w:top w:val="dotted" w:sz="4" w:space="0" w:color="auto"/>
              <w:left w:val="dotted" w:sz="4" w:space="0" w:color="auto"/>
              <w:bottom w:val="dotted" w:sz="4" w:space="0" w:color="auto"/>
              <w:right w:val="dotted" w:sz="4" w:space="0" w:color="auto"/>
            </w:tcBorders>
          </w:tcPr>
          <w:p>
            <w:pPr>
              <w:pStyle w:val="NoSpacing"/>
            </w:pPr>
            <w:r>
              <w:t>Native — partition key</w:t>
            </w:r>
          </w:p>
        </w:tc>
        <w:tc>
          <w:tcPr>
            <w:tcW w:w="1660" w:type="dxa"/>
            <w:tcBorders>
              <w:top w:val="dotted" w:sz="4" w:space="0" w:color="auto"/>
              <w:left w:val="dotted" w:sz="4" w:space="0" w:color="auto"/>
              <w:bottom w:val="dotted" w:sz="4" w:space="0" w:color="auto"/>
              <w:right w:val="dotted" w:sz="4" w:space="0" w:color="auto"/>
            </w:tcBorders>
          </w:tcPr>
          <w:p>
            <w:pPr>
              <w:pStyle w:val="NoSpacing"/>
            </w:pPr>
            <w:r>
              <w:t>Partial — one queue per consumer</w:t>
            </w:r>
          </w:p>
        </w:tc>
      </w:tr>
      <w:tr>
        <w:trPr>
          <w:cantSplit/>
        </w:trPr>
        <w:tc>
          <w:tcPr>
            <w:tcW w:w="1900" w:type="dxa"/>
            <w:tcBorders>
              <w:top w:val="dotted" w:sz="4" w:space="0" w:color="auto"/>
              <w:left w:val="dotted" w:sz="4" w:space="0" w:color="auto"/>
              <w:bottom w:val="dotted" w:sz="4" w:space="0" w:color="auto"/>
              <w:right w:val="dotted" w:sz="4" w:space="0" w:color="auto"/>
            </w:tcBorders>
          </w:tcPr>
          <w:p>
            <w:pPr>
              <w:pStyle w:val="NoSpacing"/>
            </w:pPr>
            <w:r>
              <w:t>Start or resume Step Functions</w:t>
            </w:r>
          </w:p>
        </w:tc>
        <w:tc>
          <w:tcPr>
            <w:tcW w:w="1660" w:type="dxa"/>
            <w:tcBorders>
              <w:top w:val="dotted" w:sz="4" w:space="0" w:color="auto"/>
              <w:left w:val="dotted" w:sz="4" w:space="0" w:color="auto"/>
              <w:bottom w:val="dotted" w:sz="4" w:space="0" w:color="auto"/>
              <w:right w:val="dotted" w:sz="4" w:space="0" w:color="auto"/>
            </w:tcBorders>
          </w:tcPr>
          <w:p>
            <w:pPr>
              <w:pStyle w:val="NoSpacing"/>
            </w:pPr>
            <w:r>
              <w:t>Native — rule target</w:t>
            </w:r>
          </w:p>
        </w:tc>
        <w:tc>
          <w:tcPr>
            <w:tcW w:w="1894" w:type="dxa"/>
            <w:tcBorders>
              <w:top w:val="dotted" w:sz="4" w:space="0" w:color="auto"/>
              <w:left w:val="dotted" w:sz="4" w:space="0" w:color="auto"/>
              <w:bottom w:val="dotted" w:sz="4" w:space="0" w:color="auto"/>
              <w:right w:val="dotted" w:sz="4" w:space="0" w:color="auto"/>
            </w:tcBorders>
          </w:tcPr>
          <w:p>
            <w:pPr>
              <w:pStyle w:val="NoSpacing"/>
            </w:pPr>
            <w:r>
              <w:t>Partial — Lambda in between</w:t>
            </w:r>
          </w:p>
        </w:tc>
        <w:tc>
          <w:tcPr>
            <w:tcW w:w="1912" w:type="dxa"/>
            <w:tcBorders>
              <w:top w:val="dotted" w:sz="4" w:space="0" w:color="auto"/>
              <w:left w:val="dotted" w:sz="4" w:space="0" w:color="auto"/>
              <w:bottom w:val="dotted" w:sz="4" w:space="0" w:color="auto"/>
              <w:right w:val="dotted" w:sz="4" w:space="0" w:color="auto"/>
            </w:tcBorders>
          </w:tcPr>
          <w:p>
            <w:pPr>
              <w:pStyle w:val="NoSpacing"/>
            </w:pPr>
            <w:r>
              <w:t>Partial — EventBridge Pipes or a consumer</w:t>
            </w:r>
          </w:p>
        </w:tc>
        <w:tc>
          <w:tcPr>
            <w:tcW w:w="1660" w:type="dxa"/>
            <w:tcBorders>
              <w:top w:val="dotted" w:sz="4" w:space="0" w:color="auto"/>
              <w:left w:val="dotted" w:sz="4" w:space="0" w:color="auto"/>
              <w:bottom w:val="dotted" w:sz="4" w:space="0" w:color="auto"/>
              <w:right w:val="dotted" w:sz="4" w:space="0" w:color="auto"/>
            </w:tcBorders>
          </w:tcPr>
          <w:p>
            <w:pPr>
              <w:pStyle w:val="NoSpacing"/>
            </w:pPr>
            <w:r>
              <w:t>Partial — a consumer</w:t>
            </w:r>
          </w:p>
        </w:tc>
      </w:tr>
      <w:tr>
        <w:trPr>
          <w:cantSplit/>
        </w:trPr>
        <w:tc>
          <w:tcPr>
            <w:tcW w:w="1900" w:type="dxa"/>
            <w:tcBorders>
              <w:top w:val="dotted" w:sz="4" w:space="0" w:color="auto"/>
              <w:left w:val="dotted" w:sz="4" w:space="0" w:color="auto"/>
              <w:bottom w:val="dotted" w:sz="4" w:space="0" w:color="auto"/>
              <w:right w:val="dotted" w:sz="4" w:space="0" w:color="auto"/>
            </w:tcBorders>
          </w:tcPr>
          <w:p>
            <w:pPr>
              <w:pStyle w:val="NoSpacing"/>
            </w:pPr>
            <w:r>
              <w:t>ECS scaling on backlog</w:t>
            </w:r>
          </w:p>
        </w:tc>
        <w:tc>
          <w:tcPr>
            <w:tcW w:w="1660" w:type="dxa"/>
            <w:tcBorders>
              <w:top w:val="dotted" w:sz="4" w:space="0" w:color="auto"/>
              <w:left w:val="dotted" w:sz="4" w:space="0" w:color="auto"/>
              <w:bottom w:val="dotted" w:sz="4" w:space="0" w:color="auto"/>
              <w:right w:val="dotted" w:sz="4" w:space="0" w:color="auto"/>
            </w:tcBorders>
          </w:tcPr>
          <w:p>
            <w:pPr>
              <w:pStyle w:val="NoSpacing"/>
            </w:pPr>
            <w:r>
              <w:t>Native — SQS queue depth</w:t>
            </w:r>
          </w:p>
        </w:tc>
        <w:tc>
          <w:tcPr>
            <w:tcW w:w="1894" w:type="dxa"/>
            <w:tcBorders>
              <w:top w:val="dotted" w:sz="4" w:space="0" w:color="auto"/>
              <w:left w:val="dotted" w:sz="4" w:space="0" w:color="auto"/>
              <w:bottom w:val="dotted" w:sz="4" w:space="0" w:color="auto"/>
              <w:right w:val="dotted" w:sz="4" w:space="0" w:color="auto"/>
            </w:tcBorders>
          </w:tcPr>
          <w:p>
            <w:pPr>
              <w:pStyle w:val="NoSpacing"/>
            </w:pPr>
            <w:r>
              <w:t>Native — SQS queue depth</w:t>
            </w:r>
          </w:p>
        </w:tc>
        <w:tc>
          <w:tcPr>
            <w:tcW w:w="1912" w:type="dxa"/>
            <w:tcBorders>
              <w:top w:val="dotted" w:sz="4" w:space="0" w:color="auto"/>
              <w:left w:val="dotted" w:sz="4" w:space="0" w:color="auto"/>
              <w:bottom w:val="dotted" w:sz="4" w:space="0" w:color="auto"/>
              <w:right w:val="dotted" w:sz="4" w:space="0" w:color="auto"/>
            </w:tcBorders>
          </w:tcPr>
          <w:p>
            <w:pPr>
              <w:pStyle w:val="NoSpacing"/>
            </w:pPr>
            <w:r>
              <w:t>Partial — consumer-lag metrics</w:t>
            </w:r>
          </w:p>
        </w:tc>
        <w:tc>
          <w:tcPr>
            <w:tcW w:w="1660" w:type="dxa"/>
            <w:tcBorders>
              <w:top w:val="dotted" w:sz="4" w:space="0" w:color="auto"/>
              <w:left w:val="dotted" w:sz="4" w:space="0" w:color="auto"/>
              <w:bottom w:val="dotted" w:sz="4" w:space="0" w:color="auto"/>
              <w:right w:val="dotted" w:sz="4" w:space="0" w:color="auto"/>
            </w:tcBorders>
          </w:tcPr>
          <w:p>
            <w:pPr>
              <w:pStyle w:val="NoSpacing"/>
            </w:pPr>
            <w:r>
              <w:t>Partial — queue-depth metrics</w:t>
            </w:r>
          </w:p>
        </w:tc>
      </w:tr>
      <w:tr>
        <w:trPr>
          <w:cantSplit/>
        </w:trPr>
        <w:tc>
          <w:tcPr>
            <w:tcW w:w="1900" w:type="dxa"/>
            <w:tcBorders>
              <w:top w:val="dotted" w:sz="4" w:space="0" w:color="auto"/>
              <w:left w:val="dotted" w:sz="4" w:space="0" w:color="auto"/>
              <w:bottom w:val="dotted" w:sz="4" w:space="0" w:color="auto"/>
              <w:right w:val="dotted" w:sz="4" w:space="0" w:color="auto"/>
            </w:tcBorders>
          </w:tcPr>
          <w:p>
            <w:pPr>
              <w:pStyle w:val="NoSpacing"/>
            </w:pPr>
            <w:r>
              <w:t>Schema registry</w:t>
            </w:r>
          </w:p>
        </w:tc>
        <w:tc>
          <w:tcPr>
            <w:tcW w:w="1660" w:type="dxa"/>
            <w:tcBorders>
              <w:top w:val="dotted" w:sz="4" w:space="0" w:color="auto"/>
              <w:left w:val="dotted" w:sz="4" w:space="0" w:color="auto"/>
              <w:bottom w:val="dotted" w:sz="4" w:space="0" w:color="auto"/>
              <w:right w:val="dotted" w:sz="4" w:space="0" w:color="auto"/>
            </w:tcBorders>
          </w:tcPr>
          <w:p>
            <w:pPr>
              <w:pStyle w:val="NoSpacing"/>
            </w:pPr>
            <w:r>
              <w:t>Native</w:t>
            </w:r>
          </w:p>
        </w:tc>
        <w:tc>
          <w:tcPr>
            <w:tcW w:w="1894" w:type="dxa"/>
            <w:tcBorders>
              <w:top w:val="dotted" w:sz="4" w:space="0" w:color="auto"/>
              <w:left w:val="dotted" w:sz="4" w:space="0" w:color="auto"/>
              <w:bottom w:val="dotted" w:sz="4" w:space="0" w:color="auto"/>
              <w:right w:val="dotted" w:sz="4" w:space="0" w:color="auto"/>
            </w:tcBorders>
          </w:tcPr>
          <w:p>
            <w:pPr>
              <w:pStyle w:val="NoSpacing"/>
            </w:pPr>
            <w:r>
              <w:t>No</w:t>
            </w:r>
          </w:p>
        </w:tc>
        <w:tc>
          <w:tcPr>
            <w:tcW w:w="1912" w:type="dxa"/>
            <w:tcBorders>
              <w:top w:val="dotted" w:sz="4" w:space="0" w:color="auto"/>
              <w:left w:val="dotted" w:sz="4" w:space="0" w:color="auto"/>
              <w:bottom w:val="dotted" w:sz="4" w:space="0" w:color="auto"/>
              <w:right w:val="dotted" w:sz="4" w:space="0" w:color="auto"/>
            </w:tcBorders>
          </w:tcPr>
          <w:p>
            <w:pPr>
              <w:pStyle w:val="NoSpacing"/>
            </w:pPr>
            <w:r>
              <w:t>Partial — AWS Glue Schema Registry</w:t>
            </w:r>
          </w:p>
        </w:tc>
        <w:tc>
          <w:tcPr>
            <w:tcW w:w="1660" w:type="dxa"/>
            <w:tcBorders>
              <w:top w:val="dotted" w:sz="4" w:space="0" w:color="auto"/>
              <w:left w:val="dotted" w:sz="4" w:space="0" w:color="auto"/>
              <w:bottom w:val="dotted" w:sz="4" w:space="0" w:color="auto"/>
              <w:right w:val="dotted" w:sz="4" w:space="0" w:color="auto"/>
            </w:tcBorders>
          </w:tcPr>
          <w:p>
            <w:pPr>
              <w:pStyle w:val="NoSpacing"/>
            </w:pPr>
            <w:r>
              <w:t>No</w:t>
            </w:r>
          </w:p>
        </w:tc>
      </w:tr>
      <w:tr>
        <w:trPr>
          <w:cantSplit/>
        </w:trPr>
        <w:tc>
          <w:tcPr>
            <w:tcW w:w="1900" w:type="dxa"/>
            <w:tcBorders>
              <w:top w:val="dotted" w:sz="4" w:space="0" w:color="auto"/>
              <w:left w:val="dotted" w:sz="4" w:space="0" w:color="auto"/>
              <w:bottom w:val="dotted" w:sz="4" w:space="0" w:color="auto"/>
              <w:right w:val="dotted" w:sz="4" w:space="0" w:color="auto"/>
            </w:tcBorders>
          </w:tcPr>
          <w:p>
            <w:pPr>
              <w:pStyle w:val="NoSpacing"/>
            </w:pPr>
            <w:r>
              <w:t>Capacity planning</w:t>
            </w:r>
          </w:p>
        </w:tc>
        <w:tc>
          <w:tcPr>
            <w:tcW w:w="1660" w:type="dxa"/>
            <w:tcBorders>
              <w:top w:val="dotted" w:sz="4" w:space="0" w:color="auto"/>
              <w:left w:val="dotted" w:sz="4" w:space="0" w:color="auto"/>
              <w:bottom w:val="dotted" w:sz="4" w:space="0" w:color="auto"/>
              <w:right w:val="dotted" w:sz="4" w:space="0" w:color="auto"/>
            </w:tcBorders>
          </w:tcPr>
          <w:p>
            <w:pPr>
              <w:pStyle w:val="NoSpacing"/>
            </w:pPr>
            <w:r>
              <w:t>None</w:t>
            </w:r>
          </w:p>
        </w:tc>
        <w:tc>
          <w:tcPr>
            <w:tcW w:w="1894" w:type="dxa"/>
            <w:tcBorders>
              <w:top w:val="dotted" w:sz="4" w:space="0" w:color="auto"/>
              <w:left w:val="dotted" w:sz="4" w:space="0" w:color="auto"/>
              <w:bottom w:val="dotted" w:sz="4" w:space="0" w:color="auto"/>
              <w:right w:val="dotted" w:sz="4" w:space="0" w:color="auto"/>
            </w:tcBorders>
          </w:tcPr>
          <w:p>
            <w:pPr>
              <w:pStyle w:val="NoSpacing"/>
            </w:pPr>
            <w:r>
              <w:t>None</w:t>
            </w:r>
          </w:p>
        </w:tc>
        <w:tc>
          <w:tcPr>
            <w:tcW w:w="1912" w:type="dxa"/>
            <w:tcBorders>
              <w:top w:val="dotted" w:sz="4" w:space="0" w:color="auto"/>
              <w:left w:val="dotted" w:sz="4" w:space="0" w:color="auto"/>
              <w:bottom w:val="dotted" w:sz="4" w:space="0" w:color="auto"/>
              <w:right w:val="dotted" w:sz="4" w:space="0" w:color="auto"/>
            </w:tcBorders>
          </w:tcPr>
          <w:p>
            <w:pPr>
              <w:pStyle w:val="NoSpacing"/>
            </w:pPr>
            <w:r>
              <w:t>Brokers, partitions and storage</w:t>
            </w:r>
          </w:p>
        </w:tc>
        <w:tc>
          <w:tcPr>
            <w:tcW w:w="1660" w:type="dxa"/>
            <w:tcBorders>
              <w:top w:val="dotted" w:sz="4" w:space="0" w:color="auto"/>
              <w:left w:val="dotted" w:sz="4" w:space="0" w:color="auto"/>
              <w:bottom w:val="dotted" w:sz="4" w:space="0" w:color="auto"/>
              <w:right w:val="dotted" w:sz="4" w:space="0" w:color="auto"/>
            </w:tcBorders>
          </w:tcPr>
          <w:p>
            <w:pPr>
              <w:pStyle w:val="NoSpacing"/>
            </w:pPr>
            <w:r>
              <w:t>Brokers and storage</w:t>
            </w:r>
          </w:p>
        </w:tc>
      </w:tr>
      <w:tr>
        <w:trPr>
          <w:cantSplit/>
        </w:trPr>
        <w:tc>
          <w:tcPr>
            <w:tcW w:w="1900" w:type="dxa"/>
            <w:tcBorders>
              <w:top w:val="dotted" w:sz="4" w:space="0" w:color="auto"/>
              <w:left w:val="dotted" w:sz="4" w:space="0" w:color="auto"/>
              <w:bottom w:val="dotted" w:sz="4" w:space="0" w:color="auto"/>
              <w:right w:val="dotted" w:sz="4" w:space="0" w:color="auto"/>
            </w:tcBorders>
          </w:tcPr>
          <w:p>
            <w:pPr>
              <w:pStyle w:val="NoSpacing"/>
            </w:pPr>
            <w:r>
              <w:t>Second Region</w:t>
            </w:r>
          </w:p>
        </w:tc>
        <w:tc>
          <w:tcPr>
            <w:tcW w:w="1660" w:type="dxa"/>
            <w:tcBorders>
              <w:top w:val="dotted" w:sz="4" w:space="0" w:color="auto"/>
              <w:left w:val="dotted" w:sz="4" w:space="0" w:color="auto"/>
              <w:bottom w:val="dotted" w:sz="4" w:space="0" w:color="auto"/>
              <w:right w:val="dotted" w:sz="4" w:space="0" w:color="auto"/>
            </w:tcBorders>
          </w:tcPr>
          <w:p>
            <w:pPr>
              <w:pStyle w:val="NoSpacing"/>
            </w:pPr>
            <w:r>
              <w:t>Bus, rules and queues deployed by Terraform; idle at no cost</w:t>
            </w:r>
          </w:p>
        </w:tc>
        <w:tc>
          <w:tcPr>
            <w:tcW w:w="1894" w:type="dxa"/>
            <w:tcBorders>
              <w:top w:val="dotted" w:sz="4" w:space="0" w:color="auto"/>
              <w:left w:val="dotted" w:sz="4" w:space="0" w:color="auto"/>
              <w:bottom w:val="dotted" w:sz="4" w:space="0" w:color="auto"/>
              <w:right w:val="dotted" w:sz="4" w:space="0" w:color="auto"/>
            </w:tcBorders>
          </w:tcPr>
          <w:p>
            <w:pPr>
              <w:pStyle w:val="NoSpacing"/>
            </w:pPr>
            <w:r>
              <w:t>Topics and queues deployed by Terraform; idle at no cost</w:t>
            </w:r>
          </w:p>
        </w:tc>
        <w:tc>
          <w:tcPr>
            <w:tcW w:w="1912" w:type="dxa"/>
            <w:tcBorders>
              <w:top w:val="dotted" w:sz="4" w:space="0" w:color="auto"/>
              <w:left w:val="dotted" w:sz="4" w:space="0" w:color="auto"/>
              <w:bottom w:val="dotted" w:sz="4" w:space="0" w:color="auto"/>
              <w:right w:val="dotted" w:sz="4" w:space="0" w:color="auto"/>
            </w:tcBorders>
          </w:tcPr>
          <w:p>
            <w:pPr>
              <w:pStyle w:val="NoSpacing"/>
            </w:pPr>
            <w:r>
              <w:t>Second cluster, billed while idle</w:t>
            </w:r>
          </w:p>
        </w:tc>
        <w:tc>
          <w:tcPr>
            <w:tcW w:w="1660" w:type="dxa"/>
            <w:tcBorders>
              <w:top w:val="dotted" w:sz="4" w:space="0" w:color="auto"/>
              <w:left w:val="dotted" w:sz="4" w:space="0" w:color="auto"/>
              <w:bottom w:val="dotted" w:sz="4" w:space="0" w:color="auto"/>
              <w:right w:val="dotted" w:sz="4" w:space="0" w:color="auto"/>
            </w:tcBorders>
          </w:tcPr>
          <w:p>
            <w:pPr>
              <w:pStyle w:val="NoSpacing"/>
            </w:pPr>
            <w:r>
              <w:t>Second cluster, billed while idle</w:t>
            </w:r>
          </w:p>
        </w:tc>
      </w:tr>
      <w:tr>
        <w:trPr>
          <w:cantSplit/>
        </w:trPr>
        <w:tc>
          <w:tcPr>
            <w:tcW w:w="1900" w:type="dxa"/>
            <w:tcBorders>
              <w:top w:val="dotted" w:sz="4" w:space="0" w:color="auto"/>
              <w:left w:val="dotted" w:sz="4" w:space="0" w:color="auto"/>
              <w:bottom w:val="dotted" w:sz="4" w:space="0" w:color="auto"/>
              <w:right w:val="dotted" w:sz="4" w:space="0" w:color="auto"/>
            </w:tcBorders>
          </w:tcPr>
          <w:p>
            <w:pPr>
              <w:pStyle w:val="NoSpacing"/>
            </w:pPr>
            <w:r>
              <w:t>Runs on-premise</w:t>
            </w:r>
          </w:p>
        </w:tc>
        <w:tc>
          <w:tcPr>
            <w:tcW w:w="1660" w:type="dxa"/>
            <w:tcBorders>
              <w:top w:val="dotted" w:sz="4" w:space="0" w:color="auto"/>
              <w:left w:val="dotted" w:sz="4" w:space="0" w:color="auto"/>
              <w:bottom w:val="dotted" w:sz="4" w:space="0" w:color="auto"/>
              <w:right w:val="dotted" w:sz="4" w:space="0" w:color="auto"/>
            </w:tcBorders>
          </w:tcPr>
          <w:p>
            <w:pPr>
              <w:pStyle w:val="NoSpacing"/>
            </w:pPr>
            <w:r>
              <w:t>No — Kafka or RabbitMQ in the on-premise profile</w:t>
            </w:r>
          </w:p>
        </w:tc>
        <w:tc>
          <w:tcPr>
            <w:tcW w:w="1894" w:type="dxa"/>
            <w:tcBorders>
              <w:top w:val="dotted" w:sz="4" w:space="0" w:color="auto"/>
              <w:left w:val="dotted" w:sz="4" w:space="0" w:color="auto"/>
              <w:bottom w:val="dotted" w:sz="4" w:space="0" w:color="auto"/>
              <w:right w:val="dotted" w:sz="4" w:space="0" w:color="auto"/>
            </w:tcBorders>
          </w:tcPr>
          <w:p>
            <w:pPr>
              <w:pStyle w:val="NoSpacing"/>
            </w:pPr>
            <w:r>
              <w:t>No</w:t>
            </w:r>
          </w:p>
        </w:tc>
        <w:tc>
          <w:tcPr>
            <w:tcW w:w="1912" w:type="dxa"/>
            <w:tcBorders>
              <w:top w:val="dotted" w:sz="4" w:space="0" w:color="auto"/>
              <w:left w:val="dotted" w:sz="4" w:space="0" w:color="auto"/>
              <w:bottom w:val="dotted" w:sz="4" w:space="0" w:color="auto"/>
              <w:right w:val="dotted" w:sz="4" w:space="0" w:color="auto"/>
            </w:tcBorders>
          </w:tcPr>
          <w:p>
            <w:pPr>
              <w:pStyle w:val="NoSpacing"/>
            </w:pPr>
            <w:r>
              <w:t>Partial — Kafka API portable</w:t>
            </w:r>
          </w:p>
        </w:tc>
        <w:tc>
          <w:tcPr>
            <w:tcW w:w="1660" w:type="dxa"/>
            <w:tcBorders>
              <w:top w:val="dotted" w:sz="4" w:space="0" w:color="auto"/>
              <w:left w:val="dotted" w:sz="4" w:space="0" w:color="auto"/>
              <w:bottom w:val="dotted" w:sz="4" w:space="0" w:color="auto"/>
              <w:right w:val="dotted" w:sz="4" w:space="0" w:color="auto"/>
            </w:tcBorders>
          </w:tcPr>
          <w:p>
            <w:pPr>
              <w:pStyle w:val="NoSpacing"/>
            </w:pPr>
            <w:r>
              <w:t>Partial — AMQP portable</w:t>
            </w:r>
          </w:p>
        </w:tc>
      </w:tr>
    </w:tbl>
    <w:p/>
    <w:p>
      <w:pPr>
        <w:pStyle w:val="Heading2"/>
      </w:pPr>
      <w:bookmarkStart w:id="115" w:name="_Toc300000016"/>
      <w:r>
        <w:t>Comparison 3 — Pricing at eClaims Volume</w:t>
      </w:r>
      <w:bookmarkEnd w:id="115"/>
    </w:p>
    <w:p>
      <w:r>
        <w:t>Basis, stated so that the figures can be recalculated if the assumption changes: about 15 million events a month, each under 64 KB; about 45 million messages to consumer queues; three SQS requests per message plus long-polling receives, about 150 million SQS requests a month. Both Regions are deployed and us-east-2 carries no traffic until a failover. The cost of delivering SMS and email is the same under every option and is excluded.</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00"/>
        <w:gridCol w:w="1882"/>
        <w:gridCol w:w="5244"/>
      </w:tblGrid>
      <w:tr>
        <w:trPr>
          <w:cantSplit/>
          <w:tblHeader/>
        </w:trPr>
        <w:tc>
          <w:tcPr>
            <w:tcW w:w="190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Option</w:t>
            </w:r>
          </w:p>
        </w:tc>
        <w:tc>
          <w:tcPr>
            <w:tcW w:w="1882"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Indicative monthly cost</w:t>
            </w:r>
          </w:p>
        </w:tc>
        <w:tc>
          <w:tcPr>
            <w:tcW w:w="5244"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Basis of estimate</w:t>
            </w:r>
          </w:p>
        </w:tc>
      </w:tr>
      <w:tr>
        <w:trPr>
          <w:cantSplit/>
        </w:trPr>
        <w:tc>
          <w:tcPr>
            <w:tcW w:w="1900" w:type="dxa"/>
            <w:tcBorders>
              <w:top w:val="dotted" w:sz="4" w:space="0" w:color="auto"/>
              <w:left w:val="dotted" w:sz="4" w:space="0" w:color="auto"/>
              <w:bottom w:val="dotted" w:sz="4" w:space="0" w:color="auto"/>
              <w:right w:val="dotted" w:sz="4" w:space="0" w:color="auto"/>
            </w:tcBorders>
          </w:tcPr>
          <w:p>
            <w:pPr>
              <w:pStyle w:val="NoSpacing"/>
            </w:pPr>
            <w:r>
              <w:t>EventBridge + SQS + SNS</w:t>
            </w:r>
          </w:p>
        </w:tc>
        <w:tc>
          <w:tcPr>
            <w:tcW w:w="1882" w:type="dxa"/>
            <w:tcBorders>
              <w:top w:val="dotted" w:sz="4" w:space="0" w:color="auto"/>
              <w:left w:val="dotted" w:sz="4" w:space="0" w:color="auto"/>
              <w:bottom w:val="dotted" w:sz="4" w:space="0" w:color="auto"/>
              <w:right w:val="dotted" w:sz="4" w:space="0" w:color="auto"/>
            </w:tcBorders>
          </w:tcPr>
          <w:p>
            <w:pPr>
              <w:pStyle w:val="NoSpacing"/>
            </w:pPr>
            <w:r>
              <w:t>≈ USD 80</w:t>
            </w:r>
          </w:p>
        </w:tc>
        <w:tc>
          <w:tcPr>
            <w:tcW w:w="5244" w:type="dxa"/>
            <w:tcBorders>
              <w:top w:val="dotted" w:sz="4" w:space="0" w:color="auto"/>
              <w:left w:val="dotted" w:sz="4" w:space="0" w:color="auto"/>
              <w:bottom w:val="dotted" w:sz="4" w:space="0" w:color="auto"/>
              <w:right w:val="dotted" w:sz="4" w:space="0" w:color="auto"/>
            </w:tcBorders>
          </w:tcPr>
          <w:p>
            <w:pPr>
              <w:pStyle w:val="NoSpacing"/>
            </w:pPr>
            <w:r>
              <w:t>15 million events × USD 1.00 per million ≈ USD 15; 149 million billable SQS requests × USD 0.40 per million ≈ USD 60; about 30 GB a month archived ≈ USD 5. The standby Region costs nothing while idle.</w:t>
            </w:r>
          </w:p>
        </w:tc>
      </w:tr>
      <w:tr>
        <w:trPr>
          <w:cantSplit/>
        </w:trPr>
        <w:tc>
          <w:tcPr>
            <w:tcW w:w="1900" w:type="dxa"/>
            <w:tcBorders>
              <w:top w:val="dotted" w:sz="4" w:space="0" w:color="auto"/>
              <w:left w:val="dotted" w:sz="4" w:space="0" w:color="auto"/>
              <w:bottom w:val="dotted" w:sz="4" w:space="0" w:color="auto"/>
              <w:right w:val="dotted" w:sz="4" w:space="0" w:color="auto"/>
            </w:tcBorders>
          </w:tcPr>
          <w:p>
            <w:pPr>
              <w:pStyle w:val="NoSpacing"/>
            </w:pPr>
            <w:r>
              <w:t>SNS + SQS</w:t>
            </w:r>
          </w:p>
        </w:tc>
        <w:tc>
          <w:tcPr>
            <w:tcW w:w="1882" w:type="dxa"/>
            <w:tcBorders>
              <w:top w:val="dotted" w:sz="4" w:space="0" w:color="auto"/>
              <w:left w:val="dotted" w:sz="4" w:space="0" w:color="auto"/>
              <w:bottom w:val="dotted" w:sz="4" w:space="0" w:color="auto"/>
              <w:right w:val="dotted" w:sz="4" w:space="0" w:color="auto"/>
            </w:tcBorders>
          </w:tcPr>
          <w:p>
            <w:pPr>
              <w:pStyle w:val="NoSpacing"/>
            </w:pPr>
            <w:r>
              <w:t>≈ USD 70</w:t>
            </w:r>
          </w:p>
        </w:tc>
        <w:tc>
          <w:tcPr>
            <w:tcW w:w="5244" w:type="dxa"/>
            <w:tcBorders>
              <w:top w:val="dotted" w:sz="4" w:space="0" w:color="auto"/>
              <w:left w:val="dotted" w:sz="4" w:space="0" w:color="auto"/>
              <w:bottom w:val="dotted" w:sz="4" w:space="0" w:color="auto"/>
              <w:right w:val="dotted" w:sz="4" w:space="0" w:color="auto"/>
            </w:tcBorders>
          </w:tcPr>
          <w:p>
            <w:pPr>
              <w:pStyle w:val="NoSpacing"/>
            </w:pPr>
            <w:r>
              <w:t>15 million publishes × USD 0.50 per million ≈ USD 7.50; SQS as above ≈ USD 60; no archive.</w:t>
            </w:r>
          </w:p>
        </w:tc>
      </w:tr>
      <w:tr>
        <w:trPr>
          <w:cantSplit/>
        </w:trPr>
        <w:tc>
          <w:tcPr>
            <w:tcW w:w="1900" w:type="dxa"/>
            <w:tcBorders>
              <w:top w:val="dotted" w:sz="4" w:space="0" w:color="auto"/>
              <w:left w:val="dotted" w:sz="4" w:space="0" w:color="auto"/>
              <w:bottom w:val="dotted" w:sz="4" w:space="0" w:color="auto"/>
              <w:right w:val="dotted" w:sz="4" w:space="0" w:color="auto"/>
            </w:tcBorders>
          </w:tcPr>
          <w:p>
            <w:pPr>
              <w:pStyle w:val="NoSpacing"/>
            </w:pPr>
            <w:r>
              <w:t>Amazon MSK (provisioned)</w:t>
            </w:r>
          </w:p>
        </w:tc>
        <w:tc>
          <w:tcPr>
            <w:tcW w:w="1882" w:type="dxa"/>
            <w:tcBorders>
              <w:top w:val="dotted" w:sz="4" w:space="0" w:color="auto"/>
              <w:left w:val="dotted" w:sz="4" w:space="0" w:color="auto"/>
              <w:bottom w:val="dotted" w:sz="4" w:space="0" w:color="auto"/>
              <w:right w:val="dotted" w:sz="4" w:space="0" w:color="auto"/>
            </w:tcBorders>
          </w:tcPr>
          <w:p>
            <w:pPr>
              <w:pStyle w:val="NoSpacing"/>
            </w:pPr>
            <w:r>
              <w:t>≈ USD 1,200, plus 0.3–0.5 FTE</w:t>
            </w:r>
          </w:p>
        </w:tc>
        <w:tc>
          <w:tcPr>
            <w:tcW w:w="5244" w:type="dxa"/>
            <w:tcBorders>
              <w:top w:val="dotted" w:sz="4" w:space="0" w:color="auto"/>
              <w:left w:val="dotted" w:sz="4" w:space="0" w:color="auto"/>
              <w:bottom w:val="dotted" w:sz="4" w:space="0" w:color="auto"/>
              <w:right w:val="dotted" w:sz="4" w:space="0" w:color="auto"/>
            </w:tcBorders>
          </w:tcPr>
          <w:p>
            <w:pPr>
              <w:pStyle w:val="NoSpacing"/>
            </w:pPr>
            <w:r>
              <w:t>Per Region: three kafka.m7g.large brokers × 730 hours × USD 0.204 ≈ USD 447, and 1.5 TB of storage ≈ USD 150; two Regions. Plus broker, partition and consumer-lag operations.</w:t>
            </w:r>
          </w:p>
        </w:tc>
      </w:tr>
      <w:tr>
        <w:trPr>
          <w:cantSplit/>
        </w:trPr>
        <w:tc>
          <w:tcPr>
            <w:tcW w:w="1900" w:type="dxa"/>
            <w:tcBorders>
              <w:top w:val="dotted" w:sz="4" w:space="0" w:color="auto"/>
              <w:left w:val="dotted" w:sz="4" w:space="0" w:color="auto"/>
              <w:bottom w:val="dotted" w:sz="4" w:space="0" w:color="auto"/>
              <w:right w:val="dotted" w:sz="4" w:space="0" w:color="auto"/>
            </w:tcBorders>
          </w:tcPr>
          <w:p>
            <w:pPr>
              <w:pStyle w:val="NoSpacing"/>
            </w:pPr>
            <w:r>
              <w:t>Amazon MQ for RabbitMQ</w:t>
            </w:r>
          </w:p>
        </w:tc>
        <w:tc>
          <w:tcPr>
            <w:tcW w:w="1882" w:type="dxa"/>
            <w:tcBorders>
              <w:top w:val="dotted" w:sz="4" w:space="0" w:color="auto"/>
              <w:left w:val="dotted" w:sz="4" w:space="0" w:color="auto"/>
              <w:bottom w:val="dotted" w:sz="4" w:space="0" w:color="auto"/>
              <w:right w:val="dotted" w:sz="4" w:space="0" w:color="auto"/>
            </w:tcBorders>
          </w:tcPr>
          <w:p>
            <w:pPr>
              <w:pStyle w:val="NoSpacing"/>
            </w:pPr>
            <w:r>
              <w:t>≈ USD 1,320, plus 0.2–0.3 FTE</w:t>
            </w:r>
          </w:p>
        </w:tc>
        <w:tc>
          <w:tcPr>
            <w:tcW w:w="5244" w:type="dxa"/>
            <w:tcBorders>
              <w:top w:val="dotted" w:sz="4" w:space="0" w:color="auto"/>
              <w:left w:val="dotted" w:sz="4" w:space="0" w:color="auto"/>
              <w:bottom w:val="dotted" w:sz="4" w:space="0" w:color="auto"/>
              <w:right w:val="dotted" w:sz="4" w:space="0" w:color="auto"/>
            </w:tcBorders>
          </w:tcPr>
          <w:p>
            <w:pPr>
              <w:pStyle w:val="NoSpacing"/>
            </w:pPr>
            <w:r>
              <w:t>Per Region: three mq.m7g.large brokers × 730 hours × USD 0.2734 ≈ USD 599, and 600 GB of storage ≈ USD 60; two Regions.</w:t>
            </w:r>
          </w:p>
        </w:tc>
      </w:tr>
    </w:tbl>
    <w:p/>
    <w:p>
      <w:r>
        <w:t>All figures are indicative public list prices as at the document date and are not quotations. The run-rate difference is small in absolute terms; the operating-effort column dominates the comparison, which is why cost scores 2 and 3 for the broker options. A catastrophe month raises the serverless figures in proportion to its traffic, and only for that month.</w:t>
      </w:r>
    </w:p>
    <w:p>
      <w:pPr>
        <w:pStyle w:val="Heading2"/>
      </w:pPr>
      <w:bookmarkStart w:id="116" w:name="_Toc300000017"/>
      <w:r>
        <w:t>Sensitivity</w:t>
      </w:r>
      <w:bookmarkEnd w:id="116"/>
    </w:p>
    <w:p>
      <w:r>
        <w:t>The attribute most likely to be challenged is deployment flexibility, because the two serverless options cannot run on-premise. It carries 5, and the other weights total 95. Holding them constant, the totals as a function of the deployment-flexibility weight w are:</w:t>
      </w:r>
    </w:p>
    <w:p>
      <w:pPr>
        <w:pStyle w:val="ListParagraph"/>
        <w:numPr>
          <w:ilvl w:val="0"/>
          <w:numId w:val="40"/>
        </w:numPr>
      </w:pPr>
      <w:r>
        <w:t>EventBridge + SQS + SNS: (455 + 1w) ÷ (95 + w)</w:t>
      </w:r>
    </w:p>
    <w:p>
      <w:pPr>
        <w:pStyle w:val="ListParagraph"/>
        <w:numPr>
          <w:ilvl w:val="0"/>
          <w:numId w:val="40"/>
        </w:numPr>
      </w:pPr>
      <w:r>
        <w:t>Amazon MSK: (320 + 4w) ÷ (95 + w)</w:t>
      </w:r>
    </w:p>
    <w:p>
      <w:pPr>
        <w:pStyle w:val="ListParagraph"/>
        <w:numPr>
          <w:ilvl w:val="0"/>
          <w:numId w:val="40"/>
        </w:numPr>
      </w:pPr>
      <w:r>
        <w:t>Amazon MQ (RabbitMQ): (290 + 5w) ÷ (95 + w)</w:t>
      </w:r>
    </w:p>
    <w:p>
      <w:r>
        <w:t>MSK would overtake only when w exceeds 45, and RabbitMQ only when w exceeds 41 — about a third of all the weight in the matrix, and nearly three times the heaviest attribute. The closer comparison is with SNS + SQS: if replay were dropped from the matrix altogether, EventBridge would still lead, by 420 ÷ 90 = 4.67 against 400 ÷ 90 = 4.44.</w:t>
      </w:r>
    </w:p>
    <w:p>
      <w:r>
        <w:t>A firm on-premise mandate would not raise a weight; it would rule out the serverless options. The on-premise profile already answers that case: Kafka or RabbitMQ behind the messaging adapter, so producers and consumers keep their code and change only their adapter configuration.</w:t>
      </w:r>
    </w:p>
    <w:p>
      <w:pPr>
        <w:pStyle w:val="Heading2"/>
      </w:pPr>
      <w:bookmarkStart w:id="117" w:name="_Toc300000018"/>
      <w:r>
        <w:t>Recommendation</w:t>
      </w:r>
      <w:bookmarkEnd w:id="117"/>
    </w:p>
    <w:p>
      <w:r>
        <w:t>Amazon EventBridge, with one SQS queue per consuming service and SNS kept for SMS delivery, is recommended as the eClaims event backbone. This is the design in SAD Layer 4 and Section 8.</w:t>
      </w:r>
    </w:p>
    <w:p>
      <w:r>
        <w:t>The recommendation follows the analysis above. It scores highest at 4.60 out of 5 and is the only option strong on every attribute weighted 15: nothing is lost while a consumer is down, a new consumer is a rule and a queue, and there is no broker to run. Its archive answers the re-drive needs of the Region failover runbook, and its rule targets start and resume the Step Functions claim workflow without glue code.</w:t>
      </w:r>
    </w:p>
    <w:p>
      <w:r>
        <w:t>It is applied as follows:</w:t>
      </w:r>
    </w:p>
    <w:p>
      <w:pPr>
        <w:pStyle w:val="ListParagraph"/>
        <w:numPr>
          <w:ilvl w:val="0"/>
          <w:numId w:val="40"/>
        </w:numPr>
      </w:pPr>
      <w:r>
        <w:t>One custom event bus per Region, deployed by Terraform in both Regions. Every domain event is published once, from the transactional outbox, so an event exists exactly when the claim change that raised it committed.</w:t>
      </w:r>
    </w:p>
    <w:p>
      <w:pPr>
        <w:pStyle w:val="ListParagraph"/>
        <w:numPr>
          <w:ilvl w:val="0"/>
          <w:numId w:val="40"/>
        </w:numPr>
      </w:pPr>
      <w:r>
        <w:t>One rule and one SQS queue per consumer, each queue with a dead-letter queue and an alarm on its first message and on the age of its oldest message.</w:t>
      </w:r>
    </w:p>
    <w:p>
      <w:pPr>
        <w:pStyle w:val="ListParagraph"/>
        <w:numPr>
          <w:ilvl w:val="0"/>
          <w:numId w:val="40"/>
        </w:numPr>
      </w:pPr>
      <w:r>
        <w:t>A common event envelope — event ID, claim ID, claim version, time of occurrence, schema version and correlation ID. Consumers deduplicate on the event ID and drop an event older than the claim version they already hold. This, not the backbone, provides ordering per claim; the notification queue may additionally be FIFO with the claim ID as its message group.</w:t>
      </w:r>
    </w:p>
    <w:p>
      <w:pPr>
        <w:pStyle w:val="ListParagraph"/>
        <w:numPr>
          <w:ilvl w:val="0"/>
          <w:numId w:val="40"/>
        </w:numPr>
      </w:pPr>
      <w:r>
        <w:t>The archive enabled on the bus, so events can be replayed to a new consumer or after a failover.</w:t>
      </w:r>
    </w:p>
    <w:p>
      <w:pPr>
        <w:pStyle w:val="ListParagraph"/>
        <w:numPr>
          <w:ilvl w:val="0"/>
          <w:numId w:val="40"/>
        </w:numPr>
      </w:pPr>
      <w:r>
        <w:t>SNS used for the last-mile SMS hop (diagram D3), from registered US sender numbers — a short code, with toll-free numbers as a fallback, set up in AWS End User Messaging SMS — to customers who opted in (SAD Section 4, Layer 4). Internal fan-out is done by EventBridge rules; the internal SNS role shown as N4 on the Cloud / Deployment page carries AWS service notifications, such as SES bounce and complaint reports.</w:t>
      </w:r>
    </w:p>
    <w:p>
      <w:r>
        <w:t>The recommendation is made with its weaknesses on the record. EventBridge does not guarantee delivery order, so ordering rests on the claim version. Delivery is at least once, so every consumer must be idempotent. The backbone is AWS-only, and Kafka or RabbitMQ is the on-premise equivalent. Per-event pricing grows linearly with traffic, which is immaterial at eClaims volume.</w:t>
      </w:r>
    </w:p>
    <w:p>
      <w:r>
        <w:t>SNS with SQS at 4.10 is the credible runner-up and would be the recommendation if replay and direct workflow targets were not needed; it would save under USD 10 a month at eClaims volume. Amazon MSK would become the recommendation if eClaims adopted event sourcing or stream processing on the event flow, or if an on-premise mandate made Kafka the backbone in both estates.</w:t>
      </w:r>
    </w:p>
    <w:p>
      <w:r>
        <w:br w:type="page"/>
      </w:r>
    </w:p>
    <w:p>
      <w:pPr>
        <w:pStyle w:val="Heading1"/>
      </w:pPr>
      <w:bookmarkStart w:id="118" w:name="_Toc300000019"/>
      <w:r>
        <w:t>Reporting and Analytics Store</w:t>
      </w:r>
      <w:bookmarkEnd w:id="118"/>
    </w:p>
    <w:p>
      <w:r>
        <w:t>The analytics store answers the reporting requirements without touching the transactional database. It receives claim data by change-data capture and serves role-based reports, regional dashboards, the ageing matrix and fraud analytics.</w:t>
      </w:r>
    </w:p>
    <w:p>
      <w:pPr>
        <w:pStyle w:val="Heading2"/>
      </w:pPr>
      <w:bookmarkStart w:id="119" w:name="_Toc300000020"/>
      <w:r>
        <w:t>Available tools</w:t>
      </w:r>
      <w:bookmarkEnd w:id="119"/>
    </w:p>
    <w:p>
      <w:r>
        <w:t>Four options were carried into detailed comparison: two cloud data warehouses, a serverless query engine over a data lake, and the simplest option of all, a PostgreSQL replica dedicated to reporting.</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422"/>
        <w:gridCol w:w="3577"/>
        <w:gridCol w:w="3027"/>
      </w:tblGrid>
      <w:tr>
        <w:trPr>
          <w:cantSplit/>
          <w:tblHeader/>
        </w:trPr>
        <w:tc>
          <w:tcPr>
            <w:tcW w:w="2422"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Option</w:t>
            </w:r>
          </w:p>
        </w:tc>
        <w:tc>
          <w:tcPr>
            <w:tcW w:w="3577"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Category</w:t>
            </w:r>
          </w:p>
        </w:tc>
        <w:tc>
          <w:tcPr>
            <w:tcW w:w="3027"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Delivery model</w:t>
            </w:r>
          </w:p>
        </w:tc>
      </w:tr>
      <w:tr>
        <w:trPr>
          <w:cantSplit/>
        </w:trPr>
        <w:tc>
          <w:tcPr>
            <w:tcW w:w="2422" w:type="dxa"/>
            <w:tcBorders>
              <w:top w:val="dotted" w:sz="4" w:space="0" w:color="auto"/>
              <w:left w:val="dotted" w:sz="4" w:space="0" w:color="auto"/>
              <w:bottom w:val="dotted" w:sz="4" w:space="0" w:color="auto"/>
              <w:right w:val="dotted" w:sz="4" w:space="0" w:color="auto"/>
            </w:tcBorders>
          </w:tcPr>
          <w:p>
            <w:pPr>
              <w:pStyle w:val="NoSpacing"/>
            </w:pPr>
            <w:r>
              <w:t>Amazon Redshift</w:t>
            </w:r>
          </w:p>
        </w:tc>
        <w:tc>
          <w:tcPr>
            <w:tcW w:w="3577" w:type="dxa"/>
            <w:tcBorders>
              <w:top w:val="dotted" w:sz="4" w:space="0" w:color="auto"/>
              <w:left w:val="dotted" w:sz="4" w:space="0" w:color="auto"/>
              <w:bottom w:val="dotted" w:sz="4" w:space="0" w:color="auto"/>
              <w:right w:val="dotted" w:sz="4" w:space="0" w:color="auto"/>
            </w:tcBorders>
          </w:tcPr>
          <w:p>
            <w:pPr>
              <w:pStyle w:val="NoSpacing"/>
            </w:pPr>
            <w:r>
              <w:t>Columnar, massively parallel data warehouse</w:t>
            </w:r>
          </w:p>
        </w:tc>
        <w:tc>
          <w:tcPr>
            <w:tcW w:w="3027" w:type="dxa"/>
            <w:tcBorders>
              <w:top w:val="dotted" w:sz="4" w:space="0" w:color="auto"/>
              <w:left w:val="dotted" w:sz="4" w:space="0" w:color="auto"/>
              <w:bottom w:val="dotted" w:sz="4" w:space="0" w:color="auto"/>
              <w:right w:val="dotted" w:sz="4" w:space="0" w:color="auto"/>
            </w:tcBorders>
          </w:tcPr>
          <w:p>
            <w:pPr>
              <w:pStyle w:val="NoSpacing"/>
            </w:pPr>
            <w:r>
              <w:t>AWS-managed: provisioned RA3 nodes or Serverless</w:t>
            </w:r>
          </w:p>
        </w:tc>
      </w:tr>
      <w:tr>
        <w:trPr>
          <w:cantSplit/>
        </w:trPr>
        <w:tc>
          <w:tcPr>
            <w:tcW w:w="2422" w:type="dxa"/>
            <w:tcBorders>
              <w:top w:val="dotted" w:sz="4" w:space="0" w:color="auto"/>
              <w:left w:val="dotted" w:sz="4" w:space="0" w:color="auto"/>
              <w:bottom w:val="dotted" w:sz="4" w:space="0" w:color="auto"/>
              <w:right w:val="dotted" w:sz="4" w:space="0" w:color="auto"/>
            </w:tcBorders>
          </w:tcPr>
          <w:p>
            <w:pPr>
              <w:pStyle w:val="NoSpacing"/>
            </w:pPr>
            <w:r>
              <w:t>Amazon Athena on an S3 data lake</w:t>
            </w:r>
          </w:p>
        </w:tc>
        <w:tc>
          <w:tcPr>
            <w:tcW w:w="3577" w:type="dxa"/>
            <w:tcBorders>
              <w:top w:val="dotted" w:sz="4" w:space="0" w:color="auto"/>
              <w:left w:val="dotted" w:sz="4" w:space="0" w:color="auto"/>
              <w:bottom w:val="dotted" w:sz="4" w:space="0" w:color="auto"/>
              <w:right w:val="dotted" w:sz="4" w:space="0" w:color="auto"/>
            </w:tcBorders>
          </w:tcPr>
          <w:p>
            <w:pPr>
              <w:pStyle w:val="NoSpacing"/>
            </w:pPr>
            <w:r>
              <w:t>Serverless SQL over Apache Iceberg tables on S3</w:t>
            </w:r>
          </w:p>
        </w:tc>
        <w:tc>
          <w:tcPr>
            <w:tcW w:w="3027" w:type="dxa"/>
            <w:tcBorders>
              <w:top w:val="dotted" w:sz="4" w:space="0" w:color="auto"/>
              <w:left w:val="dotted" w:sz="4" w:space="0" w:color="auto"/>
              <w:bottom w:val="dotted" w:sz="4" w:space="0" w:color="auto"/>
              <w:right w:val="dotted" w:sz="4" w:space="0" w:color="auto"/>
            </w:tcBorders>
          </w:tcPr>
          <w:p>
            <w:pPr>
              <w:pStyle w:val="NoSpacing"/>
            </w:pPr>
            <w:r>
              <w:t>AWS-managed, billed per query</w:t>
            </w:r>
          </w:p>
        </w:tc>
      </w:tr>
      <w:tr>
        <w:trPr>
          <w:cantSplit/>
        </w:trPr>
        <w:tc>
          <w:tcPr>
            <w:tcW w:w="2422" w:type="dxa"/>
            <w:tcBorders>
              <w:top w:val="dotted" w:sz="4" w:space="0" w:color="auto"/>
              <w:left w:val="dotted" w:sz="4" w:space="0" w:color="auto"/>
              <w:bottom w:val="dotted" w:sz="4" w:space="0" w:color="auto"/>
              <w:right w:val="dotted" w:sz="4" w:space="0" w:color="auto"/>
            </w:tcBorders>
          </w:tcPr>
          <w:p>
            <w:pPr>
              <w:pStyle w:val="NoSpacing"/>
            </w:pPr>
            <w:r>
              <w:t>Snowflake</w:t>
            </w:r>
          </w:p>
        </w:tc>
        <w:tc>
          <w:tcPr>
            <w:tcW w:w="3577" w:type="dxa"/>
            <w:tcBorders>
              <w:top w:val="dotted" w:sz="4" w:space="0" w:color="auto"/>
              <w:left w:val="dotted" w:sz="4" w:space="0" w:color="auto"/>
              <w:bottom w:val="dotted" w:sz="4" w:space="0" w:color="auto"/>
              <w:right w:val="dotted" w:sz="4" w:space="0" w:color="auto"/>
            </w:tcBorders>
          </w:tcPr>
          <w:p>
            <w:pPr>
              <w:pStyle w:val="NoSpacing"/>
            </w:pPr>
            <w:r>
              <w:t>Columnar cloud data warehouse</w:t>
            </w:r>
          </w:p>
        </w:tc>
        <w:tc>
          <w:tcPr>
            <w:tcW w:w="3027" w:type="dxa"/>
            <w:tcBorders>
              <w:top w:val="dotted" w:sz="4" w:space="0" w:color="auto"/>
              <w:left w:val="dotted" w:sz="4" w:space="0" w:color="auto"/>
              <w:bottom w:val="dotted" w:sz="4" w:space="0" w:color="auto"/>
              <w:right w:val="dotted" w:sz="4" w:space="0" w:color="auto"/>
            </w:tcBorders>
          </w:tcPr>
          <w:p>
            <w:pPr>
              <w:pStyle w:val="NoSpacing"/>
            </w:pPr>
            <w:r>
              <w:t>Vendor SaaS running on AWS</w:t>
            </w:r>
          </w:p>
        </w:tc>
      </w:tr>
      <w:tr>
        <w:trPr>
          <w:cantSplit/>
        </w:trPr>
        <w:tc>
          <w:tcPr>
            <w:tcW w:w="2422" w:type="dxa"/>
            <w:tcBorders>
              <w:top w:val="dotted" w:sz="4" w:space="0" w:color="auto"/>
              <w:left w:val="dotted" w:sz="4" w:space="0" w:color="auto"/>
              <w:bottom w:val="dotted" w:sz="4" w:space="0" w:color="auto"/>
              <w:right w:val="dotted" w:sz="4" w:space="0" w:color="auto"/>
            </w:tcBorders>
          </w:tcPr>
          <w:p>
            <w:pPr>
              <w:pStyle w:val="NoSpacing"/>
            </w:pPr>
            <w:r>
              <w:t>PostgreSQL reporting replica</w:t>
            </w:r>
          </w:p>
        </w:tc>
        <w:tc>
          <w:tcPr>
            <w:tcW w:w="3577" w:type="dxa"/>
            <w:tcBorders>
              <w:top w:val="dotted" w:sz="4" w:space="0" w:color="auto"/>
              <w:left w:val="dotted" w:sz="4" w:space="0" w:color="auto"/>
              <w:bottom w:val="dotted" w:sz="4" w:space="0" w:color="auto"/>
              <w:right w:val="dotted" w:sz="4" w:space="0" w:color="auto"/>
            </w:tcBorders>
          </w:tcPr>
          <w:p>
            <w:pPr>
              <w:pStyle w:val="NoSpacing"/>
            </w:pPr>
            <w:r>
              <w:t>Read replica of the transactional database, used only for reports</w:t>
            </w:r>
          </w:p>
        </w:tc>
        <w:tc>
          <w:tcPr>
            <w:tcW w:w="3027" w:type="dxa"/>
            <w:tcBorders>
              <w:top w:val="dotted" w:sz="4" w:space="0" w:color="auto"/>
              <w:left w:val="dotted" w:sz="4" w:space="0" w:color="auto"/>
              <w:bottom w:val="dotted" w:sz="4" w:space="0" w:color="auto"/>
              <w:right w:val="dotted" w:sz="4" w:space="0" w:color="auto"/>
            </w:tcBorders>
          </w:tcPr>
          <w:p>
            <w:pPr>
              <w:pStyle w:val="NoSpacing"/>
            </w:pPr>
            <w:r>
              <w:t>AWS-managed RDS</w:t>
            </w:r>
          </w:p>
        </w:tc>
      </w:tr>
    </w:tbl>
    <w:p/>
    <w:p>
      <w:r>
        <w:t>Options that were considered and not carried forward are recorded for completeness. Moving the transactional database to Aurora PostgreSQL for its zero-ETL integration would change the transactional tier rather than the analytics store, and RDS for PostgreSQL now has the same integration. ClickHouse and Apache Druid are strong for real-time dashboards but are self-managed or a further vendor inside AWS; ClickHouse is the on-premise profile's equivalent. Databricks is a lakehouse platform whose strengths in Spark and machine learning exceed the Phase 1 need, and the data-lake pattern is represented by the Athena option. OpenSearch Dashboards suits logs and search rather than relational reporting on claims and payments.</w:t>
      </w:r>
    </w:p>
    <w:p>
      <w:pPr>
        <w:pStyle w:val="Heading3"/>
      </w:pPr>
      <w:bookmarkStart w:id="120" w:name="_Toc300000021"/>
      <w:r>
        <w:t>Amazon Redshift</w:t>
      </w:r>
      <w:bookmarkEnd w:id="120"/>
    </w:p>
    <w:p>
      <w:r>
        <w:t>Amazon Redshift is a columnar, massively parallel data warehouse. RA3 nodes separate compute from Redshift Managed Storage, so storage grows without adding nodes. For eClaims, claim data arrives from RDS for PostgreSQL through a zero-ETL integration — generally available since July 2025 for RDS for PostgreSQL 15.4 and later — which replicates changes within seconds without a pipeline to build. This is the design in SAD Layer 5, with the change-data-capture feed of SAD Section 9.3.</w:t>
      </w:r>
    </w:p>
    <w:p>
      <w:pPr>
        <w:pStyle w:val="Heading4"/>
      </w:pPr>
      <w:r>
        <w:t>Key Features</w:t>
      </w:r>
    </w:p>
    <w:p>
      <w:pPr>
        <w:pStyle w:val="ListParagraph"/>
        <w:numPr>
          <w:ilvl w:val="0"/>
          <w:numId w:val="40"/>
        </w:numPr>
      </w:pPr>
      <w:r>
        <w:t>Zero-ETL from RDS for PostgreSQL — changes replicated within seconds, filtered to the tables reporting needs, with no change-data-capture pipeline to build or operate.</w:t>
      </w:r>
    </w:p>
    <w:p>
      <w:pPr>
        <w:pStyle w:val="ListParagraph"/>
        <w:numPr>
          <w:ilvl w:val="0"/>
          <w:numId w:val="40"/>
        </w:numPr>
      </w:pPr>
      <w:r>
        <w:t>Columnar storage and parallel execution — aggregations across years of claims and status history return in seconds.</w:t>
      </w:r>
    </w:p>
    <w:p>
      <w:pPr>
        <w:pStyle w:val="ListParagraph"/>
        <w:numPr>
          <w:ilvl w:val="0"/>
          <w:numId w:val="40"/>
        </w:numPr>
      </w:pPr>
      <w:r>
        <w:t>Concurrency scaling — additional capacity is added automatically for month-end peaks, and each cluster earns one free hour of it a day.</w:t>
      </w:r>
    </w:p>
    <w:p>
      <w:pPr>
        <w:pStyle w:val="ListParagraph"/>
        <w:numPr>
          <w:ilvl w:val="0"/>
          <w:numId w:val="40"/>
        </w:numPr>
      </w:pPr>
      <w:r>
        <w:t>Row-level security and dynamic data masking — a Regional Manager sees only their region, and personal data is masked for analysts.</w:t>
      </w:r>
    </w:p>
    <w:p>
      <w:pPr>
        <w:pStyle w:val="ListParagraph"/>
        <w:numPr>
          <w:ilvl w:val="0"/>
          <w:numId w:val="40"/>
        </w:numPr>
      </w:pPr>
      <w:r>
        <w:t>Materialized views and scheduled queries — reports run as background jobs and are delivered as a link or notification (SAD Section 9.2, rule 3).</w:t>
      </w:r>
    </w:p>
    <w:p>
      <w:pPr>
        <w:pStyle w:val="ListParagraph"/>
        <w:numPr>
          <w:ilvl w:val="0"/>
          <w:numId w:val="40"/>
        </w:numPr>
      </w:pPr>
      <w:r>
        <w:t>Room to grow — Redshift ML for later fraud models, and Redshift Spectrum to query data on S3 in place.</w:t>
      </w:r>
    </w:p>
    <w:p>
      <w:pPr>
        <w:pStyle w:val="ListParagraph"/>
        <w:numPr>
          <w:ilvl w:val="0"/>
          <w:numId w:val="40"/>
        </w:numPr>
      </w:pPr>
      <w:r>
        <w:t>Snapshots and cross-Region snapshot copy — the recovery approach for us-east-2 in the SAD.</w:t>
      </w:r>
    </w:p>
    <w:p>
      <w:pPr>
        <w:pStyle w:val="ListParagraph"/>
        <w:numPr>
          <w:ilvl w:val="0"/>
          <w:numId w:val="40"/>
        </w:numPr>
      </w:pPr>
      <w:r>
        <w:t>PostgreSQL-flavoured SQL — familiar to the team, with standard JDBC and ODBC access for reporting tools.</w:t>
      </w:r>
    </w:p>
    <w:p>
      <w:pPr>
        <w:pStyle w:val="Heading4"/>
      </w:pPr>
      <w:r>
        <w:t>Pricing Model</w:t>
      </w:r>
    </w:p>
    <w:p>
      <w:r>
        <w:t>Provisioned RA3 nodes are billed per node-hour — about USD 0.543 for ra3.large and USD 1.086 for ra3.xlplus — plus Redshift Managed Storage at USD 0.024 per GB-month. Concurrency scaling beyond the free daily hour is billed per second at the on-demand rate. Reserved nodes lower the provisioned rate for one- or three-year terms. Redshift Serverless instead bills USD 0.375 per RPU-hour while queries run, with base capacity from 4 RPUs. The zero-ETL integration carries no charge of its own beyond the compute and storage it uses.</w:t>
      </w:r>
    </w:p>
    <w:p>
      <w:pPr>
        <w:pStyle w:val="Heading3"/>
      </w:pPr>
      <w:bookmarkStart w:id="121" w:name="_Toc300000022"/>
      <w:r>
        <w:t>Amazon Athena on an S3 data lake</w:t>
      </w:r>
      <w:bookmarkEnd w:id="121"/>
    </w:p>
    <w:p>
      <w:r>
        <w:t>Claim changes are captured from PostgreSQL, for example by AWS Database Migration Service (DMS), into Apache Iceberg tables on S3. Athena, a serverless engine based on Trino, runs SQL over those tables and is billed for the data each query scans.</w:t>
      </w:r>
    </w:p>
    <w:p>
      <w:pPr>
        <w:pStyle w:val="Heading4"/>
      </w:pPr>
      <w:r>
        <w:t>Key Features</w:t>
      </w:r>
    </w:p>
    <w:p>
      <w:pPr>
        <w:pStyle w:val="ListParagraph"/>
        <w:numPr>
          <w:ilvl w:val="0"/>
          <w:numId w:val="40"/>
        </w:numPr>
      </w:pPr>
      <w:r>
        <w:t>Serverless and billed per query — nothing runs between reports.</w:t>
      </w:r>
    </w:p>
    <w:p>
      <w:pPr>
        <w:pStyle w:val="ListParagraph"/>
        <w:numPr>
          <w:ilvl w:val="0"/>
          <w:numId w:val="40"/>
        </w:numPr>
      </w:pPr>
      <w:r>
        <w:t>Open table format — Iceberg tables can be read by Athena, EMR, Spark and Trino, including Trino on-premise, which makes this the most portable of the cloud options.</w:t>
      </w:r>
    </w:p>
    <w:p>
      <w:pPr>
        <w:pStyle w:val="ListParagraph"/>
        <w:numPr>
          <w:ilvl w:val="0"/>
          <w:numId w:val="40"/>
        </w:numPr>
      </w:pPr>
      <w:r>
        <w:t>Fine-grained access through AWS Lake Formation — row and column filters for regional access.</w:t>
      </w:r>
    </w:p>
    <w:p>
      <w:pPr>
        <w:pStyle w:val="ListParagraph"/>
        <w:numPr>
          <w:ilvl w:val="0"/>
          <w:numId w:val="40"/>
        </w:numPr>
      </w:pPr>
      <w:r>
        <w:t>Lowest storage cost — data stays on S3.</w:t>
      </w:r>
    </w:p>
    <w:p>
      <w:pPr>
        <w:pStyle w:val="ListParagraph"/>
        <w:numPr>
          <w:ilvl w:val="0"/>
          <w:numId w:val="40"/>
        </w:numPr>
      </w:pPr>
      <w:r>
        <w:t>A pipeline to own — the change-data-capture task and the table maintenance (compaction and snapshot expiry) are the team's responsibility, and data is minutes old rather than seconds.</w:t>
      </w:r>
    </w:p>
    <w:p>
      <w:pPr>
        <w:pStyle w:val="ListParagraph"/>
        <w:numPr>
          <w:ilvl w:val="0"/>
          <w:numId w:val="40"/>
        </w:numPr>
      </w:pPr>
      <w:r>
        <w:t>Query latency and concurrency quotas — interactive dashboards at month-end need caching in the reporting tool.</w:t>
      </w:r>
    </w:p>
    <w:p>
      <w:pPr>
        <w:pStyle w:val="Heading4"/>
      </w:pPr>
      <w:r>
        <w:t>Pricing Model</w:t>
      </w:r>
    </w:p>
    <w:p>
      <w:r>
        <w:t>USD 5 per TB scanned for SQL queries, or provisioned capacity at USD 0.30 per DPU-hour. To that are added S3 storage, the DMS replication instance and the compaction jobs.</w:t>
      </w:r>
    </w:p>
    <w:p>
      <w:pPr>
        <w:pStyle w:val="Heading3"/>
      </w:pPr>
      <w:bookmarkStart w:id="122" w:name="_Toc300000023"/>
      <w:r>
        <w:t>Snowflake</w:t>
      </w:r>
      <w:bookmarkEnd w:id="122"/>
    </w:p>
    <w:p>
      <w:r>
        <w:t>Snowflake is a cloud data warehouse delivered as SaaS. It runs in Snowflake's own AWS account in the chosen Region, with virtual warehouses for compute separated from storage.</w:t>
      </w:r>
    </w:p>
    <w:p>
      <w:pPr>
        <w:pStyle w:val="Heading4"/>
      </w:pPr>
      <w:r>
        <w:t>Key Features</w:t>
      </w:r>
    </w:p>
    <w:p>
      <w:pPr>
        <w:pStyle w:val="ListParagraph"/>
        <w:numPr>
          <w:ilvl w:val="0"/>
          <w:numId w:val="40"/>
        </w:numPr>
      </w:pPr>
      <w:r>
        <w:t>Multi-cluster warehouses — compute scales out automatically for concurrency (Enterprise edition and above).</w:t>
      </w:r>
    </w:p>
    <w:p>
      <w:pPr>
        <w:pStyle w:val="ListParagraph"/>
        <w:numPr>
          <w:ilvl w:val="0"/>
          <w:numId w:val="40"/>
        </w:numPr>
      </w:pPr>
      <w:r>
        <w:t>Little administration — no nodes, vacuuming or distribution keys to manage.</w:t>
      </w:r>
    </w:p>
    <w:p>
      <w:pPr>
        <w:pStyle w:val="ListParagraph"/>
        <w:numPr>
          <w:ilvl w:val="0"/>
          <w:numId w:val="40"/>
        </w:numPr>
      </w:pPr>
      <w:r>
        <w:t>Row access policies and dynamic masking.</w:t>
      </w:r>
    </w:p>
    <w:p>
      <w:pPr>
        <w:pStyle w:val="ListParagraph"/>
        <w:numPr>
          <w:ilvl w:val="0"/>
          <w:numId w:val="40"/>
        </w:numPr>
      </w:pPr>
      <w:r>
        <w:t>Time travel and zero-copy cloning — convenient for audit queries and test data.</w:t>
      </w:r>
    </w:p>
    <w:p>
      <w:pPr>
        <w:pStyle w:val="ListParagraph"/>
        <w:numPr>
          <w:ilvl w:val="0"/>
          <w:numId w:val="40"/>
        </w:numPr>
      </w:pPr>
      <w:r>
        <w:t>Data outside YCompany's AWS account — a further vendor holds claim and personal data, and private connectivity through AWS PrivateLink needs the Business Critical edition.</w:t>
      </w:r>
    </w:p>
    <w:p>
      <w:pPr>
        <w:pStyle w:val="ListParagraph"/>
        <w:numPr>
          <w:ilvl w:val="0"/>
          <w:numId w:val="40"/>
        </w:numPr>
      </w:pPr>
      <w:r>
        <w:t>Ingestion through a change-data-capture pipeline — Snowflake's PostgreSQL connector, or DMS to S3 with Snowpipe.</w:t>
      </w:r>
    </w:p>
    <w:p>
      <w:pPr>
        <w:pStyle w:val="Heading4"/>
      </w:pPr>
      <w:r>
        <w:t>Pricing Model</w:t>
      </w:r>
    </w:p>
    <w:p>
      <w:r>
        <w:t>Consumption is billed in credits. On AWS US East, list prices are about USD 2 per credit for Standard, USD 3 for Enterprise and USD 4 for Business Critical. An X-Small warehouse uses 1 credit an hour and a Small 2, billed per second after the first minute. Storage costs about USD 23 per TB-month on a capacity contract and USD 40 on demand.</w:t>
      </w:r>
    </w:p>
    <w:p>
      <w:pPr>
        <w:pStyle w:val="Heading3"/>
      </w:pPr>
      <w:bookmarkStart w:id="123" w:name="_Toc300000024"/>
      <w:r>
        <w:t>PostgreSQL reporting replica</w:t>
      </w:r>
      <w:bookmarkEnd w:id="123"/>
    </w:p>
    <w:p>
      <w:r>
        <w:t>A dedicated RDS for PostgreSQL read replica, separate from the replicas that serve status reads, on which reports run as ordinary SQL.</w:t>
      </w:r>
    </w:p>
    <w:p>
      <w:pPr>
        <w:pStyle w:val="Heading4"/>
      </w:pPr>
      <w:r>
        <w:t>Key Features</w:t>
      </w:r>
    </w:p>
    <w:p>
      <w:pPr>
        <w:pStyle w:val="ListParagraph"/>
        <w:numPr>
          <w:ilvl w:val="0"/>
          <w:numId w:val="40"/>
        </w:numPr>
      </w:pPr>
      <w:r>
        <w:t>The simplest option — no new technology, the same SQL and tooling, and data seconds old.</w:t>
      </w:r>
    </w:p>
    <w:p>
      <w:pPr>
        <w:pStyle w:val="ListParagraph"/>
        <w:numPr>
          <w:ilvl w:val="0"/>
          <w:numId w:val="40"/>
        </w:numPr>
      </w:pPr>
      <w:r>
        <w:t>A separate instance — reports do not load the primary.</w:t>
      </w:r>
    </w:p>
    <w:p>
      <w:pPr>
        <w:pStyle w:val="ListParagraph"/>
        <w:numPr>
          <w:ilvl w:val="0"/>
          <w:numId w:val="40"/>
        </w:numPr>
      </w:pPr>
      <w:r>
        <w:t>Row-store limits — aggregations across about 120 million status-history rows a year slow down as history grows, and long queries can delay replay on the replica or be cancelled.</w:t>
      </w:r>
    </w:p>
    <w:p>
      <w:pPr>
        <w:pStyle w:val="ListParagraph"/>
        <w:numPr>
          <w:ilvl w:val="0"/>
          <w:numId w:val="40"/>
        </w:numPr>
      </w:pPr>
      <w:r>
        <w:t>No access model of its own — the replica carries the primary's schema, so reporting views, roles and row-level security must be created on the primary.</w:t>
      </w:r>
    </w:p>
    <w:p>
      <w:pPr>
        <w:pStyle w:val="ListParagraph"/>
        <w:numPr>
          <w:ilvl w:val="0"/>
          <w:numId w:val="40"/>
        </w:numPr>
      </w:pPr>
      <w:r>
        <w:t>Portable — PostgreSQL with Patroni is already in the on-premise profile.</w:t>
      </w:r>
    </w:p>
    <w:p>
      <w:pPr>
        <w:pStyle w:val="Heading4"/>
      </w:pPr>
      <w:r>
        <w:t>Pricing Model</w:t>
      </w:r>
    </w:p>
    <w:p>
      <w:r>
        <w:t>Billed per instance-hour like any RDS instance — roughly USD 0.45 an hour for db.r6g.xlarge — plus storage.</w:t>
      </w:r>
    </w:p>
    <w:p>
      <w:pPr>
        <w:pStyle w:val="Heading2"/>
      </w:pPr>
      <w:bookmarkStart w:id="124" w:name="_Toc300000025"/>
      <w:r>
        <w:t>Point Matrix</w:t>
      </w:r>
      <w:bookmarkEnd w:id="124"/>
    </w:p>
    <w:p>
      <w:r>
        <w:t>Weights total 100 and were fixed before scoring, on the same 15 / 10 / 5 scheme as Section 3.2.</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703"/>
        <w:gridCol w:w="1060"/>
        <w:gridCol w:w="5263"/>
      </w:tblGrid>
      <w:tr>
        <w:trPr>
          <w:cantSplit/>
          <w:tblHeader/>
        </w:trPr>
        <w:tc>
          <w:tcPr>
            <w:tcW w:w="2703"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Evaluation Attribute</w:t>
            </w:r>
          </w:p>
        </w:tc>
        <w:tc>
          <w:tcPr>
            <w:tcW w:w="106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Weight</w:t>
            </w:r>
          </w:p>
        </w:tc>
        <w:tc>
          <w:tcPr>
            <w:tcW w:w="5263"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Why it carries this weight</w:t>
            </w:r>
          </w:p>
        </w:tc>
      </w:tr>
      <w:tr>
        <w:trPr>
          <w:cantSplit/>
        </w:trPr>
        <w:tc>
          <w:tcPr>
            <w:tcW w:w="2703" w:type="dxa"/>
            <w:tcBorders>
              <w:top w:val="dotted" w:sz="4" w:space="0" w:color="auto"/>
              <w:left w:val="dotted" w:sz="4" w:space="0" w:color="auto"/>
              <w:bottom w:val="dotted" w:sz="4" w:space="0" w:color="auto"/>
              <w:right w:val="dotted" w:sz="4" w:space="0" w:color="auto"/>
            </w:tcBorders>
          </w:tcPr>
          <w:p>
            <w:pPr>
              <w:pStyle w:val="NoSpacing"/>
            </w:pPr>
            <w:r>
              <w:t>Isolation from the transactional database</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5263" w:type="dxa"/>
            <w:tcBorders>
              <w:top w:val="dotted" w:sz="4" w:space="0" w:color="auto"/>
              <w:left w:val="dotted" w:sz="4" w:space="0" w:color="auto"/>
              <w:bottom w:val="dotted" w:sz="4" w:space="0" w:color="auto"/>
              <w:right w:val="dotted" w:sz="4" w:space="0" w:color="auto"/>
            </w:tcBorders>
          </w:tcPr>
          <w:p>
            <w:pPr>
              <w:pStyle w:val="NoSpacing"/>
            </w:pPr>
            <w:r>
              <w:t>SAD Section 9.2, rule 3: reports never query the transactional database on the request path, and a reporting peak must not slow claim processing.</w:t>
            </w:r>
          </w:p>
        </w:tc>
      </w:tr>
      <w:tr>
        <w:trPr>
          <w:cantSplit/>
        </w:trPr>
        <w:tc>
          <w:tcPr>
            <w:tcW w:w="2703" w:type="dxa"/>
            <w:tcBorders>
              <w:top w:val="dotted" w:sz="4" w:space="0" w:color="auto"/>
              <w:left w:val="dotted" w:sz="4" w:space="0" w:color="auto"/>
              <w:bottom w:val="dotted" w:sz="4" w:space="0" w:color="auto"/>
              <w:right w:val="dotted" w:sz="4" w:space="0" w:color="auto"/>
            </w:tcBorders>
          </w:tcPr>
          <w:p>
            <w:pPr>
              <w:pStyle w:val="NoSpacing"/>
            </w:pPr>
            <w:r>
              <w:t>Query performance and concurrency</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5263" w:type="dxa"/>
            <w:tcBorders>
              <w:top w:val="dotted" w:sz="4" w:space="0" w:color="auto"/>
              <w:left w:val="dotted" w:sz="4" w:space="0" w:color="auto"/>
              <w:bottom w:val="dotted" w:sz="4" w:space="0" w:color="auto"/>
              <w:right w:val="dotted" w:sz="4" w:space="0" w:color="auto"/>
            </w:tcBorders>
          </w:tcPr>
          <w:p>
            <w:pPr>
              <w:pStyle w:val="NoSpacing"/>
            </w:pPr>
            <w:r>
              <w:t>Month-end reporting by Case Managers and Regional Managers at once, and top-management dashboards across all regions.</w:t>
            </w:r>
          </w:p>
        </w:tc>
      </w:tr>
      <w:tr>
        <w:trPr>
          <w:cantSplit/>
        </w:trPr>
        <w:tc>
          <w:tcPr>
            <w:tcW w:w="2703" w:type="dxa"/>
            <w:tcBorders>
              <w:top w:val="dotted" w:sz="4" w:space="0" w:color="auto"/>
              <w:left w:val="dotted" w:sz="4" w:space="0" w:color="auto"/>
              <w:bottom w:val="dotted" w:sz="4" w:space="0" w:color="auto"/>
              <w:right w:val="dotted" w:sz="4" w:space="0" w:color="auto"/>
            </w:tcBorders>
          </w:tcPr>
          <w:p>
            <w:pPr>
              <w:pStyle w:val="NoSpacing"/>
            </w:pPr>
            <w:r>
              <w:t>Freshness of data</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263" w:type="dxa"/>
            <w:tcBorders>
              <w:top w:val="dotted" w:sz="4" w:space="0" w:color="auto"/>
              <w:left w:val="dotted" w:sz="4" w:space="0" w:color="auto"/>
              <w:bottom w:val="dotted" w:sz="4" w:space="0" w:color="auto"/>
              <w:right w:val="dotted" w:sz="4" w:space="0" w:color="auto"/>
            </w:tcBorders>
          </w:tcPr>
          <w:p>
            <w:pPr>
              <w:pStyle w:val="NoSpacing"/>
            </w:pPr>
            <w:r>
              <w:t>Regional dashboards and the ageing matrix should reflect claims within minutes.</w:t>
            </w:r>
          </w:p>
        </w:tc>
      </w:tr>
      <w:tr>
        <w:trPr>
          <w:cantSplit/>
        </w:trPr>
        <w:tc>
          <w:tcPr>
            <w:tcW w:w="2703" w:type="dxa"/>
            <w:tcBorders>
              <w:top w:val="dotted" w:sz="4" w:space="0" w:color="auto"/>
              <w:left w:val="dotted" w:sz="4" w:space="0" w:color="auto"/>
              <w:bottom w:val="dotted" w:sz="4" w:space="0" w:color="auto"/>
              <w:right w:val="dotted" w:sz="4" w:space="0" w:color="auto"/>
            </w:tcBorders>
          </w:tcPr>
          <w:p>
            <w:pPr>
              <w:pStyle w:val="NoSpacing"/>
            </w:pPr>
            <w:r>
              <w:t>Analytical scale and history</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263" w:type="dxa"/>
            <w:tcBorders>
              <w:top w:val="dotted" w:sz="4" w:space="0" w:color="auto"/>
              <w:left w:val="dotted" w:sz="4" w:space="0" w:color="auto"/>
              <w:bottom w:val="dotted" w:sz="4" w:space="0" w:color="auto"/>
              <w:right w:val="dotted" w:sz="4" w:space="0" w:color="auto"/>
            </w:tcBorders>
          </w:tcPr>
          <w:p>
            <w:pPr>
              <w:pStyle w:val="NoSpacing"/>
            </w:pPr>
            <w:r>
              <w:t>Years of claims and status history for trends, fraud analytics and the ageing matrix.</w:t>
            </w:r>
          </w:p>
        </w:tc>
      </w:tr>
      <w:tr>
        <w:trPr>
          <w:cantSplit/>
        </w:trPr>
        <w:tc>
          <w:tcPr>
            <w:tcW w:w="2703" w:type="dxa"/>
            <w:tcBorders>
              <w:top w:val="dotted" w:sz="4" w:space="0" w:color="auto"/>
              <w:left w:val="dotted" w:sz="4" w:space="0" w:color="auto"/>
              <w:bottom w:val="dotted" w:sz="4" w:space="0" w:color="auto"/>
              <w:right w:val="dotted" w:sz="4" w:space="0" w:color="auto"/>
            </w:tcBorders>
          </w:tcPr>
          <w:p>
            <w:pPr>
              <w:pStyle w:val="NoSpacing"/>
            </w:pPr>
            <w:r>
              <w:t>Security and access control</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263" w:type="dxa"/>
            <w:tcBorders>
              <w:top w:val="dotted" w:sz="4" w:space="0" w:color="auto"/>
              <w:left w:val="dotted" w:sz="4" w:space="0" w:color="auto"/>
              <w:bottom w:val="dotted" w:sz="4" w:space="0" w:color="auto"/>
              <w:right w:val="dotted" w:sz="4" w:space="0" w:color="auto"/>
            </w:tcBorders>
          </w:tcPr>
          <w:p>
            <w:pPr>
              <w:pStyle w:val="NoSpacing"/>
            </w:pPr>
            <w:r>
              <w:t>A Regional Manager sees only their region; claim and personal data are encrypted and accessed with least privilege.</w:t>
            </w:r>
          </w:p>
        </w:tc>
      </w:tr>
      <w:tr>
        <w:trPr>
          <w:cantSplit/>
        </w:trPr>
        <w:tc>
          <w:tcPr>
            <w:tcW w:w="2703" w:type="dxa"/>
            <w:tcBorders>
              <w:top w:val="dotted" w:sz="4" w:space="0" w:color="auto"/>
              <w:left w:val="dotted" w:sz="4" w:space="0" w:color="auto"/>
              <w:bottom w:val="dotted" w:sz="4" w:space="0" w:color="auto"/>
              <w:right w:val="dotted" w:sz="4" w:space="0" w:color="auto"/>
            </w:tcBorders>
          </w:tcPr>
          <w:p>
            <w:pPr>
              <w:pStyle w:val="NoSpacing"/>
            </w:pPr>
            <w:r>
              <w:t>Operational overhead (5 = lowest overhead)</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263" w:type="dxa"/>
            <w:tcBorders>
              <w:top w:val="dotted" w:sz="4" w:space="0" w:color="auto"/>
              <w:left w:val="dotted" w:sz="4" w:space="0" w:color="auto"/>
              <w:bottom w:val="dotted" w:sz="4" w:space="0" w:color="auto"/>
              <w:right w:val="dotted" w:sz="4" w:space="0" w:color="auto"/>
            </w:tcBorders>
          </w:tcPr>
          <w:p>
            <w:pPr>
              <w:pStyle w:val="NoSpacing"/>
            </w:pPr>
            <w:r>
              <w:t>A lean team; every pipeline and cluster to run counts against an option.</w:t>
            </w:r>
          </w:p>
        </w:tc>
      </w:tr>
      <w:tr>
        <w:trPr>
          <w:cantSplit/>
        </w:trPr>
        <w:tc>
          <w:tcPr>
            <w:tcW w:w="2703" w:type="dxa"/>
            <w:tcBorders>
              <w:top w:val="dotted" w:sz="4" w:space="0" w:color="auto"/>
              <w:left w:val="dotted" w:sz="4" w:space="0" w:color="auto"/>
              <w:bottom w:val="dotted" w:sz="4" w:space="0" w:color="auto"/>
              <w:right w:val="dotted" w:sz="4" w:space="0" w:color="auto"/>
            </w:tcBorders>
          </w:tcPr>
          <w:p>
            <w:pPr>
              <w:pStyle w:val="NoSpacing"/>
            </w:pPr>
            <w:r>
              <w:t>AWS integration and recovery</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263" w:type="dxa"/>
            <w:tcBorders>
              <w:top w:val="dotted" w:sz="4" w:space="0" w:color="auto"/>
              <w:left w:val="dotted" w:sz="4" w:space="0" w:color="auto"/>
              <w:bottom w:val="dotted" w:sz="4" w:space="0" w:color="auto"/>
              <w:right w:val="dotted" w:sz="4" w:space="0" w:color="auto"/>
            </w:tcBorders>
          </w:tcPr>
          <w:p>
            <w:pPr>
              <w:pStyle w:val="NoSpacing"/>
            </w:pPr>
            <w:r>
              <w:t>IAM, KMS and VPC endpoints, and recovery in us-east-2 (SAD Section 4, Deployment Topology).</w:t>
            </w:r>
          </w:p>
        </w:tc>
      </w:tr>
      <w:tr>
        <w:trPr>
          <w:cantSplit/>
        </w:trPr>
        <w:tc>
          <w:tcPr>
            <w:tcW w:w="2703" w:type="dxa"/>
            <w:tcBorders>
              <w:top w:val="dotted" w:sz="4" w:space="0" w:color="auto"/>
              <w:left w:val="dotted" w:sz="4" w:space="0" w:color="auto"/>
              <w:bottom w:val="dotted" w:sz="4" w:space="0" w:color="auto"/>
              <w:right w:val="dotted" w:sz="4" w:space="0" w:color="auto"/>
            </w:tcBorders>
          </w:tcPr>
          <w:p>
            <w:pPr>
              <w:pStyle w:val="NoSpacing"/>
            </w:pPr>
            <w:r>
              <w:t>Cost at eClaims volume</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263" w:type="dxa"/>
            <w:tcBorders>
              <w:top w:val="dotted" w:sz="4" w:space="0" w:color="auto"/>
              <w:left w:val="dotted" w:sz="4" w:space="0" w:color="auto"/>
              <w:bottom w:val="dotted" w:sz="4" w:space="0" w:color="auto"/>
              <w:right w:val="dotted" w:sz="4" w:space="0" w:color="auto"/>
            </w:tcBorders>
          </w:tcPr>
          <w:p>
            <w:pPr>
              <w:pStyle w:val="NoSpacing"/>
            </w:pPr>
            <w:r>
              <w:t>Run cost at about 1 TB of analytics data and business-hours reporting.</w:t>
            </w:r>
          </w:p>
        </w:tc>
      </w:tr>
      <w:tr>
        <w:trPr>
          <w:cantSplit/>
        </w:trPr>
        <w:tc>
          <w:tcPr>
            <w:tcW w:w="2703" w:type="dxa"/>
            <w:tcBorders>
              <w:top w:val="dotted" w:sz="4" w:space="0" w:color="auto"/>
              <w:left w:val="dotted" w:sz="4" w:space="0" w:color="auto"/>
              <w:bottom w:val="dotted" w:sz="4" w:space="0" w:color="auto"/>
              <w:right w:val="dotted" w:sz="4" w:space="0" w:color="auto"/>
            </w:tcBorders>
          </w:tcPr>
          <w:p>
            <w:pPr>
              <w:pStyle w:val="NoSpacing"/>
            </w:pPr>
            <w:r>
              <w:t>SQL and reporting-tool compatibility</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5263" w:type="dxa"/>
            <w:tcBorders>
              <w:top w:val="dotted" w:sz="4" w:space="0" w:color="auto"/>
              <w:left w:val="dotted" w:sz="4" w:space="0" w:color="auto"/>
              <w:bottom w:val="dotted" w:sz="4" w:space="0" w:color="auto"/>
              <w:right w:val="dotted" w:sz="4" w:space="0" w:color="auto"/>
            </w:tcBorders>
          </w:tcPr>
          <w:p>
            <w:pPr>
              <w:pStyle w:val="NoSpacing"/>
            </w:pPr>
            <w:r>
              <w:t>Reports and dashboards built with standard SQL and common reporting tools. Every option meets the baseline.</w:t>
            </w:r>
          </w:p>
        </w:tc>
      </w:tr>
      <w:tr>
        <w:trPr>
          <w:cantSplit/>
        </w:trPr>
        <w:tc>
          <w:tcPr>
            <w:tcW w:w="2703" w:type="dxa"/>
            <w:tcBorders>
              <w:top w:val="dotted" w:sz="4" w:space="0" w:color="auto"/>
              <w:left w:val="dotted" w:sz="4" w:space="0" w:color="auto"/>
              <w:bottom w:val="dotted" w:sz="4" w:space="0" w:color="auto"/>
              <w:right w:val="dotted" w:sz="4" w:space="0" w:color="auto"/>
            </w:tcBorders>
          </w:tcPr>
          <w:p>
            <w:pPr>
              <w:pStyle w:val="NoSpacing"/>
            </w:pPr>
            <w:r>
              <w:t>Deployment flexibility (cloud and on-premise)</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5263" w:type="dxa"/>
            <w:tcBorders>
              <w:top w:val="dotted" w:sz="4" w:space="0" w:color="auto"/>
              <w:left w:val="dotted" w:sz="4" w:space="0" w:color="auto"/>
              <w:bottom w:val="dotted" w:sz="4" w:space="0" w:color="auto"/>
              <w:right w:val="dotted" w:sz="4" w:space="0" w:color="auto"/>
            </w:tcBorders>
          </w:tcPr>
          <w:p>
            <w:pPr>
              <w:pStyle w:val="NoSpacing"/>
            </w:pPr>
            <w:r>
              <w:t>The NFR requires on-premise support; SAD Assumption 1 makes AWS the Phase 1 target, and the on-premise profile names a PostgreSQL-based warehouse or ClickHouse.</w:t>
            </w:r>
          </w:p>
        </w:tc>
      </w:tr>
      <w:tr>
        <w:trPr>
          <w:cantSplit/>
        </w:trPr>
        <w:tc>
          <w:tcPr>
            <w:tcW w:w="2703" w:type="dxa"/>
            <w:tcBorders>
              <w:top w:val="dotted" w:sz="4" w:space="0" w:color="auto"/>
              <w:left w:val="dotted" w:sz="4" w:space="0" w:color="auto"/>
              <w:bottom w:val="dotted" w:sz="4" w:space="0" w:color="auto"/>
              <w:right w:val="dotted" w:sz="4" w:space="0" w:color="auto"/>
            </w:tcBorders>
          </w:tcPr>
          <w:p>
            <w:pPr>
              <w:pStyle w:val="NoSpacing"/>
            </w:pPr>
            <w:r>
              <w:t>Total</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100</w:t>
            </w:r>
          </w:p>
        </w:tc>
        <w:tc>
          <w:tcPr>
            <w:tcW w:w="5263" w:type="dxa"/>
            <w:tcBorders>
              <w:top w:val="dotted" w:sz="4" w:space="0" w:color="auto"/>
              <w:left w:val="dotted" w:sz="4" w:space="0" w:color="auto"/>
              <w:bottom w:val="dotted" w:sz="4" w:space="0" w:color="auto"/>
              <w:right w:val="dotted" w:sz="4" w:space="0" w:color="auto"/>
            </w:tcBorders>
          </w:tcPr>
          <w:p>
            <w:pPr>
              <w:pStyle w:val="NoSpacing"/>
            </w:pPr>
          </w:p>
        </w:tc>
      </w:tr>
    </w:tbl>
    <w:p/>
    <w:p>
      <w:pPr>
        <w:pStyle w:val="Heading2"/>
      </w:pPr>
      <w:bookmarkStart w:id="125" w:name="_Toc300000026"/>
      <w:r>
        <w:t>Comparison 1 — Weighted Scoring</w:t>
      </w:r>
      <w:bookmarkEnd w:id="125"/>
    </w:p>
    <w:p>
      <w:r>
        <w:t>Scoring legend as in Section 3.3.</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114"/>
        <w:gridCol w:w="1060"/>
        <w:gridCol w:w="1482"/>
        <w:gridCol w:w="1311"/>
        <w:gridCol w:w="1420"/>
        <w:gridCol w:w="1639"/>
      </w:tblGrid>
      <w:tr>
        <w:trPr>
          <w:cantSplit/>
          <w:tblHeader/>
        </w:trPr>
        <w:tc>
          <w:tcPr>
            <w:tcW w:w="2114"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Evaluation Attribute</w:t>
            </w:r>
          </w:p>
        </w:tc>
        <w:tc>
          <w:tcPr>
            <w:tcW w:w="106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Weight</w:t>
            </w:r>
          </w:p>
        </w:tc>
        <w:tc>
          <w:tcPr>
            <w:tcW w:w="1482"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Amazon Redshift</w:t>
            </w:r>
          </w:p>
        </w:tc>
        <w:tc>
          <w:tcPr>
            <w:tcW w:w="1311"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Athena on S3</w:t>
            </w:r>
          </w:p>
        </w:tc>
        <w:tc>
          <w:tcPr>
            <w:tcW w:w="142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Snowflake</w:t>
            </w:r>
          </w:p>
        </w:tc>
        <w:tc>
          <w:tcPr>
            <w:tcW w:w="1639"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PostgreSQL replica</w:t>
            </w:r>
          </w:p>
        </w:tc>
      </w:tr>
      <w:tr>
        <w:trPr>
          <w:cantSplit/>
        </w:trPr>
        <w:tc>
          <w:tcPr>
            <w:tcW w:w="2114" w:type="dxa"/>
            <w:tcBorders>
              <w:top w:val="dotted" w:sz="4" w:space="0" w:color="auto"/>
              <w:left w:val="dotted" w:sz="4" w:space="0" w:color="auto"/>
              <w:bottom w:val="dotted" w:sz="4" w:space="0" w:color="auto"/>
              <w:right w:val="dotted" w:sz="4" w:space="0" w:color="auto"/>
            </w:tcBorders>
          </w:tcPr>
          <w:p>
            <w:pPr>
              <w:pStyle w:val="NoSpacing"/>
            </w:pPr>
            <w:r>
              <w:t>Isolation from the transactional database</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1482" w:type="dxa"/>
            <w:tcBorders>
              <w:top w:val="dotted" w:sz="4" w:space="0" w:color="auto"/>
              <w:left w:val="dotted" w:sz="4" w:space="0" w:color="auto"/>
              <w:bottom w:val="dotted" w:sz="4" w:space="0" w:color="auto"/>
              <w:right w:val="dotted" w:sz="4" w:space="0" w:color="auto"/>
            </w:tcBorders>
          </w:tcPr>
          <w:p>
            <w:pPr>
              <w:pStyle w:val="NoSpacing"/>
            </w:pPr>
            <w:r>
              <w:t>5</w:t>
            </w:r>
          </w:p>
        </w:tc>
        <w:tc>
          <w:tcPr>
            <w:tcW w:w="1311" w:type="dxa"/>
            <w:tcBorders>
              <w:top w:val="dotted" w:sz="4" w:space="0" w:color="auto"/>
              <w:left w:val="dotted" w:sz="4" w:space="0" w:color="auto"/>
              <w:bottom w:val="dotted" w:sz="4" w:space="0" w:color="auto"/>
              <w:right w:val="dotted" w:sz="4" w:space="0" w:color="auto"/>
            </w:tcBorders>
          </w:tcPr>
          <w:p>
            <w:pPr>
              <w:pStyle w:val="NoSpacing"/>
            </w:pPr>
            <w:r>
              <w:t>5</w:t>
            </w:r>
          </w:p>
        </w:tc>
        <w:tc>
          <w:tcPr>
            <w:tcW w:w="1420" w:type="dxa"/>
            <w:tcBorders>
              <w:top w:val="dotted" w:sz="4" w:space="0" w:color="auto"/>
              <w:left w:val="dotted" w:sz="4" w:space="0" w:color="auto"/>
              <w:bottom w:val="dotted" w:sz="4" w:space="0" w:color="auto"/>
              <w:right w:val="dotted" w:sz="4" w:space="0" w:color="auto"/>
            </w:tcBorders>
          </w:tcPr>
          <w:p>
            <w:pPr>
              <w:pStyle w:val="NoSpacing"/>
            </w:pPr>
            <w:r>
              <w:t>5</w:t>
            </w:r>
          </w:p>
        </w:tc>
        <w:tc>
          <w:tcPr>
            <w:tcW w:w="1639" w:type="dxa"/>
            <w:tcBorders>
              <w:top w:val="dotted" w:sz="4" w:space="0" w:color="auto"/>
              <w:left w:val="dotted" w:sz="4" w:space="0" w:color="auto"/>
              <w:bottom w:val="dotted" w:sz="4" w:space="0" w:color="auto"/>
              <w:right w:val="dotted" w:sz="4" w:space="0" w:color="auto"/>
            </w:tcBorders>
          </w:tcPr>
          <w:p>
            <w:pPr>
              <w:pStyle w:val="NoSpacing"/>
            </w:pPr>
            <w:r>
              <w:t>3</w:t>
            </w:r>
          </w:p>
        </w:tc>
      </w:tr>
      <w:tr>
        <w:trPr>
          <w:cantSplit/>
        </w:trPr>
        <w:tc>
          <w:tcPr>
            <w:tcW w:w="2114" w:type="dxa"/>
            <w:tcBorders>
              <w:top w:val="dotted" w:sz="4" w:space="0" w:color="auto"/>
              <w:left w:val="dotted" w:sz="4" w:space="0" w:color="auto"/>
              <w:bottom w:val="dotted" w:sz="4" w:space="0" w:color="auto"/>
              <w:right w:val="dotted" w:sz="4" w:space="0" w:color="auto"/>
            </w:tcBorders>
          </w:tcPr>
          <w:p>
            <w:pPr>
              <w:pStyle w:val="NoSpacing"/>
            </w:pPr>
            <w:r>
              <w:t>Query performance and concurrency</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1482" w:type="dxa"/>
            <w:tcBorders>
              <w:top w:val="dotted" w:sz="4" w:space="0" w:color="auto"/>
              <w:left w:val="dotted" w:sz="4" w:space="0" w:color="auto"/>
              <w:bottom w:val="dotted" w:sz="4" w:space="0" w:color="auto"/>
              <w:right w:val="dotted" w:sz="4" w:space="0" w:color="auto"/>
            </w:tcBorders>
          </w:tcPr>
          <w:p>
            <w:pPr>
              <w:pStyle w:val="NoSpacing"/>
            </w:pPr>
            <w:r>
              <w:t>5</w:t>
            </w:r>
          </w:p>
        </w:tc>
        <w:tc>
          <w:tcPr>
            <w:tcW w:w="1311" w:type="dxa"/>
            <w:tcBorders>
              <w:top w:val="dotted" w:sz="4" w:space="0" w:color="auto"/>
              <w:left w:val="dotted" w:sz="4" w:space="0" w:color="auto"/>
              <w:bottom w:val="dotted" w:sz="4" w:space="0" w:color="auto"/>
              <w:right w:val="dotted" w:sz="4" w:space="0" w:color="auto"/>
            </w:tcBorders>
          </w:tcPr>
          <w:p>
            <w:pPr>
              <w:pStyle w:val="NoSpacing"/>
            </w:pPr>
            <w:r>
              <w:t>3</w:t>
            </w:r>
          </w:p>
        </w:tc>
        <w:tc>
          <w:tcPr>
            <w:tcW w:w="1420" w:type="dxa"/>
            <w:tcBorders>
              <w:top w:val="dotted" w:sz="4" w:space="0" w:color="auto"/>
              <w:left w:val="dotted" w:sz="4" w:space="0" w:color="auto"/>
              <w:bottom w:val="dotted" w:sz="4" w:space="0" w:color="auto"/>
              <w:right w:val="dotted" w:sz="4" w:space="0" w:color="auto"/>
            </w:tcBorders>
          </w:tcPr>
          <w:p>
            <w:pPr>
              <w:pStyle w:val="NoSpacing"/>
            </w:pPr>
            <w:r>
              <w:t>5</w:t>
            </w:r>
          </w:p>
        </w:tc>
        <w:tc>
          <w:tcPr>
            <w:tcW w:w="1639" w:type="dxa"/>
            <w:tcBorders>
              <w:top w:val="dotted" w:sz="4" w:space="0" w:color="auto"/>
              <w:left w:val="dotted" w:sz="4" w:space="0" w:color="auto"/>
              <w:bottom w:val="dotted" w:sz="4" w:space="0" w:color="auto"/>
              <w:right w:val="dotted" w:sz="4" w:space="0" w:color="auto"/>
            </w:tcBorders>
          </w:tcPr>
          <w:p>
            <w:pPr>
              <w:pStyle w:val="NoSpacing"/>
            </w:pPr>
            <w:r>
              <w:t>2</w:t>
            </w:r>
          </w:p>
        </w:tc>
      </w:tr>
      <w:tr>
        <w:trPr>
          <w:cantSplit/>
        </w:trPr>
        <w:tc>
          <w:tcPr>
            <w:tcW w:w="2114" w:type="dxa"/>
            <w:tcBorders>
              <w:top w:val="dotted" w:sz="4" w:space="0" w:color="auto"/>
              <w:left w:val="dotted" w:sz="4" w:space="0" w:color="auto"/>
              <w:bottom w:val="dotted" w:sz="4" w:space="0" w:color="auto"/>
              <w:right w:val="dotted" w:sz="4" w:space="0" w:color="auto"/>
            </w:tcBorders>
          </w:tcPr>
          <w:p>
            <w:pPr>
              <w:pStyle w:val="NoSpacing"/>
            </w:pPr>
            <w:r>
              <w:t>Freshness of data</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482" w:type="dxa"/>
            <w:tcBorders>
              <w:top w:val="dotted" w:sz="4" w:space="0" w:color="auto"/>
              <w:left w:val="dotted" w:sz="4" w:space="0" w:color="auto"/>
              <w:bottom w:val="dotted" w:sz="4" w:space="0" w:color="auto"/>
              <w:right w:val="dotted" w:sz="4" w:space="0" w:color="auto"/>
            </w:tcBorders>
          </w:tcPr>
          <w:p>
            <w:pPr>
              <w:pStyle w:val="NoSpacing"/>
            </w:pPr>
            <w:r>
              <w:t>5</w:t>
            </w:r>
          </w:p>
        </w:tc>
        <w:tc>
          <w:tcPr>
            <w:tcW w:w="1311" w:type="dxa"/>
            <w:tcBorders>
              <w:top w:val="dotted" w:sz="4" w:space="0" w:color="auto"/>
              <w:left w:val="dotted" w:sz="4" w:space="0" w:color="auto"/>
              <w:bottom w:val="dotted" w:sz="4" w:space="0" w:color="auto"/>
              <w:right w:val="dotted" w:sz="4" w:space="0" w:color="auto"/>
            </w:tcBorders>
          </w:tcPr>
          <w:p>
            <w:pPr>
              <w:pStyle w:val="NoSpacing"/>
            </w:pPr>
            <w:r>
              <w:t>3</w:t>
            </w:r>
          </w:p>
        </w:tc>
        <w:tc>
          <w:tcPr>
            <w:tcW w:w="1420" w:type="dxa"/>
            <w:tcBorders>
              <w:top w:val="dotted" w:sz="4" w:space="0" w:color="auto"/>
              <w:left w:val="dotted" w:sz="4" w:space="0" w:color="auto"/>
              <w:bottom w:val="dotted" w:sz="4" w:space="0" w:color="auto"/>
              <w:right w:val="dotted" w:sz="4" w:space="0" w:color="auto"/>
            </w:tcBorders>
          </w:tcPr>
          <w:p>
            <w:pPr>
              <w:pStyle w:val="NoSpacing"/>
            </w:pPr>
            <w:r>
              <w:t>3</w:t>
            </w:r>
          </w:p>
        </w:tc>
        <w:tc>
          <w:tcPr>
            <w:tcW w:w="1639" w:type="dxa"/>
            <w:tcBorders>
              <w:top w:val="dotted" w:sz="4" w:space="0" w:color="auto"/>
              <w:left w:val="dotted" w:sz="4" w:space="0" w:color="auto"/>
              <w:bottom w:val="dotted" w:sz="4" w:space="0" w:color="auto"/>
              <w:right w:val="dotted" w:sz="4" w:space="0" w:color="auto"/>
            </w:tcBorders>
          </w:tcPr>
          <w:p>
            <w:pPr>
              <w:pStyle w:val="NoSpacing"/>
            </w:pPr>
            <w:r>
              <w:t>5</w:t>
            </w:r>
          </w:p>
        </w:tc>
      </w:tr>
      <w:tr>
        <w:trPr>
          <w:cantSplit/>
        </w:trPr>
        <w:tc>
          <w:tcPr>
            <w:tcW w:w="2114" w:type="dxa"/>
            <w:tcBorders>
              <w:top w:val="dotted" w:sz="4" w:space="0" w:color="auto"/>
              <w:left w:val="dotted" w:sz="4" w:space="0" w:color="auto"/>
              <w:bottom w:val="dotted" w:sz="4" w:space="0" w:color="auto"/>
              <w:right w:val="dotted" w:sz="4" w:space="0" w:color="auto"/>
            </w:tcBorders>
          </w:tcPr>
          <w:p>
            <w:pPr>
              <w:pStyle w:val="NoSpacing"/>
            </w:pPr>
            <w:r>
              <w:t>Analytical scale and history</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482" w:type="dxa"/>
            <w:tcBorders>
              <w:top w:val="dotted" w:sz="4" w:space="0" w:color="auto"/>
              <w:left w:val="dotted" w:sz="4" w:space="0" w:color="auto"/>
              <w:bottom w:val="dotted" w:sz="4" w:space="0" w:color="auto"/>
              <w:right w:val="dotted" w:sz="4" w:space="0" w:color="auto"/>
            </w:tcBorders>
          </w:tcPr>
          <w:p>
            <w:pPr>
              <w:pStyle w:val="NoSpacing"/>
            </w:pPr>
            <w:r>
              <w:t>5</w:t>
            </w:r>
          </w:p>
        </w:tc>
        <w:tc>
          <w:tcPr>
            <w:tcW w:w="1311" w:type="dxa"/>
            <w:tcBorders>
              <w:top w:val="dotted" w:sz="4" w:space="0" w:color="auto"/>
              <w:left w:val="dotted" w:sz="4" w:space="0" w:color="auto"/>
              <w:bottom w:val="dotted" w:sz="4" w:space="0" w:color="auto"/>
              <w:right w:val="dotted" w:sz="4" w:space="0" w:color="auto"/>
            </w:tcBorders>
          </w:tcPr>
          <w:p>
            <w:pPr>
              <w:pStyle w:val="NoSpacing"/>
            </w:pPr>
            <w:r>
              <w:t>5</w:t>
            </w:r>
          </w:p>
        </w:tc>
        <w:tc>
          <w:tcPr>
            <w:tcW w:w="1420" w:type="dxa"/>
            <w:tcBorders>
              <w:top w:val="dotted" w:sz="4" w:space="0" w:color="auto"/>
              <w:left w:val="dotted" w:sz="4" w:space="0" w:color="auto"/>
              <w:bottom w:val="dotted" w:sz="4" w:space="0" w:color="auto"/>
              <w:right w:val="dotted" w:sz="4" w:space="0" w:color="auto"/>
            </w:tcBorders>
          </w:tcPr>
          <w:p>
            <w:pPr>
              <w:pStyle w:val="NoSpacing"/>
            </w:pPr>
            <w:r>
              <w:t>5</w:t>
            </w:r>
          </w:p>
        </w:tc>
        <w:tc>
          <w:tcPr>
            <w:tcW w:w="1639" w:type="dxa"/>
            <w:tcBorders>
              <w:top w:val="dotted" w:sz="4" w:space="0" w:color="auto"/>
              <w:left w:val="dotted" w:sz="4" w:space="0" w:color="auto"/>
              <w:bottom w:val="dotted" w:sz="4" w:space="0" w:color="auto"/>
              <w:right w:val="dotted" w:sz="4" w:space="0" w:color="auto"/>
            </w:tcBorders>
          </w:tcPr>
          <w:p>
            <w:pPr>
              <w:pStyle w:val="NoSpacing"/>
            </w:pPr>
            <w:r>
              <w:t>2</w:t>
            </w:r>
          </w:p>
        </w:tc>
      </w:tr>
      <w:tr>
        <w:trPr>
          <w:cantSplit/>
        </w:trPr>
        <w:tc>
          <w:tcPr>
            <w:tcW w:w="2114" w:type="dxa"/>
            <w:tcBorders>
              <w:top w:val="dotted" w:sz="4" w:space="0" w:color="auto"/>
              <w:left w:val="dotted" w:sz="4" w:space="0" w:color="auto"/>
              <w:bottom w:val="dotted" w:sz="4" w:space="0" w:color="auto"/>
              <w:right w:val="dotted" w:sz="4" w:space="0" w:color="auto"/>
            </w:tcBorders>
          </w:tcPr>
          <w:p>
            <w:pPr>
              <w:pStyle w:val="NoSpacing"/>
            </w:pPr>
            <w:r>
              <w:t>Security and access control</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482" w:type="dxa"/>
            <w:tcBorders>
              <w:top w:val="dotted" w:sz="4" w:space="0" w:color="auto"/>
              <w:left w:val="dotted" w:sz="4" w:space="0" w:color="auto"/>
              <w:bottom w:val="dotted" w:sz="4" w:space="0" w:color="auto"/>
              <w:right w:val="dotted" w:sz="4" w:space="0" w:color="auto"/>
            </w:tcBorders>
          </w:tcPr>
          <w:p>
            <w:pPr>
              <w:pStyle w:val="NoSpacing"/>
            </w:pPr>
            <w:r>
              <w:t>5</w:t>
            </w:r>
          </w:p>
        </w:tc>
        <w:tc>
          <w:tcPr>
            <w:tcW w:w="1311" w:type="dxa"/>
            <w:tcBorders>
              <w:top w:val="dotted" w:sz="4" w:space="0" w:color="auto"/>
              <w:left w:val="dotted" w:sz="4" w:space="0" w:color="auto"/>
              <w:bottom w:val="dotted" w:sz="4" w:space="0" w:color="auto"/>
              <w:right w:val="dotted" w:sz="4" w:space="0" w:color="auto"/>
            </w:tcBorders>
          </w:tcPr>
          <w:p>
            <w:pPr>
              <w:pStyle w:val="NoSpacing"/>
            </w:pPr>
            <w:r>
              <w:t>4</w:t>
            </w:r>
          </w:p>
        </w:tc>
        <w:tc>
          <w:tcPr>
            <w:tcW w:w="1420" w:type="dxa"/>
            <w:tcBorders>
              <w:top w:val="dotted" w:sz="4" w:space="0" w:color="auto"/>
              <w:left w:val="dotted" w:sz="4" w:space="0" w:color="auto"/>
              <w:bottom w:val="dotted" w:sz="4" w:space="0" w:color="auto"/>
              <w:right w:val="dotted" w:sz="4" w:space="0" w:color="auto"/>
            </w:tcBorders>
          </w:tcPr>
          <w:p>
            <w:pPr>
              <w:pStyle w:val="NoSpacing"/>
            </w:pPr>
            <w:r>
              <w:t>4</w:t>
            </w:r>
          </w:p>
        </w:tc>
        <w:tc>
          <w:tcPr>
            <w:tcW w:w="1639" w:type="dxa"/>
            <w:tcBorders>
              <w:top w:val="dotted" w:sz="4" w:space="0" w:color="auto"/>
              <w:left w:val="dotted" w:sz="4" w:space="0" w:color="auto"/>
              <w:bottom w:val="dotted" w:sz="4" w:space="0" w:color="auto"/>
              <w:right w:val="dotted" w:sz="4" w:space="0" w:color="auto"/>
            </w:tcBorders>
          </w:tcPr>
          <w:p>
            <w:pPr>
              <w:pStyle w:val="NoSpacing"/>
            </w:pPr>
            <w:r>
              <w:t>3</w:t>
            </w:r>
          </w:p>
        </w:tc>
      </w:tr>
      <w:tr>
        <w:trPr>
          <w:cantSplit/>
        </w:trPr>
        <w:tc>
          <w:tcPr>
            <w:tcW w:w="2114" w:type="dxa"/>
            <w:tcBorders>
              <w:top w:val="dotted" w:sz="4" w:space="0" w:color="auto"/>
              <w:left w:val="dotted" w:sz="4" w:space="0" w:color="auto"/>
              <w:bottom w:val="dotted" w:sz="4" w:space="0" w:color="auto"/>
              <w:right w:val="dotted" w:sz="4" w:space="0" w:color="auto"/>
            </w:tcBorders>
          </w:tcPr>
          <w:p>
            <w:pPr>
              <w:pStyle w:val="NoSpacing"/>
            </w:pPr>
            <w:r>
              <w:t>Operational overhead</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482" w:type="dxa"/>
            <w:tcBorders>
              <w:top w:val="dotted" w:sz="4" w:space="0" w:color="auto"/>
              <w:left w:val="dotted" w:sz="4" w:space="0" w:color="auto"/>
              <w:bottom w:val="dotted" w:sz="4" w:space="0" w:color="auto"/>
              <w:right w:val="dotted" w:sz="4" w:space="0" w:color="auto"/>
            </w:tcBorders>
          </w:tcPr>
          <w:p>
            <w:pPr>
              <w:pStyle w:val="NoSpacing"/>
            </w:pPr>
            <w:r>
              <w:t>4</w:t>
            </w:r>
          </w:p>
        </w:tc>
        <w:tc>
          <w:tcPr>
            <w:tcW w:w="1311" w:type="dxa"/>
            <w:tcBorders>
              <w:top w:val="dotted" w:sz="4" w:space="0" w:color="auto"/>
              <w:left w:val="dotted" w:sz="4" w:space="0" w:color="auto"/>
              <w:bottom w:val="dotted" w:sz="4" w:space="0" w:color="auto"/>
              <w:right w:val="dotted" w:sz="4" w:space="0" w:color="auto"/>
            </w:tcBorders>
          </w:tcPr>
          <w:p>
            <w:pPr>
              <w:pStyle w:val="NoSpacing"/>
            </w:pPr>
            <w:r>
              <w:t>4</w:t>
            </w:r>
          </w:p>
        </w:tc>
        <w:tc>
          <w:tcPr>
            <w:tcW w:w="1420" w:type="dxa"/>
            <w:tcBorders>
              <w:top w:val="dotted" w:sz="4" w:space="0" w:color="auto"/>
              <w:left w:val="dotted" w:sz="4" w:space="0" w:color="auto"/>
              <w:bottom w:val="dotted" w:sz="4" w:space="0" w:color="auto"/>
              <w:right w:val="dotted" w:sz="4" w:space="0" w:color="auto"/>
            </w:tcBorders>
          </w:tcPr>
          <w:p>
            <w:pPr>
              <w:pStyle w:val="NoSpacing"/>
            </w:pPr>
            <w:r>
              <w:t>5</w:t>
            </w:r>
          </w:p>
        </w:tc>
        <w:tc>
          <w:tcPr>
            <w:tcW w:w="1639" w:type="dxa"/>
            <w:tcBorders>
              <w:top w:val="dotted" w:sz="4" w:space="0" w:color="auto"/>
              <w:left w:val="dotted" w:sz="4" w:space="0" w:color="auto"/>
              <w:bottom w:val="dotted" w:sz="4" w:space="0" w:color="auto"/>
              <w:right w:val="dotted" w:sz="4" w:space="0" w:color="auto"/>
            </w:tcBorders>
          </w:tcPr>
          <w:p>
            <w:pPr>
              <w:pStyle w:val="NoSpacing"/>
            </w:pPr>
            <w:r>
              <w:t>5</w:t>
            </w:r>
          </w:p>
        </w:tc>
      </w:tr>
      <w:tr>
        <w:trPr>
          <w:cantSplit/>
        </w:trPr>
        <w:tc>
          <w:tcPr>
            <w:tcW w:w="2114" w:type="dxa"/>
            <w:tcBorders>
              <w:top w:val="dotted" w:sz="4" w:space="0" w:color="auto"/>
              <w:left w:val="dotted" w:sz="4" w:space="0" w:color="auto"/>
              <w:bottom w:val="dotted" w:sz="4" w:space="0" w:color="auto"/>
              <w:right w:val="dotted" w:sz="4" w:space="0" w:color="auto"/>
            </w:tcBorders>
          </w:tcPr>
          <w:p>
            <w:pPr>
              <w:pStyle w:val="NoSpacing"/>
            </w:pPr>
            <w:r>
              <w:t>AWS integration and recovery</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482" w:type="dxa"/>
            <w:tcBorders>
              <w:top w:val="dotted" w:sz="4" w:space="0" w:color="auto"/>
              <w:left w:val="dotted" w:sz="4" w:space="0" w:color="auto"/>
              <w:bottom w:val="dotted" w:sz="4" w:space="0" w:color="auto"/>
              <w:right w:val="dotted" w:sz="4" w:space="0" w:color="auto"/>
            </w:tcBorders>
          </w:tcPr>
          <w:p>
            <w:pPr>
              <w:pStyle w:val="NoSpacing"/>
            </w:pPr>
            <w:r>
              <w:t>5</w:t>
            </w:r>
          </w:p>
        </w:tc>
        <w:tc>
          <w:tcPr>
            <w:tcW w:w="1311" w:type="dxa"/>
            <w:tcBorders>
              <w:top w:val="dotted" w:sz="4" w:space="0" w:color="auto"/>
              <w:left w:val="dotted" w:sz="4" w:space="0" w:color="auto"/>
              <w:bottom w:val="dotted" w:sz="4" w:space="0" w:color="auto"/>
              <w:right w:val="dotted" w:sz="4" w:space="0" w:color="auto"/>
            </w:tcBorders>
          </w:tcPr>
          <w:p>
            <w:pPr>
              <w:pStyle w:val="NoSpacing"/>
            </w:pPr>
            <w:r>
              <w:t>5</w:t>
            </w:r>
          </w:p>
        </w:tc>
        <w:tc>
          <w:tcPr>
            <w:tcW w:w="1420" w:type="dxa"/>
            <w:tcBorders>
              <w:top w:val="dotted" w:sz="4" w:space="0" w:color="auto"/>
              <w:left w:val="dotted" w:sz="4" w:space="0" w:color="auto"/>
              <w:bottom w:val="dotted" w:sz="4" w:space="0" w:color="auto"/>
              <w:right w:val="dotted" w:sz="4" w:space="0" w:color="auto"/>
            </w:tcBorders>
          </w:tcPr>
          <w:p>
            <w:pPr>
              <w:pStyle w:val="NoSpacing"/>
            </w:pPr>
            <w:r>
              <w:t>3</w:t>
            </w:r>
          </w:p>
        </w:tc>
        <w:tc>
          <w:tcPr>
            <w:tcW w:w="1639" w:type="dxa"/>
            <w:tcBorders>
              <w:top w:val="dotted" w:sz="4" w:space="0" w:color="auto"/>
              <w:left w:val="dotted" w:sz="4" w:space="0" w:color="auto"/>
              <w:bottom w:val="dotted" w:sz="4" w:space="0" w:color="auto"/>
              <w:right w:val="dotted" w:sz="4" w:space="0" w:color="auto"/>
            </w:tcBorders>
          </w:tcPr>
          <w:p>
            <w:pPr>
              <w:pStyle w:val="NoSpacing"/>
            </w:pPr>
            <w:r>
              <w:t>4</w:t>
            </w:r>
          </w:p>
        </w:tc>
      </w:tr>
      <w:tr>
        <w:trPr>
          <w:cantSplit/>
        </w:trPr>
        <w:tc>
          <w:tcPr>
            <w:tcW w:w="2114" w:type="dxa"/>
            <w:tcBorders>
              <w:top w:val="dotted" w:sz="4" w:space="0" w:color="auto"/>
              <w:left w:val="dotted" w:sz="4" w:space="0" w:color="auto"/>
              <w:bottom w:val="dotted" w:sz="4" w:space="0" w:color="auto"/>
              <w:right w:val="dotted" w:sz="4" w:space="0" w:color="auto"/>
            </w:tcBorders>
          </w:tcPr>
          <w:p>
            <w:pPr>
              <w:pStyle w:val="NoSpacing"/>
            </w:pPr>
            <w:r>
              <w:t>Cost at eClaims volume</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482" w:type="dxa"/>
            <w:tcBorders>
              <w:top w:val="dotted" w:sz="4" w:space="0" w:color="auto"/>
              <w:left w:val="dotted" w:sz="4" w:space="0" w:color="auto"/>
              <w:bottom w:val="dotted" w:sz="4" w:space="0" w:color="auto"/>
              <w:right w:val="dotted" w:sz="4" w:space="0" w:color="auto"/>
            </w:tcBorders>
          </w:tcPr>
          <w:p>
            <w:pPr>
              <w:pStyle w:val="NoSpacing"/>
            </w:pPr>
            <w:r>
              <w:t>3</w:t>
            </w:r>
          </w:p>
        </w:tc>
        <w:tc>
          <w:tcPr>
            <w:tcW w:w="1311" w:type="dxa"/>
            <w:tcBorders>
              <w:top w:val="dotted" w:sz="4" w:space="0" w:color="auto"/>
              <w:left w:val="dotted" w:sz="4" w:space="0" w:color="auto"/>
              <w:bottom w:val="dotted" w:sz="4" w:space="0" w:color="auto"/>
              <w:right w:val="dotted" w:sz="4" w:space="0" w:color="auto"/>
            </w:tcBorders>
          </w:tcPr>
          <w:p>
            <w:pPr>
              <w:pStyle w:val="NoSpacing"/>
            </w:pPr>
            <w:r>
              <w:t>5</w:t>
            </w:r>
          </w:p>
        </w:tc>
        <w:tc>
          <w:tcPr>
            <w:tcW w:w="1420" w:type="dxa"/>
            <w:tcBorders>
              <w:top w:val="dotted" w:sz="4" w:space="0" w:color="auto"/>
              <w:left w:val="dotted" w:sz="4" w:space="0" w:color="auto"/>
              <w:bottom w:val="dotted" w:sz="4" w:space="0" w:color="auto"/>
              <w:right w:val="dotted" w:sz="4" w:space="0" w:color="auto"/>
            </w:tcBorders>
          </w:tcPr>
          <w:p>
            <w:pPr>
              <w:pStyle w:val="NoSpacing"/>
            </w:pPr>
            <w:r>
              <w:t>3</w:t>
            </w:r>
          </w:p>
        </w:tc>
        <w:tc>
          <w:tcPr>
            <w:tcW w:w="1639" w:type="dxa"/>
            <w:tcBorders>
              <w:top w:val="dotted" w:sz="4" w:space="0" w:color="auto"/>
              <w:left w:val="dotted" w:sz="4" w:space="0" w:color="auto"/>
              <w:bottom w:val="dotted" w:sz="4" w:space="0" w:color="auto"/>
              <w:right w:val="dotted" w:sz="4" w:space="0" w:color="auto"/>
            </w:tcBorders>
          </w:tcPr>
          <w:p>
            <w:pPr>
              <w:pStyle w:val="NoSpacing"/>
            </w:pPr>
            <w:r>
              <w:t>5</w:t>
            </w:r>
          </w:p>
        </w:tc>
      </w:tr>
      <w:tr>
        <w:trPr>
          <w:cantSplit/>
        </w:trPr>
        <w:tc>
          <w:tcPr>
            <w:tcW w:w="2114" w:type="dxa"/>
            <w:tcBorders>
              <w:top w:val="dotted" w:sz="4" w:space="0" w:color="auto"/>
              <w:left w:val="dotted" w:sz="4" w:space="0" w:color="auto"/>
              <w:bottom w:val="dotted" w:sz="4" w:space="0" w:color="auto"/>
              <w:right w:val="dotted" w:sz="4" w:space="0" w:color="auto"/>
            </w:tcBorders>
          </w:tcPr>
          <w:p>
            <w:pPr>
              <w:pStyle w:val="NoSpacing"/>
            </w:pPr>
            <w:r>
              <w:t>SQL and reporting-tool compatibility</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1482" w:type="dxa"/>
            <w:tcBorders>
              <w:top w:val="dotted" w:sz="4" w:space="0" w:color="auto"/>
              <w:left w:val="dotted" w:sz="4" w:space="0" w:color="auto"/>
              <w:bottom w:val="dotted" w:sz="4" w:space="0" w:color="auto"/>
              <w:right w:val="dotted" w:sz="4" w:space="0" w:color="auto"/>
            </w:tcBorders>
          </w:tcPr>
          <w:p>
            <w:pPr>
              <w:pStyle w:val="NoSpacing"/>
            </w:pPr>
            <w:r>
              <w:t>5</w:t>
            </w:r>
          </w:p>
        </w:tc>
        <w:tc>
          <w:tcPr>
            <w:tcW w:w="1311" w:type="dxa"/>
            <w:tcBorders>
              <w:top w:val="dotted" w:sz="4" w:space="0" w:color="auto"/>
              <w:left w:val="dotted" w:sz="4" w:space="0" w:color="auto"/>
              <w:bottom w:val="dotted" w:sz="4" w:space="0" w:color="auto"/>
              <w:right w:val="dotted" w:sz="4" w:space="0" w:color="auto"/>
            </w:tcBorders>
          </w:tcPr>
          <w:p>
            <w:pPr>
              <w:pStyle w:val="NoSpacing"/>
            </w:pPr>
            <w:r>
              <w:t>4</w:t>
            </w:r>
          </w:p>
        </w:tc>
        <w:tc>
          <w:tcPr>
            <w:tcW w:w="1420" w:type="dxa"/>
            <w:tcBorders>
              <w:top w:val="dotted" w:sz="4" w:space="0" w:color="auto"/>
              <w:left w:val="dotted" w:sz="4" w:space="0" w:color="auto"/>
              <w:bottom w:val="dotted" w:sz="4" w:space="0" w:color="auto"/>
              <w:right w:val="dotted" w:sz="4" w:space="0" w:color="auto"/>
            </w:tcBorders>
          </w:tcPr>
          <w:p>
            <w:pPr>
              <w:pStyle w:val="NoSpacing"/>
            </w:pPr>
            <w:r>
              <w:t>5</w:t>
            </w:r>
          </w:p>
        </w:tc>
        <w:tc>
          <w:tcPr>
            <w:tcW w:w="1639" w:type="dxa"/>
            <w:tcBorders>
              <w:top w:val="dotted" w:sz="4" w:space="0" w:color="auto"/>
              <w:left w:val="dotted" w:sz="4" w:space="0" w:color="auto"/>
              <w:bottom w:val="dotted" w:sz="4" w:space="0" w:color="auto"/>
              <w:right w:val="dotted" w:sz="4" w:space="0" w:color="auto"/>
            </w:tcBorders>
          </w:tcPr>
          <w:p>
            <w:pPr>
              <w:pStyle w:val="NoSpacing"/>
            </w:pPr>
            <w:r>
              <w:t>5</w:t>
            </w:r>
          </w:p>
        </w:tc>
      </w:tr>
      <w:tr>
        <w:trPr>
          <w:cantSplit/>
        </w:trPr>
        <w:tc>
          <w:tcPr>
            <w:tcW w:w="2114" w:type="dxa"/>
            <w:tcBorders>
              <w:top w:val="dotted" w:sz="4" w:space="0" w:color="auto"/>
              <w:left w:val="dotted" w:sz="4" w:space="0" w:color="auto"/>
              <w:bottom w:val="dotted" w:sz="4" w:space="0" w:color="auto"/>
              <w:right w:val="dotted" w:sz="4" w:space="0" w:color="auto"/>
            </w:tcBorders>
          </w:tcPr>
          <w:p>
            <w:pPr>
              <w:pStyle w:val="NoSpacing"/>
            </w:pPr>
            <w:r>
              <w:t>Deployment flexibility</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1482" w:type="dxa"/>
            <w:tcBorders>
              <w:top w:val="dotted" w:sz="4" w:space="0" w:color="auto"/>
              <w:left w:val="dotted" w:sz="4" w:space="0" w:color="auto"/>
              <w:bottom w:val="dotted" w:sz="4" w:space="0" w:color="auto"/>
              <w:right w:val="dotted" w:sz="4" w:space="0" w:color="auto"/>
            </w:tcBorders>
          </w:tcPr>
          <w:p>
            <w:pPr>
              <w:pStyle w:val="NoSpacing"/>
            </w:pPr>
            <w:r>
              <w:t>1</w:t>
            </w:r>
          </w:p>
        </w:tc>
        <w:tc>
          <w:tcPr>
            <w:tcW w:w="1311" w:type="dxa"/>
            <w:tcBorders>
              <w:top w:val="dotted" w:sz="4" w:space="0" w:color="auto"/>
              <w:left w:val="dotted" w:sz="4" w:space="0" w:color="auto"/>
              <w:bottom w:val="dotted" w:sz="4" w:space="0" w:color="auto"/>
              <w:right w:val="dotted" w:sz="4" w:space="0" w:color="auto"/>
            </w:tcBorders>
          </w:tcPr>
          <w:p>
            <w:pPr>
              <w:pStyle w:val="NoSpacing"/>
            </w:pPr>
            <w:r>
              <w:t>4</w:t>
            </w:r>
          </w:p>
        </w:tc>
        <w:tc>
          <w:tcPr>
            <w:tcW w:w="1420" w:type="dxa"/>
            <w:tcBorders>
              <w:top w:val="dotted" w:sz="4" w:space="0" w:color="auto"/>
              <w:left w:val="dotted" w:sz="4" w:space="0" w:color="auto"/>
              <w:bottom w:val="dotted" w:sz="4" w:space="0" w:color="auto"/>
              <w:right w:val="dotted" w:sz="4" w:space="0" w:color="auto"/>
            </w:tcBorders>
          </w:tcPr>
          <w:p>
            <w:pPr>
              <w:pStyle w:val="NoSpacing"/>
            </w:pPr>
            <w:r>
              <w:t>1</w:t>
            </w:r>
          </w:p>
        </w:tc>
        <w:tc>
          <w:tcPr>
            <w:tcW w:w="1639" w:type="dxa"/>
            <w:tcBorders>
              <w:top w:val="dotted" w:sz="4" w:space="0" w:color="auto"/>
              <w:left w:val="dotted" w:sz="4" w:space="0" w:color="auto"/>
              <w:bottom w:val="dotted" w:sz="4" w:space="0" w:color="auto"/>
              <w:right w:val="dotted" w:sz="4" w:space="0" w:color="auto"/>
            </w:tcBorders>
          </w:tcPr>
          <w:p>
            <w:pPr>
              <w:pStyle w:val="NoSpacing"/>
            </w:pPr>
            <w:r>
              <w:t>5</w:t>
            </w:r>
          </w:p>
        </w:tc>
      </w:tr>
      <w:tr>
        <w:trPr>
          <w:cantSplit/>
        </w:trPr>
        <w:tc>
          <w:tcPr>
            <w:tcW w:w="2114" w:type="dxa"/>
            <w:tcBorders>
              <w:top w:val="dotted" w:sz="4" w:space="0" w:color="auto"/>
              <w:left w:val="dotted" w:sz="4" w:space="0" w:color="auto"/>
              <w:bottom w:val="dotted" w:sz="4" w:space="0" w:color="auto"/>
              <w:right w:val="dotted" w:sz="4" w:space="0" w:color="auto"/>
            </w:tcBorders>
          </w:tcPr>
          <w:p>
            <w:pPr>
              <w:pStyle w:val="NoSpacing"/>
            </w:pPr>
            <w:r>
              <w:t>Total Weighted Score</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100</w:t>
            </w:r>
          </w:p>
        </w:tc>
        <w:tc>
          <w:tcPr>
            <w:tcW w:w="1482" w:type="dxa"/>
            <w:tcBorders>
              <w:top w:val="dotted" w:sz="4" w:space="0" w:color="auto"/>
              <w:left w:val="dotted" w:sz="4" w:space="0" w:color="auto"/>
              <w:bottom w:val="dotted" w:sz="4" w:space="0" w:color="auto"/>
              <w:right w:val="dotted" w:sz="4" w:space="0" w:color="auto"/>
            </w:tcBorders>
          </w:tcPr>
          <w:p>
            <w:pPr>
              <w:pStyle w:val="NoSpacing"/>
            </w:pPr>
            <w:r>
              <w:t>4.50 / 5</w:t>
            </w:r>
          </w:p>
        </w:tc>
        <w:tc>
          <w:tcPr>
            <w:tcW w:w="1311" w:type="dxa"/>
            <w:tcBorders>
              <w:top w:val="dotted" w:sz="4" w:space="0" w:color="auto"/>
              <w:left w:val="dotted" w:sz="4" w:space="0" w:color="auto"/>
              <w:bottom w:val="dotted" w:sz="4" w:space="0" w:color="auto"/>
              <w:right w:val="dotted" w:sz="4" w:space="0" w:color="auto"/>
            </w:tcBorders>
          </w:tcPr>
          <w:p>
            <w:pPr>
              <w:pStyle w:val="NoSpacing"/>
            </w:pPr>
            <w:r>
              <w:t>4.20 / 5</w:t>
            </w:r>
          </w:p>
        </w:tc>
        <w:tc>
          <w:tcPr>
            <w:tcW w:w="1420" w:type="dxa"/>
            <w:tcBorders>
              <w:top w:val="dotted" w:sz="4" w:space="0" w:color="auto"/>
              <w:left w:val="dotted" w:sz="4" w:space="0" w:color="auto"/>
              <w:bottom w:val="dotted" w:sz="4" w:space="0" w:color="auto"/>
              <w:right w:val="dotted" w:sz="4" w:space="0" w:color="auto"/>
            </w:tcBorders>
          </w:tcPr>
          <w:p>
            <w:pPr>
              <w:pStyle w:val="NoSpacing"/>
            </w:pPr>
            <w:r>
              <w:t>4.10 / 5</w:t>
            </w:r>
          </w:p>
        </w:tc>
        <w:tc>
          <w:tcPr>
            <w:tcW w:w="1639" w:type="dxa"/>
            <w:tcBorders>
              <w:top w:val="dotted" w:sz="4" w:space="0" w:color="auto"/>
              <w:left w:val="dotted" w:sz="4" w:space="0" w:color="auto"/>
              <w:bottom w:val="dotted" w:sz="4" w:space="0" w:color="auto"/>
              <w:right w:val="dotted" w:sz="4" w:space="0" w:color="auto"/>
            </w:tcBorders>
          </w:tcPr>
          <w:p>
            <w:pPr>
              <w:pStyle w:val="NoSpacing"/>
            </w:pPr>
            <w:r>
              <w:t>3.65 / 5</w:t>
            </w:r>
          </w:p>
        </w:tc>
      </w:tr>
    </w:tbl>
    <w:p/>
    <w:p>
      <w:r>
        <w:t>Amazon Redshift leads at 4.50, ahead of Athena at 4.20, Snowflake at 4.10 and the PostgreSQL replica at 3.65. Redshift wins on the two attributes weighted 15 together with freshness: zero-ETL delivers data within seconds with no pipeline, and concurrency scaling holds dashboard response through month-end. Athena matches it on isolation, scale and recovery and beats it on cost and portability, but loses on concurrency and freshness, because the pipeline that feeds it is minutes behind and the team must build and maintain it.</w:t>
      </w:r>
    </w:p>
    <w:p>
      <w:r>
        <w:t>The result is not one-sided. Snowflake equals Redshift on performance and needs the least administration, but it moves claim and personal data into a further vendor's account and needs a change-data-capture pipeline. The PostgreSQL replica is the cheapest and freshest and runs on-premise unchanged, but it is a row store sharing the transactional schema, and it would need replacing as history grows. The SAD's stated reason for Redshift, "petabyte-scale analytics", overstates the need: eClaims adds about 0.5 TB a year. Redshift wins here on isolation, concurrency, freshness and the absence of a pipeline, not on scale.</w:t>
      </w:r>
    </w:p>
    <w:p>
      <w:pPr>
        <w:pStyle w:val="Heading2"/>
      </w:pPr>
      <w:bookmarkStart w:id="126" w:name="_Toc300000027"/>
      <w:r>
        <w:t>Comparison 2 — Capability Comparison</w:t>
      </w:r>
      <w:bookmarkEnd w:id="126"/>
    </w:p>
    <w:p>
      <w:r>
        <w:t>Native, Partial and No as defined in Section 3.4.</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660"/>
        <w:gridCol w:w="1780"/>
        <w:gridCol w:w="1780"/>
        <w:gridCol w:w="2026"/>
        <w:gridCol w:w="1780"/>
      </w:tblGrid>
      <w:tr>
        <w:trPr>
          <w:cantSplit/>
          <w:tblHeader/>
        </w:trPr>
        <w:tc>
          <w:tcPr>
            <w:tcW w:w="166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Key Capability</w:t>
            </w:r>
          </w:p>
        </w:tc>
        <w:tc>
          <w:tcPr>
            <w:tcW w:w="178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Amazon Redshift</w:t>
            </w:r>
          </w:p>
        </w:tc>
        <w:tc>
          <w:tcPr>
            <w:tcW w:w="178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Athena on S3</w:t>
            </w:r>
          </w:p>
        </w:tc>
        <w:tc>
          <w:tcPr>
            <w:tcW w:w="2026"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Snowflake</w:t>
            </w:r>
          </w:p>
        </w:tc>
        <w:tc>
          <w:tcPr>
            <w:tcW w:w="178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PostgreSQL replica</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Feed from RDS for PostgreSQL</w:t>
            </w:r>
          </w:p>
        </w:tc>
        <w:tc>
          <w:tcPr>
            <w:tcW w:w="1780" w:type="dxa"/>
            <w:tcBorders>
              <w:top w:val="dotted" w:sz="4" w:space="0" w:color="auto"/>
              <w:left w:val="dotted" w:sz="4" w:space="0" w:color="auto"/>
              <w:bottom w:val="dotted" w:sz="4" w:space="0" w:color="auto"/>
              <w:right w:val="dotted" w:sz="4" w:space="0" w:color="auto"/>
            </w:tcBorders>
          </w:tcPr>
          <w:p>
            <w:pPr>
              <w:pStyle w:val="NoSpacing"/>
            </w:pPr>
            <w:r>
              <w:t>Native — zero-ETL, seconds</w:t>
            </w:r>
          </w:p>
        </w:tc>
        <w:tc>
          <w:tcPr>
            <w:tcW w:w="1780" w:type="dxa"/>
            <w:tcBorders>
              <w:top w:val="dotted" w:sz="4" w:space="0" w:color="auto"/>
              <w:left w:val="dotted" w:sz="4" w:space="0" w:color="auto"/>
              <w:bottom w:val="dotted" w:sz="4" w:space="0" w:color="auto"/>
              <w:right w:val="dotted" w:sz="4" w:space="0" w:color="auto"/>
            </w:tcBorders>
          </w:tcPr>
          <w:p>
            <w:pPr>
              <w:pStyle w:val="NoSpacing"/>
            </w:pPr>
            <w:r>
              <w:t>Partial — DMS to Iceberg, minutes</w:t>
            </w:r>
          </w:p>
        </w:tc>
        <w:tc>
          <w:tcPr>
            <w:tcW w:w="2026" w:type="dxa"/>
            <w:tcBorders>
              <w:top w:val="dotted" w:sz="4" w:space="0" w:color="auto"/>
              <w:left w:val="dotted" w:sz="4" w:space="0" w:color="auto"/>
              <w:bottom w:val="dotted" w:sz="4" w:space="0" w:color="auto"/>
              <w:right w:val="dotted" w:sz="4" w:space="0" w:color="auto"/>
            </w:tcBorders>
          </w:tcPr>
          <w:p>
            <w:pPr>
              <w:pStyle w:val="NoSpacing"/>
            </w:pPr>
            <w:r>
              <w:t>Partial — connector, or DMS with Snowpipe</w:t>
            </w:r>
          </w:p>
        </w:tc>
        <w:tc>
          <w:tcPr>
            <w:tcW w:w="1780" w:type="dxa"/>
            <w:tcBorders>
              <w:top w:val="dotted" w:sz="4" w:space="0" w:color="auto"/>
              <w:left w:val="dotted" w:sz="4" w:space="0" w:color="auto"/>
              <w:bottom w:val="dotted" w:sz="4" w:space="0" w:color="auto"/>
              <w:right w:val="dotted" w:sz="4" w:space="0" w:color="auto"/>
            </w:tcBorders>
          </w:tcPr>
          <w:p>
            <w:pPr>
              <w:pStyle w:val="NoSpacing"/>
            </w:pPr>
            <w:r>
              <w:t>Native — streaming replication</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Columnar storage</w:t>
            </w:r>
          </w:p>
        </w:tc>
        <w:tc>
          <w:tcPr>
            <w:tcW w:w="1780" w:type="dxa"/>
            <w:tcBorders>
              <w:top w:val="dotted" w:sz="4" w:space="0" w:color="auto"/>
              <w:left w:val="dotted" w:sz="4" w:space="0" w:color="auto"/>
              <w:bottom w:val="dotted" w:sz="4" w:space="0" w:color="auto"/>
              <w:right w:val="dotted" w:sz="4" w:space="0" w:color="auto"/>
            </w:tcBorders>
          </w:tcPr>
          <w:p>
            <w:pPr>
              <w:pStyle w:val="NoSpacing"/>
            </w:pPr>
            <w:r>
              <w:t>Native</w:t>
            </w:r>
          </w:p>
        </w:tc>
        <w:tc>
          <w:tcPr>
            <w:tcW w:w="1780" w:type="dxa"/>
            <w:tcBorders>
              <w:top w:val="dotted" w:sz="4" w:space="0" w:color="auto"/>
              <w:left w:val="dotted" w:sz="4" w:space="0" w:color="auto"/>
              <w:bottom w:val="dotted" w:sz="4" w:space="0" w:color="auto"/>
              <w:right w:val="dotted" w:sz="4" w:space="0" w:color="auto"/>
            </w:tcBorders>
          </w:tcPr>
          <w:p>
            <w:pPr>
              <w:pStyle w:val="NoSpacing"/>
            </w:pPr>
            <w:r>
              <w:t>Native — Parquet in Iceberg</w:t>
            </w:r>
          </w:p>
        </w:tc>
        <w:tc>
          <w:tcPr>
            <w:tcW w:w="2026" w:type="dxa"/>
            <w:tcBorders>
              <w:top w:val="dotted" w:sz="4" w:space="0" w:color="auto"/>
              <w:left w:val="dotted" w:sz="4" w:space="0" w:color="auto"/>
              <w:bottom w:val="dotted" w:sz="4" w:space="0" w:color="auto"/>
              <w:right w:val="dotted" w:sz="4" w:space="0" w:color="auto"/>
            </w:tcBorders>
          </w:tcPr>
          <w:p>
            <w:pPr>
              <w:pStyle w:val="NoSpacing"/>
            </w:pPr>
            <w:r>
              <w:t>Native</w:t>
            </w:r>
          </w:p>
        </w:tc>
        <w:tc>
          <w:tcPr>
            <w:tcW w:w="1780" w:type="dxa"/>
            <w:tcBorders>
              <w:top w:val="dotted" w:sz="4" w:space="0" w:color="auto"/>
              <w:left w:val="dotted" w:sz="4" w:space="0" w:color="auto"/>
              <w:bottom w:val="dotted" w:sz="4" w:space="0" w:color="auto"/>
              <w:right w:val="dotted" w:sz="4" w:space="0" w:color="auto"/>
            </w:tcBorders>
          </w:tcPr>
          <w:p>
            <w:pPr>
              <w:pStyle w:val="NoSpacing"/>
            </w:pPr>
            <w:r>
              <w:t>No</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Concurrency scale-out</w:t>
            </w:r>
          </w:p>
        </w:tc>
        <w:tc>
          <w:tcPr>
            <w:tcW w:w="1780" w:type="dxa"/>
            <w:tcBorders>
              <w:top w:val="dotted" w:sz="4" w:space="0" w:color="auto"/>
              <w:left w:val="dotted" w:sz="4" w:space="0" w:color="auto"/>
              <w:bottom w:val="dotted" w:sz="4" w:space="0" w:color="auto"/>
              <w:right w:val="dotted" w:sz="4" w:space="0" w:color="auto"/>
            </w:tcBorders>
          </w:tcPr>
          <w:p>
            <w:pPr>
              <w:pStyle w:val="NoSpacing"/>
            </w:pPr>
            <w:r>
              <w:t>Native — concurrency scaling</w:t>
            </w:r>
          </w:p>
        </w:tc>
        <w:tc>
          <w:tcPr>
            <w:tcW w:w="1780" w:type="dxa"/>
            <w:tcBorders>
              <w:top w:val="dotted" w:sz="4" w:space="0" w:color="auto"/>
              <w:left w:val="dotted" w:sz="4" w:space="0" w:color="auto"/>
              <w:bottom w:val="dotted" w:sz="4" w:space="0" w:color="auto"/>
              <w:right w:val="dotted" w:sz="4" w:space="0" w:color="auto"/>
            </w:tcBorders>
          </w:tcPr>
          <w:p>
            <w:pPr>
              <w:pStyle w:val="NoSpacing"/>
            </w:pPr>
            <w:r>
              <w:t>Partial — query quotas; cache in the reporting tool</w:t>
            </w:r>
          </w:p>
        </w:tc>
        <w:tc>
          <w:tcPr>
            <w:tcW w:w="2026" w:type="dxa"/>
            <w:tcBorders>
              <w:top w:val="dotted" w:sz="4" w:space="0" w:color="auto"/>
              <w:left w:val="dotted" w:sz="4" w:space="0" w:color="auto"/>
              <w:bottom w:val="dotted" w:sz="4" w:space="0" w:color="auto"/>
              <w:right w:val="dotted" w:sz="4" w:space="0" w:color="auto"/>
            </w:tcBorders>
          </w:tcPr>
          <w:p>
            <w:pPr>
              <w:pStyle w:val="NoSpacing"/>
            </w:pPr>
            <w:r>
              <w:t>Native — multi-cluster warehouses (Enterprise)</w:t>
            </w:r>
          </w:p>
        </w:tc>
        <w:tc>
          <w:tcPr>
            <w:tcW w:w="1780" w:type="dxa"/>
            <w:tcBorders>
              <w:top w:val="dotted" w:sz="4" w:space="0" w:color="auto"/>
              <w:left w:val="dotted" w:sz="4" w:space="0" w:color="auto"/>
              <w:bottom w:val="dotted" w:sz="4" w:space="0" w:color="auto"/>
              <w:right w:val="dotted" w:sz="4" w:space="0" w:color="auto"/>
            </w:tcBorders>
          </w:tcPr>
          <w:p>
            <w:pPr>
              <w:pStyle w:val="NoSpacing"/>
            </w:pPr>
            <w:r>
              <w:t>No</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Row-level security</w:t>
            </w:r>
          </w:p>
        </w:tc>
        <w:tc>
          <w:tcPr>
            <w:tcW w:w="1780" w:type="dxa"/>
            <w:tcBorders>
              <w:top w:val="dotted" w:sz="4" w:space="0" w:color="auto"/>
              <w:left w:val="dotted" w:sz="4" w:space="0" w:color="auto"/>
              <w:bottom w:val="dotted" w:sz="4" w:space="0" w:color="auto"/>
              <w:right w:val="dotted" w:sz="4" w:space="0" w:color="auto"/>
            </w:tcBorders>
          </w:tcPr>
          <w:p>
            <w:pPr>
              <w:pStyle w:val="NoSpacing"/>
            </w:pPr>
            <w:r>
              <w:t>Native</w:t>
            </w:r>
          </w:p>
        </w:tc>
        <w:tc>
          <w:tcPr>
            <w:tcW w:w="1780" w:type="dxa"/>
            <w:tcBorders>
              <w:top w:val="dotted" w:sz="4" w:space="0" w:color="auto"/>
              <w:left w:val="dotted" w:sz="4" w:space="0" w:color="auto"/>
              <w:bottom w:val="dotted" w:sz="4" w:space="0" w:color="auto"/>
              <w:right w:val="dotted" w:sz="4" w:space="0" w:color="auto"/>
            </w:tcBorders>
          </w:tcPr>
          <w:p>
            <w:pPr>
              <w:pStyle w:val="NoSpacing"/>
            </w:pPr>
            <w:r>
              <w:t>Native — Lake Formation filters</w:t>
            </w:r>
          </w:p>
        </w:tc>
        <w:tc>
          <w:tcPr>
            <w:tcW w:w="2026" w:type="dxa"/>
            <w:tcBorders>
              <w:top w:val="dotted" w:sz="4" w:space="0" w:color="auto"/>
              <w:left w:val="dotted" w:sz="4" w:space="0" w:color="auto"/>
              <w:bottom w:val="dotted" w:sz="4" w:space="0" w:color="auto"/>
              <w:right w:val="dotted" w:sz="4" w:space="0" w:color="auto"/>
            </w:tcBorders>
          </w:tcPr>
          <w:p>
            <w:pPr>
              <w:pStyle w:val="NoSpacing"/>
            </w:pPr>
            <w:r>
              <w:t>Native — row access policies</w:t>
            </w:r>
          </w:p>
        </w:tc>
        <w:tc>
          <w:tcPr>
            <w:tcW w:w="1780" w:type="dxa"/>
            <w:tcBorders>
              <w:top w:val="dotted" w:sz="4" w:space="0" w:color="auto"/>
              <w:left w:val="dotted" w:sz="4" w:space="0" w:color="auto"/>
              <w:bottom w:val="dotted" w:sz="4" w:space="0" w:color="auto"/>
              <w:right w:val="dotted" w:sz="4" w:space="0" w:color="auto"/>
            </w:tcBorders>
          </w:tcPr>
          <w:p>
            <w:pPr>
              <w:pStyle w:val="NoSpacing"/>
            </w:pPr>
            <w:r>
              <w:t>Partial — defined on the primary</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Scheduled report jobs</w:t>
            </w:r>
          </w:p>
        </w:tc>
        <w:tc>
          <w:tcPr>
            <w:tcW w:w="1780" w:type="dxa"/>
            <w:tcBorders>
              <w:top w:val="dotted" w:sz="4" w:space="0" w:color="auto"/>
              <w:left w:val="dotted" w:sz="4" w:space="0" w:color="auto"/>
              <w:bottom w:val="dotted" w:sz="4" w:space="0" w:color="auto"/>
              <w:right w:val="dotted" w:sz="4" w:space="0" w:color="auto"/>
            </w:tcBorders>
          </w:tcPr>
          <w:p>
            <w:pPr>
              <w:pStyle w:val="NoSpacing"/>
            </w:pPr>
            <w:r>
              <w:t>Native — scheduled queries</w:t>
            </w:r>
          </w:p>
        </w:tc>
        <w:tc>
          <w:tcPr>
            <w:tcW w:w="1780" w:type="dxa"/>
            <w:tcBorders>
              <w:top w:val="dotted" w:sz="4" w:space="0" w:color="auto"/>
              <w:left w:val="dotted" w:sz="4" w:space="0" w:color="auto"/>
              <w:bottom w:val="dotted" w:sz="4" w:space="0" w:color="auto"/>
              <w:right w:val="dotted" w:sz="4" w:space="0" w:color="auto"/>
            </w:tcBorders>
          </w:tcPr>
          <w:p>
            <w:pPr>
              <w:pStyle w:val="NoSpacing"/>
            </w:pPr>
            <w:r>
              <w:t>Partial — EventBridge Scheduler and Lambda</w:t>
            </w:r>
          </w:p>
        </w:tc>
        <w:tc>
          <w:tcPr>
            <w:tcW w:w="2026" w:type="dxa"/>
            <w:tcBorders>
              <w:top w:val="dotted" w:sz="4" w:space="0" w:color="auto"/>
              <w:left w:val="dotted" w:sz="4" w:space="0" w:color="auto"/>
              <w:bottom w:val="dotted" w:sz="4" w:space="0" w:color="auto"/>
              <w:right w:val="dotted" w:sz="4" w:space="0" w:color="auto"/>
            </w:tcBorders>
          </w:tcPr>
          <w:p>
            <w:pPr>
              <w:pStyle w:val="NoSpacing"/>
            </w:pPr>
            <w:r>
              <w:t>Native — tasks</w:t>
            </w:r>
          </w:p>
        </w:tc>
        <w:tc>
          <w:tcPr>
            <w:tcW w:w="1780" w:type="dxa"/>
            <w:tcBorders>
              <w:top w:val="dotted" w:sz="4" w:space="0" w:color="auto"/>
              <w:left w:val="dotted" w:sz="4" w:space="0" w:color="auto"/>
              <w:bottom w:val="dotted" w:sz="4" w:space="0" w:color="auto"/>
              <w:right w:val="dotted" w:sz="4" w:space="0" w:color="auto"/>
            </w:tcBorders>
          </w:tcPr>
          <w:p>
            <w:pPr>
              <w:pStyle w:val="NoSpacing"/>
            </w:pPr>
            <w:r>
              <w:t>Partial — a scheduler built by the team</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Recovery in us-east-2</w:t>
            </w:r>
          </w:p>
        </w:tc>
        <w:tc>
          <w:tcPr>
            <w:tcW w:w="1780" w:type="dxa"/>
            <w:tcBorders>
              <w:top w:val="dotted" w:sz="4" w:space="0" w:color="auto"/>
              <w:left w:val="dotted" w:sz="4" w:space="0" w:color="auto"/>
              <w:bottom w:val="dotted" w:sz="4" w:space="0" w:color="auto"/>
              <w:right w:val="dotted" w:sz="4" w:space="0" w:color="auto"/>
            </w:tcBorders>
          </w:tcPr>
          <w:p>
            <w:pPr>
              <w:pStyle w:val="NoSpacing"/>
            </w:pPr>
            <w:r>
              <w:t>Native — cross-Region snapshot copy</w:t>
            </w:r>
          </w:p>
        </w:tc>
        <w:tc>
          <w:tcPr>
            <w:tcW w:w="1780" w:type="dxa"/>
            <w:tcBorders>
              <w:top w:val="dotted" w:sz="4" w:space="0" w:color="auto"/>
              <w:left w:val="dotted" w:sz="4" w:space="0" w:color="auto"/>
              <w:bottom w:val="dotted" w:sz="4" w:space="0" w:color="auto"/>
              <w:right w:val="dotted" w:sz="4" w:space="0" w:color="auto"/>
            </w:tcBorders>
          </w:tcPr>
          <w:p>
            <w:pPr>
              <w:pStyle w:val="NoSpacing"/>
            </w:pPr>
            <w:r>
              <w:t>Native — S3 Cross-Region Replication</w:t>
            </w:r>
          </w:p>
        </w:tc>
        <w:tc>
          <w:tcPr>
            <w:tcW w:w="2026" w:type="dxa"/>
            <w:tcBorders>
              <w:top w:val="dotted" w:sz="4" w:space="0" w:color="auto"/>
              <w:left w:val="dotted" w:sz="4" w:space="0" w:color="auto"/>
              <w:bottom w:val="dotted" w:sz="4" w:space="0" w:color="auto"/>
              <w:right w:val="dotted" w:sz="4" w:space="0" w:color="auto"/>
            </w:tcBorders>
          </w:tcPr>
          <w:p>
            <w:pPr>
              <w:pStyle w:val="NoSpacing"/>
            </w:pPr>
            <w:r>
              <w:t>Native — replication; failover needs Business Critical</w:t>
            </w:r>
          </w:p>
        </w:tc>
        <w:tc>
          <w:tcPr>
            <w:tcW w:w="1780" w:type="dxa"/>
            <w:tcBorders>
              <w:top w:val="dotted" w:sz="4" w:space="0" w:color="auto"/>
              <w:left w:val="dotted" w:sz="4" w:space="0" w:color="auto"/>
              <w:bottom w:val="dotted" w:sz="4" w:space="0" w:color="auto"/>
              <w:right w:val="dotted" w:sz="4" w:space="0" w:color="auto"/>
            </w:tcBorders>
          </w:tcPr>
          <w:p>
            <w:pPr>
              <w:pStyle w:val="NoSpacing"/>
            </w:pPr>
            <w:r>
              <w:t>Native — cross-Region replica</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Data stays in YCompany's AWS account</w:t>
            </w:r>
          </w:p>
        </w:tc>
        <w:tc>
          <w:tcPr>
            <w:tcW w:w="1780" w:type="dxa"/>
            <w:tcBorders>
              <w:top w:val="dotted" w:sz="4" w:space="0" w:color="auto"/>
              <w:left w:val="dotted" w:sz="4" w:space="0" w:color="auto"/>
              <w:bottom w:val="dotted" w:sz="4" w:space="0" w:color="auto"/>
              <w:right w:val="dotted" w:sz="4" w:space="0" w:color="auto"/>
            </w:tcBorders>
          </w:tcPr>
          <w:p>
            <w:pPr>
              <w:pStyle w:val="NoSpacing"/>
            </w:pPr>
            <w:r>
              <w:t>Yes</w:t>
            </w:r>
          </w:p>
        </w:tc>
        <w:tc>
          <w:tcPr>
            <w:tcW w:w="1780" w:type="dxa"/>
            <w:tcBorders>
              <w:top w:val="dotted" w:sz="4" w:space="0" w:color="auto"/>
              <w:left w:val="dotted" w:sz="4" w:space="0" w:color="auto"/>
              <w:bottom w:val="dotted" w:sz="4" w:space="0" w:color="auto"/>
              <w:right w:val="dotted" w:sz="4" w:space="0" w:color="auto"/>
            </w:tcBorders>
          </w:tcPr>
          <w:p>
            <w:pPr>
              <w:pStyle w:val="NoSpacing"/>
            </w:pPr>
            <w:r>
              <w:t>Yes</w:t>
            </w:r>
          </w:p>
        </w:tc>
        <w:tc>
          <w:tcPr>
            <w:tcW w:w="2026" w:type="dxa"/>
            <w:tcBorders>
              <w:top w:val="dotted" w:sz="4" w:space="0" w:color="auto"/>
              <w:left w:val="dotted" w:sz="4" w:space="0" w:color="auto"/>
              <w:bottom w:val="dotted" w:sz="4" w:space="0" w:color="auto"/>
              <w:right w:val="dotted" w:sz="4" w:space="0" w:color="auto"/>
            </w:tcBorders>
          </w:tcPr>
          <w:p>
            <w:pPr>
              <w:pStyle w:val="NoSpacing"/>
            </w:pPr>
            <w:r>
              <w:t>No</w:t>
            </w:r>
          </w:p>
        </w:tc>
        <w:tc>
          <w:tcPr>
            <w:tcW w:w="1780" w:type="dxa"/>
            <w:tcBorders>
              <w:top w:val="dotted" w:sz="4" w:space="0" w:color="auto"/>
              <w:left w:val="dotted" w:sz="4" w:space="0" w:color="auto"/>
              <w:bottom w:val="dotted" w:sz="4" w:space="0" w:color="auto"/>
              <w:right w:val="dotted" w:sz="4" w:space="0" w:color="auto"/>
            </w:tcBorders>
          </w:tcPr>
          <w:p>
            <w:pPr>
              <w:pStyle w:val="NoSpacing"/>
            </w:pPr>
            <w:r>
              <w:t>Yes</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Runs on-premise</w:t>
            </w:r>
          </w:p>
        </w:tc>
        <w:tc>
          <w:tcPr>
            <w:tcW w:w="1780" w:type="dxa"/>
            <w:tcBorders>
              <w:top w:val="dotted" w:sz="4" w:space="0" w:color="auto"/>
              <w:left w:val="dotted" w:sz="4" w:space="0" w:color="auto"/>
              <w:bottom w:val="dotted" w:sz="4" w:space="0" w:color="auto"/>
              <w:right w:val="dotted" w:sz="4" w:space="0" w:color="auto"/>
            </w:tcBorders>
          </w:tcPr>
          <w:p>
            <w:pPr>
              <w:pStyle w:val="NoSpacing"/>
            </w:pPr>
            <w:r>
              <w:t>No</w:t>
            </w:r>
          </w:p>
        </w:tc>
        <w:tc>
          <w:tcPr>
            <w:tcW w:w="1780" w:type="dxa"/>
            <w:tcBorders>
              <w:top w:val="dotted" w:sz="4" w:space="0" w:color="auto"/>
              <w:left w:val="dotted" w:sz="4" w:space="0" w:color="auto"/>
              <w:bottom w:val="dotted" w:sz="4" w:space="0" w:color="auto"/>
              <w:right w:val="dotted" w:sz="4" w:space="0" w:color="auto"/>
            </w:tcBorders>
          </w:tcPr>
          <w:p>
            <w:pPr>
              <w:pStyle w:val="NoSpacing"/>
            </w:pPr>
            <w:r>
              <w:t>Partial — Iceberg with Trino</w:t>
            </w:r>
          </w:p>
        </w:tc>
        <w:tc>
          <w:tcPr>
            <w:tcW w:w="2026" w:type="dxa"/>
            <w:tcBorders>
              <w:top w:val="dotted" w:sz="4" w:space="0" w:color="auto"/>
              <w:left w:val="dotted" w:sz="4" w:space="0" w:color="auto"/>
              <w:bottom w:val="dotted" w:sz="4" w:space="0" w:color="auto"/>
              <w:right w:val="dotted" w:sz="4" w:space="0" w:color="auto"/>
            </w:tcBorders>
          </w:tcPr>
          <w:p>
            <w:pPr>
              <w:pStyle w:val="NoSpacing"/>
            </w:pPr>
            <w:r>
              <w:t>No</w:t>
            </w:r>
          </w:p>
        </w:tc>
        <w:tc>
          <w:tcPr>
            <w:tcW w:w="1780" w:type="dxa"/>
            <w:tcBorders>
              <w:top w:val="dotted" w:sz="4" w:space="0" w:color="auto"/>
              <w:left w:val="dotted" w:sz="4" w:space="0" w:color="auto"/>
              <w:bottom w:val="dotted" w:sz="4" w:space="0" w:color="auto"/>
              <w:right w:val="dotted" w:sz="4" w:space="0" w:color="auto"/>
            </w:tcBorders>
          </w:tcPr>
          <w:p>
            <w:pPr>
              <w:pStyle w:val="NoSpacing"/>
            </w:pPr>
            <w:r>
              <w:t>Yes — PostgreSQL</w:t>
            </w:r>
          </w:p>
        </w:tc>
      </w:tr>
    </w:tbl>
    <w:p/>
    <w:p>
      <w:pPr>
        <w:pStyle w:val="Heading2"/>
      </w:pPr>
      <w:bookmarkStart w:id="127" w:name="_Toc300000028"/>
      <w:r>
        <w:t>Comparison 3 — Pricing at eClaims Volume</w:t>
      </w:r>
      <w:bookmarkEnd w:id="127"/>
    </w:p>
    <w:p>
      <w:r>
        <w:t>Basis, stated so that the figures can be recalculated: about 1 TB of analytics data by the end of year two; dashboards and report jobs during business hours, about 10 hours a day on 22 working days; a month-end peak of about 20 extra hours of concurrent reporting. Reporting-tool licences are common to every option and excluded.</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137"/>
        <w:gridCol w:w="1540"/>
        <w:gridCol w:w="5349"/>
      </w:tblGrid>
      <w:tr>
        <w:trPr>
          <w:cantSplit/>
          <w:tblHeader/>
        </w:trPr>
        <w:tc>
          <w:tcPr>
            <w:tcW w:w="2137"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Option</w:t>
            </w:r>
          </w:p>
        </w:tc>
        <w:tc>
          <w:tcPr>
            <w:tcW w:w="154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Indicative monthly cost</w:t>
            </w:r>
          </w:p>
        </w:tc>
        <w:tc>
          <w:tcPr>
            <w:tcW w:w="5349"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Basis of estimate</w:t>
            </w:r>
          </w:p>
        </w:tc>
      </w:tr>
      <w:tr>
        <w:trPr>
          <w:cantSplit/>
        </w:trPr>
        <w:tc>
          <w:tcPr>
            <w:tcW w:w="2137" w:type="dxa"/>
            <w:tcBorders>
              <w:top w:val="dotted" w:sz="4" w:space="0" w:color="auto"/>
              <w:left w:val="dotted" w:sz="4" w:space="0" w:color="auto"/>
              <w:bottom w:val="dotted" w:sz="4" w:space="0" w:color="auto"/>
              <w:right w:val="dotted" w:sz="4" w:space="0" w:color="auto"/>
            </w:tcBorders>
          </w:tcPr>
          <w:p>
            <w:pPr>
              <w:pStyle w:val="NoSpacing"/>
            </w:pPr>
            <w:r>
              <w:t>Amazon Redshift (provisioned RA3)</w:t>
            </w:r>
          </w:p>
        </w:tc>
        <w:tc>
          <w:tcPr>
            <w:tcW w:w="1540" w:type="dxa"/>
            <w:tcBorders>
              <w:top w:val="dotted" w:sz="4" w:space="0" w:color="auto"/>
              <w:left w:val="dotted" w:sz="4" w:space="0" w:color="auto"/>
              <w:bottom w:val="dotted" w:sz="4" w:space="0" w:color="auto"/>
              <w:right w:val="dotted" w:sz="4" w:space="0" w:color="auto"/>
            </w:tcBorders>
          </w:tcPr>
          <w:p>
            <w:pPr>
              <w:pStyle w:val="NoSpacing"/>
            </w:pPr>
            <w:r>
              <w:t>≈ USD 830</w:t>
            </w:r>
          </w:p>
        </w:tc>
        <w:tc>
          <w:tcPr>
            <w:tcW w:w="5349" w:type="dxa"/>
            <w:tcBorders>
              <w:top w:val="dotted" w:sz="4" w:space="0" w:color="auto"/>
              <w:left w:val="dotted" w:sz="4" w:space="0" w:color="auto"/>
              <w:bottom w:val="dotted" w:sz="4" w:space="0" w:color="auto"/>
              <w:right w:val="dotted" w:sz="4" w:space="0" w:color="auto"/>
            </w:tcBorders>
          </w:tcPr>
          <w:p>
            <w:pPr>
              <w:pStyle w:val="NoSpacing"/>
            </w:pPr>
            <w:r>
              <w:t>Two ra3.large nodes × 730 hours × USD 0.543 ≈ USD 793; 1 TB of managed storage ≈ USD 25; month-end concurrency scaling mostly inside the free daily hour ≈ USD 10. Cross-Region snapshot copies add storage only.</w:t>
            </w:r>
          </w:p>
        </w:tc>
      </w:tr>
      <w:tr>
        <w:trPr>
          <w:cantSplit/>
        </w:trPr>
        <w:tc>
          <w:tcPr>
            <w:tcW w:w="2137" w:type="dxa"/>
            <w:tcBorders>
              <w:top w:val="dotted" w:sz="4" w:space="0" w:color="auto"/>
              <w:left w:val="dotted" w:sz="4" w:space="0" w:color="auto"/>
              <w:bottom w:val="dotted" w:sz="4" w:space="0" w:color="auto"/>
              <w:right w:val="dotted" w:sz="4" w:space="0" w:color="auto"/>
            </w:tcBorders>
          </w:tcPr>
          <w:p>
            <w:pPr>
              <w:pStyle w:val="NoSpacing"/>
            </w:pPr>
            <w:r>
              <w:t>Amazon Redshift Serverless (for reference)</w:t>
            </w:r>
          </w:p>
        </w:tc>
        <w:tc>
          <w:tcPr>
            <w:tcW w:w="1540" w:type="dxa"/>
            <w:tcBorders>
              <w:top w:val="dotted" w:sz="4" w:space="0" w:color="auto"/>
              <w:left w:val="dotted" w:sz="4" w:space="0" w:color="auto"/>
              <w:bottom w:val="dotted" w:sz="4" w:space="0" w:color="auto"/>
              <w:right w:val="dotted" w:sz="4" w:space="0" w:color="auto"/>
            </w:tcBorders>
          </w:tcPr>
          <w:p>
            <w:pPr>
              <w:pStyle w:val="NoSpacing"/>
            </w:pPr>
            <w:r>
              <w:t>≈ USD 660–2,200</w:t>
            </w:r>
          </w:p>
        </w:tc>
        <w:tc>
          <w:tcPr>
            <w:tcW w:w="5349" w:type="dxa"/>
            <w:tcBorders>
              <w:top w:val="dotted" w:sz="4" w:space="0" w:color="auto"/>
              <w:left w:val="dotted" w:sz="4" w:space="0" w:color="auto"/>
              <w:bottom w:val="dotted" w:sz="4" w:space="0" w:color="auto"/>
              <w:right w:val="dotted" w:sz="4" w:space="0" w:color="auto"/>
            </w:tcBorders>
          </w:tcPr>
          <w:p>
            <w:pPr>
              <w:pStyle w:val="NoSpacing"/>
            </w:pPr>
            <w:r>
              <w:t>8 RPUs × 220 hours × USD 0.375 ≈ USD 660 if compute runs only for reports; up to ≈ USD 2,200 if zero-ETL ingestion keeps it active around the clock.</w:t>
            </w:r>
          </w:p>
        </w:tc>
      </w:tr>
      <w:tr>
        <w:trPr>
          <w:cantSplit/>
        </w:trPr>
        <w:tc>
          <w:tcPr>
            <w:tcW w:w="2137" w:type="dxa"/>
            <w:tcBorders>
              <w:top w:val="dotted" w:sz="4" w:space="0" w:color="auto"/>
              <w:left w:val="dotted" w:sz="4" w:space="0" w:color="auto"/>
              <w:bottom w:val="dotted" w:sz="4" w:space="0" w:color="auto"/>
              <w:right w:val="dotted" w:sz="4" w:space="0" w:color="auto"/>
            </w:tcBorders>
          </w:tcPr>
          <w:p>
            <w:pPr>
              <w:pStyle w:val="NoSpacing"/>
            </w:pPr>
            <w:r>
              <w:t>Athena on S3</w:t>
            </w:r>
          </w:p>
        </w:tc>
        <w:tc>
          <w:tcPr>
            <w:tcW w:w="1540" w:type="dxa"/>
            <w:tcBorders>
              <w:top w:val="dotted" w:sz="4" w:space="0" w:color="auto"/>
              <w:left w:val="dotted" w:sz="4" w:space="0" w:color="auto"/>
              <w:bottom w:val="dotted" w:sz="4" w:space="0" w:color="auto"/>
              <w:right w:val="dotted" w:sz="4" w:space="0" w:color="auto"/>
            </w:tcBorders>
          </w:tcPr>
          <w:p>
            <w:pPr>
              <w:pStyle w:val="NoSpacing"/>
            </w:pPr>
            <w:r>
              <w:t>≈ USD 210</w:t>
            </w:r>
          </w:p>
        </w:tc>
        <w:tc>
          <w:tcPr>
            <w:tcW w:w="5349" w:type="dxa"/>
            <w:tcBorders>
              <w:top w:val="dotted" w:sz="4" w:space="0" w:color="auto"/>
              <w:left w:val="dotted" w:sz="4" w:space="0" w:color="auto"/>
              <w:bottom w:val="dotted" w:sz="4" w:space="0" w:color="auto"/>
              <w:right w:val="dotted" w:sz="4" w:space="0" w:color="auto"/>
            </w:tcBorders>
          </w:tcPr>
          <w:p>
            <w:pPr>
              <w:pStyle w:val="NoSpacing"/>
            </w:pPr>
            <w:r>
              <w:t>About 5 TB scanned a month × USD 5 ≈ USD 25; a small Multi-AZ DMS replication instance ≈ USD 110; compaction jobs ≈ USD 50; S3 storage ≈ USD 25.</w:t>
            </w:r>
          </w:p>
        </w:tc>
      </w:tr>
      <w:tr>
        <w:trPr>
          <w:cantSplit/>
        </w:trPr>
        <w:tc>
          <w:tcPr>
            <w:tcW w:w="2137" w:type="dxa"/>
            <w:tcBorders>
              <w:top w:val="dotted" w:sz="4" w:space="0" w:color="auto"/>
              <w:left w:val="dotted" w:sz="4" w:space="0" w:color="auto"/>
              <w:bottom w:val="dotted" w:sz="4" w:space="0" w:color="auto"/>
              <w:right w:val="dotted" w:sz="4" w:space="0" w:color="auto"/>
            </w:tcBorders>
          </w:tcPr>
          <w:p>
            <w:pPr>
              <w:pStyle w:val="NoSpacing"/>
            </w:pPr>
            <w:r>
              <w:t>Snowflake (Enterprise)</w:t>
            </w:r>
          </w:p>
        </w:tc>
        <w:tc>
          <w:tcPr>
            <w:tcW w:w="1540" w:type="dxa"/>
            <w:tcBorders>
              <w:top w:val="dotted" w:sz="4" w:space="0" w:color="auto"/>
              <w:left w:val="dotted" w:sz="4" w:space="0" w:color="auto"/>
              <w:bottom w:val="dotted" w:sz="4" w:space="0" w:color="auto"/>
              <w:right w:val="dotted" w:sz="4" w:space="0" w:color="auto"/>
            </w:tcBorders>
          </w:tcPr>
          <w:p>
            <w:pPr>
              <w:pStyle w:val="NoSpacing"/>
            </w:pPr>
            <w:r>
              <w:t>≈ USD 1,200</w:t>
            </w:r>
          </w:p>
        </w:tc>
        <w:tc>
          <w:tcPr>
            <w:tcW w:w="5349" w:type="dxa"/>
            <w:tcBorders>
              <w:top w:val="dotted" w:sz="4" w:space="0" w:color="auto"/>
              <w:left w:val="dotted" w:sz="4" w:space="0" w:color="auto"/>
              <w:bottom w:val="dotted" w:sz="4" w:space="0" w:color="auto"/>
              <w:right w:val="dotted" w:sz="4" w:space="0" w:color="auto"/>
            </w:tcBorders>
          </w:tcPr>
          <w:p>
            <w:pPr>
              <w:pStyle w:val="NoSpacing"/>
            </w:pPr>
            <w:r>
              <w:t>About 360 credits × USD 3 ≈ USD 1,080: an X-Small warehouse for 220 hours, about 100 credits of ingestion and a Small warehouse for the 20 month-end hours; 1 TB of storage ≈ USD 23; a change-data-capture pipeline ≈ USD 100.</w:t>
            </w:r>
          </w:p>
        </w:tc>
      </w:tr>
      <w:tr>
        <w:trPr>
          <w:cantSplit/>
        </w:trPr>
        <w:tc>
          <w:tcPr>
            <w:tcW w:w="2137" w:type="dxa"/>
            <w:tcBorders>
              <w:top w:val="dotted" w:sz="4" w:space="0" w:color="auto"/>
              <w:left w:val="dotted" w:sz="4" w:space="0" w:color="auto"/>
              <w:bottom w:val="dotted" w:sz="4" w:space="0" w:color="auto"/>
              <w:right w:val="dotted" w:sz="4" w:space="0" w:color="auto"/>
            </w:tcBorders>
          </w:tcPr>
          <w:p>
            <w:pPr>
              <w:pStyle w:val="NoSpacing"/>
            </w:pPr>
            <w:r>
              <w:t>PostgreSQL reporting replica</w:t>
            </w:r>
          </w:p>
        </w:tc>
        <w:tc>
          <w:tcPr>
            <w:tcW w:w="1540" w:type="dxa"/>
            <w:tcBorders>
              <w:top w:val="dotted" w:sz="4" w:space="0" w:color="auto"/>
              <w:left w:val="dotted" w:sz="4" w:space="0" w:color="auto"/>
              <w:bottom w:val="dotted" w:sz="4" w:space="0" w:color="auto"/>
              <w:right w:val="dotted" w:sz="4" w:space="0" w:color="auto"/>
            </w:tcBorders>
          </w:tcPr>
          <w:p>
            <w:pPr>
              <w:pStyle w:val="NoSpacing"/>
            </w:pPr>
            <w:r>
              <w:t>≈ USD 450</w:t>
            </w:r>
          </w:p>
        </w:tc>
        <w:tc>
          <w:tcPr>
            <w:tcW w:w="5349" w:type="dxa"/>
            <w:tcBorders>
              <w:top w:val="dotted" w:sz="4" w:space="0" w:color="auto"/>
              <w:left w:val="dotted" w:sz="4" w:space="0" w:color="auto"/>
              <w:bottom w:val="dotted" w:sz="4" w:space="0" w:color="auto"/>
              <w:right w:val="dotted" w:sz="4" w:space="0" w:color="auto"/>
            </w:tcBorders>
          </w:tcPr>
          <w:p>
            <w:pPr>
              <w:pStyle w:val="NoSpacing"/>
            </w:pPr>
            <w:r>
              <w:t>db.r6g.xlarge × 730 hours × ≈ USD 0.45 ≈ USD 330; 1 TB of gp3 storage ≈ USD 115. A larger instance is needed as history grows.</w:t>
            </w:r>
          </w:p>
        </w:tc>
      </w:tr>
    </w:tbl>
    <w:p/>
    <w:p>
      <w:r>
        <w:t>All figures are indicative public list prices as at the document date and are not quotations. The spread is a few hundred dollars a month, small against the platform's run cost. Redshift costs about USD 600 a month more than Athena; that difference buys data seconds old, steady dashboard response and no pipeline to build and maintain.</w:t>
      </w:r>
    </w:p>
    <w:p>
      <w:pPr>
        <w:pStyle w:val="Heading2"/>
      </w:pPr>
      <w:bookmarkStart w:id="128" w:name="_Toc300000029"/>
      <w:r>
        <w:t>Sensitivity</w:t>
      </w:r>
      <w:bookmarkEnd w:id="128"/>
    </w:p>
    <w:p>
      <w:r>
        <w:t>Two weights could reasonably be argued higher: cost, where Athena leads, and deployment flexibility, where Athena and the replica lead. Holding the other weights constant:</w:t>
      </w:r>
    </w:p>
    <w:p>
      <w:pPr>
        <w:pStyle w:val="ListParagraph"/>
        <w:numPr>
          <w:ilvl w:val="0"/>
          <w:numId w:val="40"/>
        </w:numPr>
      </w:pPr>
      <w:r>
        <w:t>Cost weight c: Redshift (420 + 3c) ÷ (90 + c) against Athena (370 + 5c) ÷ (90 + c). Athena overtakes only when c exceeds 25, two and a half times its weight and more than isolation or concurrency.</w:t>
      </w:r>
    </w:p>
    <w:p>
      <w:pPr>
        <w:pStyle w:val="ListParagraph"/>
        <w:numPr>
          <w:ilvl w:val="0"/>
          <w:numId w:val="40"/>
        </w:numPr>
      </w:pPr>
      <w:r>
        <w:t>Deployment-flexibility weight w: Redshift (445 + 1w) ÷ (95 + w) against Athena (400 + 4w) ÷ (95 + w). Athena overtakes when w exceeds 15, three times its weight.</w:t>
      </w:r>
    </w:p>
    <w:p>
      <w:r>
        <w:t>Of the three decisions, analytics is the most sensitive to the on-premise weight: if on-premise support counted as much as isolation from the transactional database, the open data lake would win. A firm on-premise mandate would again act as a gate rather than a weight, and would lead to the on-premise profile's PostgreSQL-based warehouse or ClickHouse, with Iceberg tables as the portable middle path.</w:t>
      </w:r>
    </w:p>
    <w:p>
      <w:pPr>
        <w:pStyle w:val="Heading2"/>
      </w:pPr>
      <w:bookmarkStart w:id="129" w:name="_Toc300000030"/>
      <w:r>
        <w:t>Recommendation</w:t>
      </w:r>
      <w:bookmarkEnd w:id="129"/>
    </w:p>
    <w:p>
      <w:r>
        <w:t>Amazon Redshift on provisioned RA3 nodes, fed from RDS for PostgreSQL by zero-ETL integrations from the claims-core and money-and-fraud instance groups, with concurrency scaling for month-end peaks and cross-Region snapshot copy to us-east-2, is recommended as the eClaims analytics store. This is the design in SAD Layer 5, Section 9.3 and the Region failover approach of SAD Section 4.</w:t>
      </w:r>
    </w:p>
    <w:p>
      <w:r>
        <w:t>The recommendation follows the analysis above. Redshift scores highest at 4.50 out of 5. It isolates reporting from claim processing completely, keeps dashboards responsive at month-end, and receives data within seconds through an integration that YCompany does not have to build or run. It also names the change-data-capture mechanism that the SAD leaves open.</w:t>
      </w:r>
    </w:p>
    <w:p>
      <w:r>
        <w:t>It is applied as follows:</w:t>
      </w:r>
    </w:p>
    <w:p>
      <w:pPr>
        <w:pStyle w:val="ListParagraph"/>
        <w:numPr>
          <w:ilvl w:val="0"/>
          <w:numId w:val="40"/>
        </w:numPr>
      </w:pPr>
      <w:r>
        <w:t>Zero-ETL integrations from the claims-core and money-and-fraud instance groups (SAD Section 4, Layer 5), filtered to the tables reporting needs — claims, status history, assignments, repairs, bookings, payments and fraud flags — excluding credentials and document content.</w:t>
      </w:r>
    </w:p>
    <w:p>
      <w:pPr>
        <w:pStyle w:val="ListParagraph"/>
        <w:numPr>
          <w:ilvl w:val="0"/>
          <w:numId w:val="40"/>
        </w:numPr>
      </w:pPr>
      <w:r>
        <w:t>A reporting schema of materialized views; role-based reports as scheduled queries whose results are delivered as a link or notification.</w:t>
      </w:r>
    </w:p>
    <w:p>
      <w:pPr>
        <w:pStyle w:val="ListParagraph"/>
        <w:numPr>
          <w:ilvl w:val="0"/>
          <w:numId w:val="40"/>
        </w:numPr>
      </w:pPr>
      <w:r>
        <w:t>Row-level security by region and role, and dynamic masking of personal fields for analytics users.</w:t>
      </w:r>
    </w:p>
    <w:p>
      <w:pPr>
        <w:pStyle w:val="ListParagraph"/>
        <w:numPr>
          <w:ilvl w:val="0"/>
          <w:numId w:val="40"/>
        </w:numPr>
      </w:pPr>
      <w:r>
        <w:t>Two ra3.large nodes to start, resized as history grows. After six months of measured use, Redshift Serverless is reviewed: if the measured busy hours stay well below a third of the month, Serverless would cost less.</w:t>
      </w:r>
    </w:p>
    <w:p>
      <w:r>
        <w:t>The recommendation is made with its weaknesses on the record. Redshift is AWS-only. Zero-ETL requires RDS for PostgreSQL 15.4 or later and primary keys on replicated tables, and some data types and schema changes need care. A provisioned cluster is billed while idle. Phase 1 data volume is small, so Redshift's scale is headroom rather than need.</w:t>
      </w:r>
    </w:p>
    <w:p>
      <w:r>
        <w:t>Athena on an Iceberg data lake at 4.20 is the credible runner-up. It would be the recommendation if cost or on-premise portability were weighted far higher (Section 4.6), or if eClaims data were to join an open data lake shared with YCompany's other analytics.</w:t>
      </w:r>
    </w:p>
    <w:p>
      <w:r>
        <w:br w:type="page"/>
      </w:r>
    </w:p>
    <w:p>
      <w:pPr>
        <w:pStyle w:val="Heading1"/>
      </w:pPr>
      <w:bookmarkStart w:id="130" w:name="_Toc300000031"/>
      <w:r>
        <w:t>Identity and Access</w:t>
      </w:r>
      <w:bookmarkEnd w:id="130"/>
    </w:p>
    <w:p>
      <w:r>
        <w:t>Three populations sign in to eClaims: customers (up to 200 million accounts, about 2 million active in a month), about 50,000 partner users and about 20,000 staff in six roles. Staff are already in YCompany's corporate directory; customers and partners are not. The decision is therefore which platform holds customer and partner accounts and issues the tokens that every eClaims service checks. Staff single sign-on through Okta, YCompany's workforce identity provider (SAD Layer 6), is common to all four options: each federates staff from Okta.</w:t>
      </w:r>
    </w:p>
    <w:p>
      <w:pPr>
        <w:pStyle w:val="Heading2"/>
      </w:pPr>
      <w:bookmarkStart w:id="131" w:name="_Toc300000032"/>
      <w:r>
        <w:t>Available tools</w:t>
      </w:r>
      <w:bookmarkEnd w:id="131"/>
    </w:p>
    <w:p>
      <w:r>
        <w:t>Four options were carried into detailed comparison: building on the eClaims Auth Service, an AWS-managed customer identity service, a customer identity SaaS, and a self-hosted open-source identity server.</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784"/>
        <w:gridCol w:w="3650"/>
        <w:gridCol w:w="2592"/>
      </w:tblGrid>
      <w:tr>
        <w:trPr>
          <w:cantSplit/>
          <w:tblHeader/>
        </w:trPr>
        <w:tc>
          <w:tcPr>
            <w:tcW w:w="2784"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Option</w:t>
            </w:r>
          </w:p>
        </w:tc>
        <w:tc>
          <w:tcPr>
            <w:tcW w:w="365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Category</w:t>
            </w:r>
          </w:p>
        </w:tc>
        <w:tc>
          <w:tcPr>
            <w:tcW w:w="2592"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Delivery model</w:t>
            </w:r>
          </w:p>
        </w:tc>
      </w:tr>
      <w:tr>
        <w:trPr>
          <w:cantSplit/>
        </w:trPr>
        <w:tc>
          <w:tcPr>
            <w:tcW w:w="2784" w:type="dxa"/>
            <w:tcBorders>
              <w:top w:val="dotted" w:sz="4" w:space="0" w:color="auto"/>
              <w:left w:val="dotted" w:sz="4" w:space="0" w:color="auto"/>
              <w:bottom w:val="dotted" w:sz="4" w:space="0" w:color="auto"/>
              <w:right w:val="dotted" w:sz="4" w:space="0" w:color="auto"/>
            </w:tcBorders>
          </w:tcPr>
          <w:p>
            <w:pPr>
              <w:pStyle w:val="NoSpacing"/>
            </w:pPr>
            <w:r>
              <w:t>eClaims Auth Service with Okta federation</w:t>
            </w:r>
          </w:p>
        </w:tc>
        <w:tc>
          <w:tcPr>
            <w:tcW w:w="3650" w:type="dxa"/>
            <w:tcBorders>
              <w:top w:val="dotted" w:sz="4" w:space="0" w:color="auto"/>
              <w:left w:val="dotted" w:sz="4" w:space="0" w:color="auto"/>
              <w:bottom w:val="dotted" w:sz="4" w:space="0" w:color="auto"/>
              <w:right w:val="dotted" w:sz="4" w:space="0" w:color="auto"/>
            </w:tcBorders>
          </w:tcPr>
          <w:p>
            <w:pPr>
              <w:pStyle w:val="NoSpacing"/>
            </w:pPr>
            <w:r>
              <w:t>Application-owned identity service (OAuth 2.0, OpenID Connect, JWT)</w:t>
            </w:r>
          </w:p>
        </w:tc>
        <w:tc>
          <w:tcPr>
            <w:tcW w:w="2592" w:type="dxa"/>
            <w:tcBorders>
              <w:top w:val="dotted" w:sz="4" w:space="0" w:color="auto"/>
              <w:left w:val="dotted" w:sz="4" w:space="0" w:color="auto"/>
              <w:bottom w:val="dotted" w:sz="4" w:space="0" w:color="auto"/>
              <w:right w:val="dotted" w:sz="4" w:space="0" w:color="auto"/>
            </w:tcBorders>
          </w:tcPr>
          <w:p>
            <w:pPr>
              <w:pStyle w:val="NoSpacing"/>
            </w:pPr>
            <w:r>
              <w:t>Runs in the existing ECS services</w:t>
            </w:r>
          </w:p>
        </w:tc>
      </w:tr>
      <w:tr>
        <w:trPr>
          <w:cantSplit/>
        </w:trPr>
        <w:tc>
          <w:tcPr>
            <w:tcW w:w="2784" w:type="dxa"/>
            <w:tcBorders>
              <w:top w:val="dotted" w:sz="4" w:space="0" w:color="auto"/>
              <w:left w:val="dotted" w:sz="4" w:space="0" w:color="auto"/>
              <w:bottom w:val="dotted" w:sz="4" w:space="0" w:color="auto"/>
              <w:right w:val="dotted" w:sz="4" w:space="0" w:color="auto"/>
            </w:tcBorders>
          </w:tcPr>
          <w:p>
            <w:pPr>
              <w:pStyle w:val="NoSpacing"/>
            </w:pPr>
            <w:r>
              <w:t>Amazon Cognito user pools</w:t>
            </w:r>
          </w:p>
        </w:tc>
        <w:tc>
          <w:tcPr>
            <w:tcW w:w="3650" w:type="dxa"/>
            <w:tcBorders>
              <w:top w:val="dotted" w:sz="4" w:space="0" w:color="auto"/>
              <w:left w:val="dotted" w:sz="4" w:space="0" w:color="auto"/>
              <w:bottom w:val="dotted" w:sz="4" w:space="0" w:color="auto"/>
              <w:right w:val="dotted" w:sz="4" w:space="0" w:color="auto"/>
            </w:tcBorders>
          </w:tcPr>
          <w:p>
            <w:pPr>
              <w:pStyle w:val="NoSpacing"/>
            </w:pPr>
            <w:r>
              <w:t>Managed customer identity and token service</w:t>
            </w:r>
          </w:p>
        </w:tc>
        <w:tc>
          <w:tcPr>
            <w:tcW w:w="2592" w:type="dxa"/>
            <w:tcBorders>
              <w:top w:val="dotted" w:sz="4" w:space="0" w:color="auto"/>
              <w:left w:val="dotted" w:sz="4" w:space="0" w:color="auto"/>
              <w:bottom w:val="dotted" w:sz="4" w:space="0" w:color="auto"/>
              <w:right w:val="dotted" w:sz="4" w:space="0" w:color="auto"/>
            </w:tcBorders>
          </w:tcPr>
          <w:p>
            <w:pPr>
              <w:pStyle w:val="NoSpacing"/>
            </w:pPr>
            <w:r>
              <w:t>AWS-managed</w:t>
            </w:r>
          </w:p>
        </w:tc>
      </w:tr>
      <w:tr>
        <w:trPr>
          <w:cantSplit/>
        </w:trPr>
        <w:tc>
          <w:tcPr>
            <w:tcW w:w="2784" w:type="dxa"/>
            <w:tcBorders>
              <w:top w:val="dotted" w:sz="4" w:space="0" w:color="auto"/>
              <w:left w:val="dotted" w:sz="4" w:space="0" w:color="auto"/>
              <w:bottom w:val="dotted" w:sz="4" w:space="0" w:color="auto"/>
              <w:right w:val="dotted" w:sz="4" w:space="0" w:color="auto"/>
            </w:tcBorders>
          </w:tcPr>
          <w:p>
            <w:pPr>
              <w:pStyle w:val="NoSpacing"/>
            </w:pPr>
            <w:r>
              <w:t>Okta Customer Identity (Auth0)</w:t>
            </w:r>
          </w:p>
        </w:tc>
        <w:tc>
          <w:tcPr>
            <w:tcW w:w="3650" w:type="dxa"/>
            <w:tcBorders>
              <w:top w:val="dotted" w:sz="4" w:space="0" w:color="auto"/>
              <w:left w:val="dotted" w:sz="4" w:space="0" w:color="auto"/>
              <w:bottom w:val="dotted" w:sz="4" w:space="0" w:color="auto"/>
              <w:right w:val="dotted" w:sz="4" w:space="0" w:color="auto"/>
            </w:tcBorders>
          </w:tcPr>
          <w:p>
            <w:pPr>
              <w:pStyle w:val="NoSpacing"/>
            </w:pPr>
            <w:r>
              <w:t>Customer identity SaaS</w:t>
            </w:r>
          </w:p>
        </w:tc>
        <w:tc>
          <w:tcPr>
            <w:tcW w:w="2592" w:type="dxa"/>
            <w:tcBorders>
              <w:top w:val="dotted" w:sz="4" w:space="0" w:color="auto"/>
              <w:left w:val="dotted" w:sz="4" w:space="0" w:color="auto"/>
              <w:bottom w:val="dotted" w:sz="4" w:space="0" w:color="auto"/>
              <w:right w:val="dotted" w:sz="4" w:space="0" w:color="auto"/>
            </w:tcBorders>
          </w:tcPr>
          <w:p>
            <w:pPr>
              <w:pStyle w:val="NoSpacing"/>
            </w:pPr>
            <w:r>
              <w:t>Vendor SaaS, public or private cloud</w:t>
            </w:r>
          </w:p>
        </w:tc>
      </w:tr>
      <w:tr>
        <w:trPr>
          <w:cantSplit/>
        </w:trPr>
        <w:tc>
          <w:tcPr>
            <w:tcW w:w="2784" w:type="dxa"/>
            <w:tcBorders>
              <w:top w:val="dotted" w:sz="4" w:space="0" w:color="auto"/>
              <w:left w:val="dotted" w:sz="4" w:space="0" w:color="auto"/>
              <w:bottom w:val="dotted" w:sz="4" w:space="0" w:color="auto"/>
              <w:right w:val="dotted" w:sz="4" w:space="0" w:color="auto"/>
            </w:tcBorders>
          </w:tcPr>
          <w:p>
            <w:pPr>
              <w:pStyle w:val="NoSpacing"/>
            </w:pPr>
            <w:r>
              <w:t>Keycloak</w:t>
            </w:r>
          </w:p>
        </w:tc>
        <w:tc>
          <w:tcPr>
            <w:tcW w:w="3650" w:type="dxa"/>
            <w:tcBorders>
              <w:top w:val="dotted" w:sz="4" w:space="0" w:color="auto"/>
              <w:left w:val="dotted" w:sz="4" w:space="0" w:color="auto"/>
              <w:bottom w:val="dotted" w:sz="4" w:space="0" w:color="auto"/>
              <w:right w:val="dotted" w:sz="4" w:space="0" w:color="auto"/>
            </w:tcBorders>
          </w:tcPr>
          <w:p>
            <w:pPr>
              <w:pStyle w:val="NoSpacing"/>
            </w:pPr>
            <w:r>
              <w:t>Open-source identity and access management server</w:t>
            </w:r>
          </w:p>
        </w:tc>
        <w:tc>
          <w:tcPr>
            <w:tcW w:w="2592" w:type="dxa"/>
            <w:tcBorders>
              <w:top w:val="dotted" w:sz="4" w:space="0" w:color="auto"/>
              <w:left w:val="dotted" w:sz="4" w:space="0" w:color="auto"/>
              <w:bottom w:val="dotted" w:sz="4" w:space="0" w:color="auto"/>
              <w:right w:val="dotted" w:sz="4" w:space="0" w:color="auto"/>
            </w:tcBorders>
          </w:tcPr>
          <w:p>
            <w:pPr>
              <w:pStyle w:val="NoSpacing"/>
            </w:pPr>
            <w:r>
              <w:t>Self-hosted</w:t>
            </w:r>
          </w:p>
        </w:tc>
      </w:tr>
    </w:tbl>
    <w:p/>
    <w:p>
      <w:r>
        <w:t>Options that were considered and not carried forward are recorded for completeness. Microsoft Entra External ID is credible but would add a further vendor without a capability the four options lack. Okta Workforce Identity is licensed for employees, not for millions of consumers. AWS IAM Identity Center serves workforce access to AWS accounts and applications, not consumer sign-in.</w:t>
      </w:r>
    </w:p>
    <w:p>
      <w:pPr>
        <w:pStyle w:val="Heading3"/>
      </w:pPr>
      <w:bookmarkStart w:id="132" w:name="_Toc300000033"/>
      <w:r>
        <w:t>eClaims Auth Service with Okta federation</w:t>
      </w:r>
      <w:bookmarkEnd w:id="132"/>
    </w:p>
    <w:p>
      <w:r>
        <w:t>The Auth Service, a FastAPI service, holds customer and partner accounts in PostgreSQL, registers customers against the Policy Administration System, and issues short-lived access tokens (15 minutes) and refresh tokens (7 days) carrying the user's role. Staff sign in through Okta, which the Auth Service trusts as an OpenID Connect provider before issuing the same eClaims token. Every service checks tokens itself, using the Auth Service's signing keys cached locally. This is the design in SAD Layers 2 and 6, and the proof of concept's auth-service. For this evaluation the option also includes AWS WAF account takeover prevention on the sign-in endpoints, a managed rule group that the WAF already in the SAD can carry.</w:t>
      </w:r>
    </w:p>
    <w:p>
      <w:pPr>
        <w:pStyle w:val="Heading4"/>
      </w:pPr>
      <w:r>
        <w:t>Key Features</w:t>
      </w:r>
    </w:p>
    <w:p>
      <w:pPr>
        <w:pStyle w:val="ListParagraph"/>
        <w:numPr>
          <w:ilvl w:val="0"/>
          <w:numId w:val="40"/>
        </w:numPr>
      </w:pPr>
      <w:r>
        <w:t>Registration by policy details — the check against the Policy Administration System is ordinary service code.</w:t>
      </w:r>
    </w:p>
    <w:p>
      <w:pPr>
        <w:pStyle w:val="ListParagraph"/>
        <w:numPr>
          <w:ilvl w:val="0"/>
          <w:numId w:val="40"/>
        </w:numPr>
      </w:pPr>
      <w:r>
        <w:t>One token and one role model for three portals — roles and permissions come from the role-permission tables, so they change without a code change.</w:t>
      </w:r>
    </w:p>
    <w:p>
      <w:pPr>
        <w:pStyle w:val="ListParagraph"/>
        <w:numPr>
          <w:ilvl w:val="0"/>
          <w:numId w:val="40"/>
        </w:numPr>
      </w:pPr>
      <w:r>
        <w:t>Staff through Okta — corporate sign-in, MFA and joiner-mover-leaver processes stay in YCompany's directory.</w:t>
      </w:r>
    </w:p>
    <w:p>
      <w:pPr>
        <w:pStyle w:val="ListParagraph"/>
        <w:numPr>
          <w:ilvl w:val="0"/>
          <w:numId w:val="40"/>
        </w:numPr>
      </w:pPr>
      <w:r>
        <w:t>No per-user fee — cost grows with compute and with analysed sign-in attempts, not with monthly active users.</w:t>
      </w:r>
    </w:p>
    <w:p>
      <w:pPr>
        <w:pStyle w:val="ListParagraph"/>
        <w:numPr>
          <w:ilvl w:val="0"/>
          <w:numId w:val="40"/>
        </w:numPr>
      </w:pPr>
      <w:r>
        <w:t>Portable — the service runs on-premise unchanged; in the on-premise profile only the staff federation changes, to Keycloak or to Okta with on-premise connectors.</w:t>
      </w:r>
    </w:p>
    <w:p>
      <w:pPr>
        <w:pStyle w:val="ListParagraph"/>
        <w:numPr>
          <w:ilvl w:val="0"/>
          <w:numId w:val="40"/>
        </w:numPr>
      </w:pPr>
      <w:r>
        <w:t>Credentials in YCompany's own database — passwords hashed with bcrypt, with no vendor holding them.</w:t>
      </w:r>
    </w:p>
    <w:p>
      <w:pPr>
        <w:pStyle w:val="ListParagraph"/>
        <w:numPr>
          <w:ilvl w:val="0"/>
          <w:numId w:val="40"/>
        </w:numPr>
      </w:pPr>
      <w:r>
        <w:t>Security controls to build — MFA, password reset, lockout, breached-password checks and session revocation are the team's code. WAF account takeover prevention adds compromised-credential and credential-stuffing detection at the edge.</w:t>
      </w:r>
    </w:p>
    <w:p>
      <w:pPr>
        <w:pStyle w:val="Heading4"/>
      </w:pPr>
      <w:r>
        <w:t>Pricing Model</w:t>
      </w:r>
    </w:p>
    <w:p>
      <w:r>
        <w:t>There is no licence; the service runs as ECS tasks inside the platform. AWS WAF account takeover prevention costs USD 10 a month per web ACL plus a request fee per sign-in attempt analysed. At its 2022 launch rate of USD 1 per 1,000 attempts, about 8.3 million attempts a month would cost at most about USD 8,300; tiered rates introduced in June 2023 are lower at volume. The engineering cost of the security features is the larger cost and sits in the delivery estimate.</w:t>
      </w:r>
    </w:p>
    <w:p>
      <w:pPr>
        <w:pStyle w:val="Heading3"/>
      </w:pPr>
      <w:bookmarkStart w:id="133" w:name="_Toc300000034"/>
      <w:r>
        <w:t>Amazon Cognito user pools</w:t>
      </w:r>
      <w:bookmarkEnd w:id="133"/>
    </w:p>
    <w:p>
      <w:r>
        <w:t>Amazon Cognito user pools are a managed user directory and OpenID Connect token issuer. Customers and partners are held in a user pool; staff are federated from Okta through SAML or OpenID Connect; Lambda triggers customise sign-up, for the policy check, and token contents, for eClaims roles.</w:t>
      </w:r>
    </w:p>
    <w:p>
      <w:pPr>
        <w:pStyle w:val="Heading4"/>
      </w:pPr>
      <w:r>
        <w:t>Key Features</w:t>
      </w:r>
    </w:p>
    <w:p>
      <w:pPr>
        <w:pStyle w:val="ListParagraph"/>
        <w:numPr>
          <w:ilvl w:val="0"/>
          <w:numId w:val="40"/>
        </w:numPr>
      </w:pPr>
      <w:r>
        <w:t>Managed sign-up, sign-in, MFA, password policy and account recovery, with hosted sign-in pages.</w:t>
      </w:r>
    </w:p>
    <w:p>
      <w:pPr>
        <w:pStyle w:val="ListParagraph"/>
        <w:numPr>
          <w:ilvl w:val="0"/>
          <w:numId w:val="40"/>
        </w:numPr>
      </w:pPr>
      <w:r>
        <w:t>Threat protection in the Plus tier — compromised-credential detection and adaptive authentication.</w:t>
      </w:r>
    </w:p>
    <w:p>
      <w:pPr>
        <w:pStyle w:val="ListParagraph"/>
        <w:numPr>
          <w:ilvl w:val="0"/>
          <w:numId w:val="40"/>
        </w:numPr>
      </w:pPr>
      <w:r>
        <w:t>Lambda triggers — pre sign-up for the policy check, pre token generation to add eClaims roles.</w:t>
      </w:r>
    </w:p>
    <w:p>
      <w:pPr>
        <w:pStyle w:val="ListParagraph"/>
        <w:numPr>
          <w:ilvl w:val="0"/>
          <w:numId w:val="40"/>
        </w:numPr>
      </w:pPr>
      <w:r>
        <w:t>Federation with Okta for staff.</w:t>
      </w:r>
    </w:p>
    <w:p>
      <w:pPr>
        <w:pStyle w:val="ListParagraph"/>
        <w:numPr>
          <w:ilvl w:val="0"/>
          <w:numId w:val="40"/>
        </w:numPr>
      </w:pPr>
      <w:r>
        <w:t>Managed scale, within request-rate quotas that must be raised for sign-in peaks.</w:t>
      </w:r>
    </w:p>
    <w:p>
      <w:pPr>
        <w:pStyle w:val="ListParagraph"/>
        <w:numPr>
          <w:ilvl w:val="0"/>
          <w:numId w:val="40"/>
        </w:numPr>
      </w:pPr>
      <w:r>
        <w:t>AWS-only, and password hashes cannot be exported, so leaving Cognito means a password reset or a gradual migration at sign-in.</w:t>
      </w:r>
    </w:p>
    <w:p>
      <w:pPr>
        <w:pStyle w:val="Heading4"/>
      </w:pPr>
      <w:r>
        <w:t>Pricing Model</w:t>
      </w:r>
    </w:p>
    <w:p>
      <w:r>
        <w:t>Billed per monthly active user (MAU) by feature tier. Lite costs USD 0.0055 per MAU from 10,001 to 100,000 and USD 0.0046 beyond. Essentials costs USD 0.015 per MAU after 10,000 free. Plus, which includes threat protection, costs USD 0.020 per MAU. Users who sign in through SAML or OpenID Connect federation cost USD 0.015 per MAU after the first 50.</w:t>
      </w:r>
    </w:p>
    <w:p>
      <w:pPr>
        <w:pStyle w:val="Heading3"/>
      </w:pPr>
      <w:bookmarkStart w:id="134" w:name="_Toc300000035"/>
      <w:r>
        <w:t>Okta Customer Identity (Auth0)</w:t>
      </w:r>
      <w:bookmarkEnd w:id="134"/>
    </w:p>
    <w:p>
      <w:r>
        <w:t>Okta Customer Identity, built on Auth0, is a customer identity SaaS. Universal Login handles sign-in; Actions run custom code for the policy check and for role claims; staff are federated from Okta Workforce Identity.</w:t>
      </w:r>
    </w:p>
    <w:p>
      <w:pPr>
        <w:pStyle w:val="Heading4"/>
      </w:pPr>
      <w:r>
        <w:t>Key Features</w:t>
      </w:r>
    </w:p>
    <w:p>
      <w:pPr>
        <w:pStyle w:val="ListParagraph"/>
        <w:numPr>
          <w:ilvl w:val="0"/>
          <w:numId w:val="40"/>
        </w:numPr>
      </w:pPr>
      <w:r>
        <w:t>The strongest security controls out of the box — bot detection, breached-password detection, brute-force protection and adaptive MFA.</w:t>
      </w:r>
    </w:p>
    <w:p>
      <w:pPr>
        <w:pStyle w:val="ListParagraph"/>
        <w:numPr>
          <w:ilvl w:val="0"/>
          <w:numId w:val="40"/>
        </w:numPr>
      </w:pPr>
      <w:r>
        <w:t>Actions — custom logic at sign-up, sign-in and token issue.</w:t>
      </w:r>
    </w:p>
    <w:p>
      <w:pPr>
        <w:pStyle w:val="ListParagraph"/>
        <w:numPr>
          <w:ilvl w:val="0"/>
          <w:numId w:val="40"/>
        </w:numPr>
      </w:pPr>
      <w:r>
        <w:t>Organizations — partner workshops as organisations with their own members and roles.</w:t>
      </w:r>
    </w:p>
    <w:p>
      <w:pPr>
        <w:pStyle w:val="ListParagraph"/>
        <w:numPr>
          <w:ilvl w:val="0"/>
          <w:numId w:val="40"/>
        </w:numPr>
      </w:pPr>
      <w:r>
        <w:t>Log streaming — sign-in events streamed to the audit trail and to CloudWatch.</w:t>
      </w:r>
    </w:p>
    <w:p>
      <w:pPr>
        <w:pStyle w:val="ListParagraph"/>
        <w:numPr>
          <w:ilvl w:val="0"/>
          <w:numId w:val="40"/>
        </w:numPr>
      </w:pPr>
      <w:r>
        <w:t>Private cloud deployment for data isolation, at a higher tier.</w:t>
      </w:r>
    </w:p>
    <w:p>
      <w:pPr>
        <w:pStyle w:val="ListParagraph"/>
        <w:numPr>
          <w:ilvl w:val="0"/>
          <w:numId w:val="40"/>
        </w:numPr>
      </w:pPr>
      <w:r>
        <w:t>Password hashes exportable through vendor support.</w:t>
      </w:r>
    </w:p>
    <w:p>
      <w:pPr>
        <w:pStyle w:val="Heading4"/>
      </w:pPr>
      <w:r>
        <w:t>Pricing Model</w:t>
      </w:r>
    </w:p>
    <w:p>
      <w:r>
        <w:t>Self-service plans are priced per MAU up to tens of thousands of users; volumes in the millions are quoted under an enterprise agreement. At about 2 million MAU it is expected to be the most expensive of the four options.</w:t>
      </w:r>
    </w:p>
    <w:p>
      <w:pPr>
        <w:pStyle w:val="Heading3"/>
      </w:pPr>
      <w:bookmarkStart w:id="135" w:name="_Toc300000036"/>
      <w:r>
        <w:t>Keycloak</w:t>
      </w:r>
      <w:bookmarkEnd w:id="135"/>
    </w:p>
    <w:p>
      <w:r>
        <w:t>Keycloak is an open-source identity and access management server, a Cloud Native Computing Foundation project. It provides realms, clients and roles over OpenID Connect and SAML, federates staff from Okta, and is self-hosted on ECS or Kubernetes with a PostgreSQL database.</w:t>
      </w:r>
    </w:p>
    <w:p>
      <w:pPr>
        <w:pStyle w:val="Heading4"/>
      </w:pPr>
      <w:r>
        <w:t>Key Features</w:t>
      </w:r>
    </w:p>
    <w:p>
      <w:pPr>
        <w:pStyle w:val="ListParagraph"/>
        <w:numPr>
          <w:ilvl w:val="0"/>
          <w:numId w:val="40"/>
        </w:numPr>
      </w:pPr>
      <w:r>
        <w:t>Complete OpenID Connect and SAML support, with fine-grained realm and client roles.</w:t>
      </w:r>
    </w:p>
    <w:p>
      <w:pPr>
        <w:pStyle w:val="ListParagraph"/>
        <w:numPr>
          <w:ilvl w:val="0"/>
          <w:numId w:val="40"/>
        </w:numPr>
      </w:pPr>
      <w:r>
        <w:t>Brute-force detection, one-time-password and WebAuthn MFA.</w:t>
      </w:r>
    </w:p>
    <w:p>
      <w:pPr>
        <w:pStyle w:val="ListParagraph"/>
        <w:numPr>
          <w:ilvl w:val="0"/>
          <w:numId w:val="40"/>
        </w:numPr>
      </w:pPr>
      <w:r>
        <w:t>Custom flows through Java service-provider interfaces, for the policy check.</w:t>
      </w:r>
    </w:p>
    <w:p>
      <w:pPr>
        <w:pStyle w:val="ListParagraph"/>
        <w:numPr>
          <w:ilvl w:val="0"/>
          <w:numId w:val="40"/>
        </w:numPr>
      </w:pPr>
      <w:r>
        <w:t>No licence, and native on-premise operation — it is the on-premise profile's identity choice.</w:t>
      </w:r>
    </w:p>
    <w:p>
      <w:pPr>
        <w:pStyle w:val="ListParagraph"/>
        <w:numPr>
          <w:ilvl w:val="0"/>
          <w:numId w:val="40"/>
        </w:numPr>
      </w:pPr>
      <w:r>
        <w:t>Operating surface — a clustered server with distributed caching, frequent releases and security patches to apply.</w:t>
      </w:r>
    </w:p>
    <w:p>
      <w:pPr>
        <w:pStyle w:val="ListParagraph"/>
        <w:numPr>
          <w:ilvl w:val="0"/>
          <w:numId w:val="40"/>
        </w:numPr>
      </w:pPr>
      <w:r>
        <w:t>No breached-password or bot detection out of the box.</w:t>
      </w:r>
    </w:p>
    <w:p>
      <w:pPr>
        <w:pStyle w:val="Heading4"/>
      </w:pPr>
      <w:r>
        <w:t>Pricing Model</w:t>
      </w:r>
    </w:p>
    <w:p>
      <w:r>
        <w:t>No licence. Infrastructure for a highly available cluster with its database is about USD 1,000–1,500 a month across two Regions, plus 0.5–1.0 FTE of operation. Commercial support is available through the Red Hat build of Keycloak.</w:t>
      </w:r>
    </w:p>
    <w:p>
      <w:pPr>
        <w:pStyle w:val="Heading2"/>
      </w:pPr>
      <w:bookmarkStart w:id="136" w:name="_Toc300000037"/>
      <w:r>
        <w:t>Point Matrix</w:t>
      </w:r>
      <w:bookmarkEnd w:id="136"/>
    </w:p>
    <w:p>
      <w:r>
        <w:t>Weights total 100 and were fixed before scoring, on the same 15 / 10 / 5 scheme as Section 3.2.</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731"/>
        <w:gridCol w:w="1060"/>
        <w:gridCol w:w="5235"/>
      </w:tblGrid>
      <w:tr>
        <w:trPr>
          <w:cantSplit/>
          <w:tblHeader/>
        </w:trPr>
        <w:tc>
          <w:tcPr>
            <w:tcW w:w="2731"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Evaluation Attribute</w:t>
            </w:r>
          </w:p>
        </w:tc>
        <w:tc>
          <w:tcPr>
            <w:tcW w:w="106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Weight</w:t>
            </w:r>
          </w:p>
        </w:tc>
        <w:tc>
          <w:tcPr>
            <w:tcW w:w="5235"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Why it carries this weight</w:t>
            </w:r>
          </w:p>
        </w:tc>
      </w:tr>
      <w:tr>
        <w:trPr>
          <w:cantSplit/>
        </w:trPr>
        <w:tc>
          <w:tcPr>
            <w:tcW w:w="2731" w:type="dxa"/>
            <w:tcBorders>
              <w:top w:val="dotted" w:sz="4" w:space="0" w:color="auto"/>
              <w:left w:val="dotted" w:sz="4" w:space="0" w:color="auto"/>
              <w:bottom w:val="dotted" w:sz="4" w:space="0" w:color="auto"/>
              <w:right w:val="dotted" w:sz="4" w:space="0" w:color="auto"/>
            </w:tcBorders>
          </w:tcPr>
          <w:p>
            <w:pPr>
              <w:pStyle w:val="NoSpacing"/>
            </w:pPr>
            <w:r>
              <w:t>Security controls out of the box</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5235" w:type="dxa"/>
            <w:tcBorders>
              <w:top w:val="dotted" w:sz="4" w:space="0" w:color="auto"/>
              <w:left w:val="dotted" w:sz="4" w:space="0" w:color="auto"/>
              <w:bottom w:val="dotted" w:sz="4" w:space="0" w:color="auto"/>
              <w:right w:val="dotted" w:sz="4" w:space="0" w:color="auto"/>
            </w:tcBorders>
          </w:tcPr>
          <w:p>
            <w:pPr>
              <w:pStyle w:val="NoSpacing"/>
            </w:pPr>
            <w:r>
              <w:t>OWASP Top 10 (identification and authentication failures) and industry-proven security standards; customer accounts with payment access are a fraud target.</w:t>
            </w:r>
          </w:p>
        </w:tc>
      </w:tr>
      <w:tr>
        <w:trPr>
          <w:cantSplit/>
        </w:trPr>
        <w:tc>
          <w:tcPr>
            <w:tcW w:w="2731" w:type="dxa"/>
            <w:tcBorders>
              <w:top w:val="dotted" w:sz="4" w:space="0" w:color="auto"/>
              <w:left w:val="dotted" w:sz="4" w:space="0" w:color="auto"/>
              <w:bottom w:val="dotted" w:sz="4" w:space="0" w:color="auto"/>
              <w:right w:val="dotted" w:sz="4" w:space="0" w:color="auto"/>
            </w:tcBorders>
          </w:tcPr>
          <w:p>
            <w:pPr>
              <w:pStyle w:val="NoSpacing"/>
            </w:pPr>
            <w:r>
              <w:t>Registration by policy details</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5235" w:type="dxa"/>
            <w:tcBorders>
              <w:top w:val="dotted" w:sz="4" w:space="0" w:color="auto"/>
              <w:left w:val="dotted" w:sz="4" w:space="0" w:color="auto"/>
              <w:bottom w:val="dotted" w:sz="4" w:space="0" w:color="auto"/>
              <w:right w:val="dotted" w:sz="4" w:space="0" w:color="auto"/>
            </w:tcBorders>
          </w:tcPr>
          <w:p>
            <w:pPr>
              <w:pStyle w:val="NoSpacing"/>
            </w:pPr>
            <w:r>
              <w:t>Case study: a customer creates a login using their policy details, checked against the Policy Administration System.</w:t>
            </w:r>
          </w:p>
        </w:tc>
      </w:tr>
      <w:tr>
        <w:trPr>
          <w:cantSplit/>
        </w:trPr>
        <w:tc>
          <w:tcPr>
            <w:tcW w:w="2731" w:type="dxa"/>
            <w:tcBorders>
              <w:top w:val="dotted" w:sz="4" w:space="0" w:color="auto"/>
              <w:left w:val="dotted" w:sz="4" w:space="0" w:color="auto"/>
              <w:bottom w:val="dotted" w:sz="4" w:space="0" w:color="auto"/>
              <w:right w:val="dotted" w:sz="4" w:space="0" w:color="auto"/>
            </w:tcBorders>
          </w:tcPr>
          <w:p>
            <w:pPr>
              <w:pStyle w:val="NoSpacing"/>
            </w:pPr>
            <w:r>
              <w:t>One role model and token for three portals</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235" w:type="dxa"/>
            <w:tcBorders>
              <w:top w:val="dotted" w:sz="4" w:space="0" w:color="auto"/>
              <w:left w:val="dotted" w:sz="4" w:space="0" w:color="auto"/>
              <w:bottom w:val="dotted" w:sz="4" w:space="0" w:color="auto"/>
              <w:right w:val="dotted" w:sz="4" w:space="0" w:color="auto"/>
            </w:tcBorders>
          </w:tcPr>
          <w:p>
            <w:pPr>
              <w:pStyle w:val="NoSpacing"/>
            </w:pPr>
            <w:r>
              <w:t>Role-based authentication and authorisation across the Customer, Partner and Internal Portals; roles configurable without code.</w:t>
            </w:r>
          </w:p>
        </w:tc>
      </w:tr>
      <w:tr>
        <w:trPr>
          <w:cantSplit/>
        </w:trPr>
        <w:tc>
          <w:tcPr>
            <w:tcW w:w="2731" w:type="dxa"/>
            <w:tcBorders>
              <w:top w:val="dotted" w:sz="4" w:space="0" w:color="auto"/>
              <w:left w:val="dotted" w:sz="4" w:space="0" w:color="auto"/>
              <w:bottom w:val="dotted" w:sz="4" w:space="0" w:color="auto"/>
              <w:right w:val="dotted" w:sz="4" w:space="0" w:color="auto"/>
            </w:tcBorders>
          </w:tcPr>
          <w:p>
            <w:pPr>
              <w:pStyle w:val="NoSpacing"/>
            </w:pPr>
            <w:r>
              <w:t>Staff single sign-on through Okta</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235" w:type="dxa"/>
            <w:tcBorders>
              <w:top w:val="dotted" w:sz="4" w:space="0" w:color="auto"/>
              <w:left w:val="dotted" w:sz="4" w:space="0" w:color="auto"/>
              <w:bottom w:val="dotted" w:sz="4" w:space="0" w:color="auto"/>
              <w:right w:val="dotted" w:sz="4" w:space="0" w:color="auto"/>
            </w:tcBorders>
          </w:tcPr>
          <w:p>
            <w:pPr>
              <w:pStyle w:val="NoSpacing"/>
            </w:pPr>
            <w:r>
              <w:t>Internal users sign in with their corporate identity, and joiners and leavers are handled centrally.</w:t>
            </w:r>
          </w:p>
        </w:tc>
      </w:tr>
      <w:tr>
        <w:trPr>
          <w:cantSplit/>
        </w:trPr>
        <w:tc>
          <w:tcPr>
            <w:tcW w:w="2731" w:type="dxa"/>
            <w:tcBorders>
              <w:top w:val="dotted" w:sz="4" w:space="0" w:color="auto"/>
              <w:left w:val="dotted" w:sz="4" w:space="0" w:color="auto"/>
              <w:bottom w:val="dotted" w:sz="4" w:space="0" w:color="auto"/>
              <w:right w:val="dotted" w:sz="4" w:space="0" w:color="auto"/>
            </w:tcBorders>
          </w:tcPr>
          <w:p>
            <w:pPr>
              <w:pStyle w:val="NoSpacing"/>
            </w:pPr>
            <w:r>
              <w:t>Scale and sign-in peaks</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235" w:type="dxa"/>
            <w:tcBorders>
              <w:top w:val="dotted" w:sz="4" w:space="0" w:color="auto"/>
              <w:left w:val="dotted" w:sz="4" w:space="0" w:color="auto"/>
              <w:bottom w:val="dotted" w:sz="4" w:space="0" w:color="auto"/>
              <w:right w:val="dotted" w:sz="4" w:space="0" w:color="auto"/>
            </w:tcBorders>
          </w:tcPr>
          <w:p>
            <w:pPr>
              <w:pStyle w:val="NoSpacing"/>
            </w:pPr>
            <w:r>
              <w:t>Up to 200 million accounts, with sign-ins rising sharply on a catastrophe day.</w:t>
            </w:r>
          </w:p>
        </w:tc>
      </w:tr>
      <w:tr>
        <w:trPr>
          <w:cantSplit/>
        </w:trPr>
        <w:tc>
          <w:tcPr>
            <w:tcW w:w="2731" w:type="dxa"/>
            <w:tcBorders>
              <w:top w:val="dotted" w:sz="4" w:space="0" w:color="auto"/>
              <w:left w:val="dotted" w:sz="4" w:space="0" w:color="auto"/>
              <w:bottom w:val="dotted" w:sz="4" w:space="0" w:color="auto"/>
              <w:right w:val="dotted" w:sz="4" w:space="0" w:color="auto"/>
            </w:tcBorders>
          </w:tcPr>
          <w:p>
            <w:pPr>
              <w:pStyle w:val="NoSpacing"/>
            </w:pPr>
            <w:r>
              <w:t>Operational overhead (5 = lowest overhead)</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235" w:type="dxa"/>
            <w:tcBorders>
              <w:top w:val="dotted" w:sz="4" w:space="0" w:color="auto"/>
              <w:left w:val="dotted" w:sz="4" w:space="0" w:color="auto"/>
              <w:bottom w:val="dotted" w:sz="4" w:space="0" w:color="auto"/>
              <w:right w:val="dotted" w:sz="4" w:space="0" w:color="auto"/>
            </w:tcBorders>
          </w:tcPr>
          <w:p>
            <w:pPr>
              <w:pStyle w:val="NoSpacing"/>
            </w:pPr>
            <w:r>
              <w:t>A lean team running identity 24×7 in two Regions.</w:t>
            </w:r>
          </w:p>
        </w:tc>
      </w:tr>
      <w:tr>
        <w:trPr>
          <w:cantSplit/>
        </w:trPr>
        <w:tc>
          <w:tcPr>
            <w:tcW w:w="2731" w:type="dxa"/>
            <w:tcBorders>
              <w:top w:val="dotted" w:sz="4" w:space="0" w:color="auto"/>
              <w:left w:val="dotted" w:sz="4" w:space="0" w:color="auto"/>
              <w:bottom w:val="dotted" w:sz="4" w:space="0" w:color="auto"/>
              <w:right w:val="dotted" w:sz="4" w:space="0" w:color="auto"/>
            </w:tcBorders>
          </w:tcPr>
          <w:p>
            <w:pPr>
              <w:pStyle w:val="NoSpacing"/>
            </w:pPr>
            <w:r>
              <w:t>Cost at eClaims volume</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235" w:type="dxa"/>
            <w:tcBorders>
              <w:top w:val="dotted" w:sz="4" w:space="0" w:color="auto"/>
              <w:left w:val="dotted" w:sz="4" w:space="0" w:color="auto"/>
              <w:bottom w:val="dotted" w:sz="4" w:space="0" w:color="auto"/>
              <w:right w:val="dotted" w:sz="4" w:space="0" w:color="auto"/>
            </w:tcBorders>
          </w:tcPr>
          <w:p>
            <w:pPr>
              <w:pStyle w:val="NoSpacing"/>
            </w:pPr>
            <w:r>
              <w:t>About 2 million customer MAU, and more if the portal is used beyond claims.</w:t>
            </w:r>
          </w:p>
        </w:tc>
      </w:tr>
      <w:tr>
        <w:trPr>
          <w:cantSplit/>
        </w:trPr>
        <w:tc>
          <w:tcPr>
            <w:tcW w:w="2731" w:type="dxa"/>
            <w:tcBorders>
              <w:top w:val="dotted" w:sz="4" w:space="0" w:color="auto"/>
              <w:left w:val="dotted" w:sz="4" w:space="0" w:color="auto"/>
              <w:bottom w:val="dotted" w:sz="4" w:space="0" w:color="auto"/>
              <w:right w:val="dotted" w:sz="4" w:space="0" w:color="auto"/>
            </w:tcBorders>
          </w:tcPr>
          <w:p>
            <w:pPr>
              <w:pStyle w:val="NoSpacing"/>
            </w:pPr>
            <w:r>
              <w:t>Deployment flexibility (cloud and on-premise)</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5235" w:type="dxa"/>
            <w:tcBorders>
              <w:top w:val="dotted" w:sz="4" w:space="0" w:color="auto"/>
              <w:left w:val="dotted" w:sz="4" w:space="0" w:color="auto"/>
              <w:bottom w:val="dotted" w:sz="4" w:space="0" w:color="auto"/>
              <w:right w:val="dotted" w:sz="4" w:space="0" w:color="auto"/>
            </w:tcBorders>
          </w:tcPr>
          <w:p>
            <w:pPr>
              <w:pStyle w:val="NoSpacing"/>
            </w:pPr>
            <w:r>
              <w:t>The NFR requires on-premise support; SAD Assumption 1 makes AWS the Phase 1 target.</w:t>
            </w:r>
          </w:p>
        </w:tc>
      </w:tr>
      <w:tr>
        <w:trPr>
          <w:cantSplit/>
        </w:trPr>
        <w:tc>
          <w:tcPr>
            <w:tcW w:w="2731" w:type="dxa"/>
            <w:tcBorders>
              <w:top w:val="dotted" w:sz="4" w:space="0" w:color="auto"/>
              <w:left w:val="dotted" w:sz="4" w:space="0" w:color="auto"/>
              <w:bottom w:val="dotted" w:sz="4" w:space="0" w:color="auto"/>
              <w:right w:val="dotted" w:sz="4" w:space="0" w:color="auto"/>
            </w:tcBorders>
          </w:tcPr>
          <w:p>
            <w:pPr>
              <w:pStyle w:val="NoSpacing"/>
            </w:pPr>
            <w:r>
              <w:t>Credential portability</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5235" w:type="dxa"/>
            <w:tcBorders>
              <w:top w:val="dotted" w:sz="4" w:space="0" w:color="auto"/>
              <w:left w:val="dotted" w:sz="4" w:space="0" w:color="auto"/>
              <w:bottom w:val="dotted" w:sz="4" w:space="0" w:color="auto"/>
              <w:right w:val="dotted" w:sz="4" w:space="0" w:color="auto"/>
            </w:tcBorders>
          </w:tcPr>
          <w:p>
            <w:pPr>
              <w:pStyle w:val="NoSpacing"/>
            </w:pPr>
            <w:r>
              <w:t>The exit cost: customers must not be forced to reset their passwords to leave a platform.</w:t>
            </w:r>
          </w:p>
        </w:tc>
      </w:tr>
      <w:tr>
        <w:trPr>
          <w:cantSplit/>
        </w:trPr>
        <w:tc>
          <w:tcPr>
            <w:tcW w:w="2731" w:type="dxa"/>
            <w:tcBorders>
              <w:top w:val="dotted" w:sz="4" w:space="0" w:color="auto"/>
              <w:left w:val="dotted" w:sz="4" w:space="0" w:color="auto"/>
              <w:bottom w:val="dotted" w:sz="4" w:space="0" w:color="auto"/>
              <w:right w:val="dotted" w:sz="4" w:space="0" w:color="auto"/>
            </w:tcBorders>
          </w:tcPr>
          <w:p>
            <w:pPr>
              <w:pStyle w:val="NoSpacing"/>
            </w:pPr>
            <w:r>
              <w:t>Audit of sign-in events</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5235" w:type="dxa"/>
            <w:tcBorders>
              <w:top w:val="dotted" w:sz="4" w:space="0" w:color="auto"/>
              <w:left w:val="dotted" w:sz="4" w:space="0" w:color="auto"/>
              <w:bottom w:val="dotted" w:sz="4" w:space="0" w:color="auto"/>
              <w:right w:val="dotted" w:sz="4" w:space="0" w:color="auto"/>
            </w:tcBorders>
          </w:tcPr>
          <w:p>
            <w:pPr>
              <w:pStyle w:val="NoSpacing"/>
            </w:pPr>
            <w:r>
              <w:t>Non-repudiation: who signed in, when, from where and with which factor. Every option meets the baseline.</w:t>
            </w:r>
          </w:p>
        </w:tc>
      </w:tr>
      <w:tr>
        <w:trPr>
          <w:cantSplit/>
        </w:trPr>
        <w:tc>
          <w:tcPr>
            <w:tcW w:w="2731" w:type="dxa"/>
            <w:tcBorders>
              <w:top w:val="dotted" w:sz="4" w:space="0" w:color="auto"/>
              <w:left w:val="dotted" w:sz="4" w:space="0" w:color="auto"/>
              <w:bottom w:val="dotted" w:sz="4" w:space="0" w:color="auto"/>
              <w:right w:val="dotted" w:sz="4" w:space="0" w:color="auto"/>
            </w:tcBorders>
          </w:tcPr>
          <w:p>
            <w:pPr>
              <w:pStyle w:val="NoSpacing"/>
            </w:pPr>
            <w:r>
              <w:t>Delivery effort for Phase 1</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5235" w:type="dxa"/>
            <w:tcBorders>
              <w:top w:val="dotted" w:sz="4" w:space="0" w:color="auto"/>
              <w:left w:val="dotted" w:sz="4" w:space="0" w:color="auto"/>
              <w:bottom w:val="dotted" w:sz="4" w:space="0" w:color="auto"/>
              <w:right w:val="dotted" w:sz="4" w:space="0" w:color="auto"/>
            </w:tcBorders>
          </w:tcPr>
          <w:p>
            <w:pPr>
              <w:pStyle w:val="NoSpacing"/>
            </w:pPr>
            <w:r>
              <w:t>Features to build rather than configure, within the Phase 1 estimate.</w:t>
            </w:r>
          </w:p>
        </w:tc>
      </w:tr>
      <w:tr>
        <w:trPr>
          <w:cantSplit/>
        </w:trPr>
        <w:tc>
          <w:tcPr>
            <w:tcW w:w="2731" w:type="dxa"/>
            <w:tcBorders>
              <w:top w:val="dotted" w:sz="4" w:space="0" w:color="auto"/>
              <w:left w:val="dotted" w:sz="4" w:space="0" w:color="auto"/>
              <w:bottom w:val="dotted" w:sz="4" w:space="0" w:color="auto"/>
              <w:right w:val="dotted" w:sz="4" w:space="0" w:color="auto"/>
            </w:tcBorders>
          </w:tcPr>
          <w:p>
            <w:pPr>
              <w:pStyle w:val="NoSpacing"/>
            </w:pPr>
            <w:r>
              <w:t>Total</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100</w:t>
            </w:r>
          </w:p>
        </w:tc>
        <w:tc>
          <w:tcPr>
            <w:tcW w:w="5235" w:type="dxa"/>
            <w:tcBorders>
              <w:top w:val="dotted" w:sz="4" w:space="0" w:color="auto"/>
              <w:left w:val="dotted" w:sz="4" w:space="0" w:color="auto"/>
              <w:bottom w:val="dotted" w:sz="4" w:space="0" w:color="auto"/>
              <w:right w:val="dotted" w:sz="4" w:space="0" w:color="auto"/>
            </w:tcBorders>
          </w:tcPr>
          <w:p>
            <w:pPr>
              <w:pStyle w:val="NoSpacing"/>
            </w:pPr>
          </w:p>
        </w:tc>
      </w:tr>
    </w:tbl>
    <w:p/>
    <w:p>
      <w:pPr>
        <w:pStyle w:val="Heading2"/>
      </w:pPr>
      <w:bookmarkStart w:id="137" w:name="_Toc300000038"/>
      <w:r>
        <w:t>Comparison 1 — Weighted Scoring</w:t>
      </w:r>
      <w:bookmarkEnd w:id="137"/>
    </w:p>
    <w:p>
      <w:r>
        <w:t>Scoring legend as in Section 3.3.</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57"/>
        <w:gridCol w:w="1060"/>
        <w:gridCol w:w="1747"/>
        <w:gridCol w:w="1477"/>
        <w:gridCol w:w="1085"/>
        <w:gridCol w:w="1300"/>
      </w:tblGrid>
      <w:tr>
        <w:trPr>
          <w:cantSplit/>
          <w:tblHeader/>
        </w:trPr>
        <w:tc>
          <w:tcPr>
            <w:tcW w:w="2357"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Evaluation Attribute</w:t>
            </w:r>
          </w:p>
        </w:tc>
        <w:tc>
          <w:tcPr>
            <w:tcW w:w="106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Weight</w:t>
            </w:r>
          </w:p>
        </w:tc>
        <w:tc>
          <w:tcPr>
            <w:tcW w:w="1747"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Auth Service + Okta</w:t>
            </w:r>
          </w:p>
        </w:tc>
        <w:tc>
          <w:tcPr>
            <w:tcW w:w="1477"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Amazon Cognito</w:t>
            </w:r>
          </w:p>
        </w:tc>
        <w:tc>
          <w:tcPr>
            <w:tcW w:w="1085"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Auth0</w:t>
            </w:r>
          </w:p>
        </w:tc>
        <w:tc>
          <w:tcPr>
            <w:tcW w:w="130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Keycloak</w:t>
            </w:r>
          </w:p>
        </w:tc>
      </w:tr>
      <w:tr>
        <w:trPr>
          <w:cantSplit/>
        </w:trPr>
        <w:tc>
          <w:tcPr>
            <w:tcW w:w="2357" w:type="dxa"/>
            <w:tcBorders>
              <w:top w:val="dotted" w:sz="4" w:space="0" w:color="auto"/>
              <w:left w:val="dotted" w:sz="4" w:space="0" w:color="auto"/>
              <w:bottom w:val="dotted" w:sz="4" w:space="0" w:color="auto"/>
              <w:right w:val="dotted" w:sz="4" w:space="0" w:color="auto"/>
            </w:tcBorders>
          </w:tcPr>
          <w:p>
            <w:pPr>
              <w:pStyle w:val="NoSpacing"/>
            </w:pPr>
            <w:r>
              <w:t>Security controls out of the box</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1747" w:type="dxa"/>
            <w:tcBorders>
              <w:top w:val="dotted" w:sz="4" w:space="0" w:color="auto"/>
              <w:left w:val="dotted" w:sz="4" w:space="0" w:color="auto"/>
              <w:bottom w:val="dotted" w:sz="4" w:space="0" w:color="auto"/>
              <w:right w:val="dotted" w:sz="4" w:space="0" w:color="auto"/>
            </w:tcBorders>
          </w:tcPr>
          <w:p>
            <w:pPr>
              <w:pStyle w:val="NoSpacing"/>
            </w:pPr>
            <w:r>
              <w:t>3</w:t>
            </w:r>
          </w:p>
        </w:tc>
        <w:tc>
          <w:tcPr>
            <w:tcW w:w="1477" w:type="dxa"/>
            <w:tcBorders>
              <w:top w:val="dotted" w:sz="4" w:space="0" w:color="auto"/>
              <w:left w:val="dotted" w:sz="4" w:space="0" w:color="auto"/>
              <w:bottom w:val="dotted" w:sz="4" w:space="0" w:color="auto"/>
              <w:right w:val="dotted" w:sz="4" w:space="0" w:color="auto"/>
            </w:tcBorders>
          </w:tcPr>
          <w:p>
            <w:pPr>
              <w:pStyle w:val="NoSpacing"/>
            </w:pPr>
            <w:r>
              <w:t>4</w:t>
            </w:r>
          </w:p>
        </w:tc>
        <w:tc>
          <w:tcPr>
            <w:tcW w:w="1085" w:type="dxa"/>
            <w:tcBorders>
              <w:top w:val="dotted" w:sz="4" w:space="0" w:color="auto"/>
              <w:left w:val="dotted" w:sz="4" w:space="0" w:color="auto"/>
              <w:bottom w:val="dotted" w:sz="4" w:space="0" w:color="auto"/>
              <w:right w:val="dotted" w:sz="4" w:space="0" w:color="auto"/>
            </w:tcBorders>
          </w:tcPr>
          <w:p>
            <w:pPr>
              <w:pStyle w:val="NoSpacing"/>
            </w:pPr>
            <w:r>
              <w:t>5</w:t>
            </w:r>
          </w:p>
        </w:tc>
        <w:tc>
          <w:tcPr>
            <w:tcW w:w="1300" w:type="dxa"/>
            <w:tcBorders>
              <w:top w:val="dotted" w:sz="4" w:space="0" w:color="auto"/>
              <w:left w:val="dotted" w:sz="4" w:space="0" w:color="auto"/>
              <w:bottom w:val="dotted" w:sz="4" w:space="0" w:color="auto"/>
              <w:right w:val="dotted" w:sz="4" w:space="0" w:color="auto"/>
            </w:tcBorders>
          </w:tcPr>
          <w:p>
            <w:pPr>
              <w:pStyle w:val="NoSpacing"/>
            </w:pPr>
            <w:r>
              <w:t>3</w:t>
            </w:r>
          </w:p>
        </w:tc>
      </w:tr>
      <w:tr>
        <w:trPr>
          <w:cantSplit/>
        </w:trPr>
        <w:tc>
          <w:tcPr>
            <w:tcW w:w="2357" w:type="dxa"/>
            <w:tcBorders>
              <w:top w:val="dotted" w:sz="4" w:space="0" w:color="auto"/>
              <w:left w:val="dotted" w:sz="4" w:space="0" w:color="auto"/>
              <w:bottom w:val="dotted" w:sz="4" w:space="0" w:color="auto"/>
              <w:right w:val="dotted" w:sz="4" w:space="0" w:color="auto"/>
            </w:tcBorders>
          </w:tcPr>
          <w:p>
            <w:pPr>
              <w:pStyle w:val="NoSpacing"/>
            </w:pPr>
            <w:r>
              <w:t>Registration by policy details</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1747" w:type="dxa"/>
            <w:tcBorders>
              <w:top w:val="dotted" w:sz="4" w:space="0" w:color="auto"/>
              <w:left w:val="dotted" w:sz="4" w:space="0" w:color="auto"/>
              <w:bottom w:val="dotted" w:sz="4" w:space="0" w:color="auto"/>
              <w:right w:val="dotted" w:sz="4" w:space="0" w:color="auto"/>
            </w:tcBorders>
          </w:tcPr>
          <w:p>
            <w:pPr>
              <w:pStyle w:val="NoSpacing"/>
            </w:pPr>
            <w:r>
              <w:t>5</w:t>
            </w:r>
          </w:p>
        </w:tc>
        <w:tc>
          <w:tcPr>
            <w:tcW w:w="1477" w:type="dxa"/>
            <w:tcBorders>
              <w:top w:val="dotted" w:sz="4" w:space="0" w:color="auto"/>
              <w:left w:val="dotted" w:sz="4" w:space="0" w:color="auto"/>
              <w:bottom w:val="dotted" w:sz="4" w:space="0" w:color="auto"/>
              <w:right w:val="dotted" w:sz="4" w:space="0" w:color="auto"/>
            </w:tcBorders>
          </w:tcPr>
          <w:p>
            <w:pPr>
              <w:pStyle w:val="NoSpacing"/>
            </w:pPr>
            <w:r>
              <w:t>4</w:t>
            </w:r>
          </w:p>
        </w:tc>
        <w:tc>
          <w:tcPr>
            <w:tcW w:w="1085" w:type="dxa"/>
            <w:tcBorders>
              <w:top w:val="dotted" w:sz="4" w:space="0" w:color="auto"/>
              <w:left w:val="dotted" w:sz="4" w:space="0" w:color="auto"/>
              <w:bottom w:val="dotted" w:sz="4" w:space="0" w:color="auto"/>
              <w:right w:val="dotted" w:sz="4" w:space="0" w:color="auto"/>
            </w:tcBorders>
          </w:tcPr>
          <w:p>
            <w:pPr>
              <w:pStyle w:val="NoSpacing"/>
            </w:pPr>
            <w:r>
              <w:t>4</w:t>
            </w:r>
          </w:p>
        </w:tc>
        <w:tc>
          <w:tcPr>
            <w:tcW w:w="1300" w:type="dxa"/>
            <w:tcBorders>
              <w:top w:val="dotted" w:sz="4" w:space="0" w:color="auto"/>
              <w:left w:val="dotted" w:sz="4" w:space="0" w:color="auto"/>
              <w:bottom w:val="dotted" w:sz="4" w:space="0" w:color="auto"/>
              <w:right w:val="dotted" w:sz="4" w:space="0" w:color="auto"/>
            </w:tcBorders>
          </w:tcPr>
          <w:p>
            <w:pPr>
              <w:pStyle w:val="NoSpacing"/>
            </w:pPr>
            <w:r>
              <w:t>3</w:t>
            </w:r>
          </w:p>
        </w:tc>
      </w:tr>
      <w:tr>
        <w:trPr>
          <w:cantSplit/>
        </w:trPr>
        <w:tc>
          <w:tcPr>
            <w:tcW w:w="2357" w:type="dxa"/>
            <w:tcBorders>
              <w:top w:val="dotted" w:sz="4" w:space="0" w:color="auto"/>
              <w:left w:val="dotted" w:sz="4" w:space="0" w:color="auto"/>
              <w:bottom w:val="dotted" w:sz="4" w:space="0" w:color="auto"/>
              <w:right w:val="dotted" w:sz="4" w:space="0" w:color="auto"/>
            </w:tcBorders>
          </w:tcPr>
          <w:p>
            <w:pPr>
              <w:pStyle w:val="NoSpacing"/>
            </w:pPr>
            <w:r>
              <w:t>One role model and token for three portals</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747" w:type="dxa"/>
            <w:tcBorders>
              <w:top w:val="dotted" w:sz="4" w:space="0" w:color="auto"/>
              <w:left w:val="dotted" w:sz="4" w:space="0" w:color="auto"/>
              <w:bottom w:val="dotted" w:sz="4" w:space="0" w:color="auto"/>
              <w:right w:val="dotted" w:sz="4" w:space="0" w:color="auto"/>
            </w:tcBorders>
          </w:tcPr>
          <w:p>
            <w:pPr>
              <w:pStyle w:val="NoSpacing"/>
            </w:pPr>
            <w:r>
              <w:t>5</w:t>
            </w:r>
          </w:p>
        </w:tc>
        <w:tc>
          <w:tcPr>
            <w:tcW w:w="1477" w:type="dxa"/>
            <w:tcBorders>
              <w:top w:val="dotted" w:sz="4" w:space="0" w:color="auto"/>
              <w:left w:val="dotted" w:sz="4" w:space="0" w:color="auto"/>
              <w:bottom w:val="dotted" w:sz="4" w:space="0" w:color="auto"/>
              <w:right w:val="dotted" w:sz="4" w:space="0" w:color="auto"/>
            </w:tcBorders>
          </w:tcPr>
          <w:p>
            <w:pPr>
              <w:pStyle w:val="NoSpacing"/>
            </w:pPr>
            <w:r>
              <w:t>3</w:t>
            </w:r>
          </w:p>
        </w:tc>
        <w:tc>
          <w:tcPr>
            <w:tcW w:w="1085" w:type="dxa"/>
            <w:tcBorders>
              <w:top w:val="dotted" w:sz="4" w:space="0" w:color="auto"/>
              <w:left w:val="dotted" w:sz="4" w:space="0" w:color="auto"/>
              <w:bottom w:val="dotted" w:sz="4" w:space="0" w:color="auto"/>
              <w:right w:val="dotted" w:sz="4" w:space="0" w:color="auto"/>
            </w:tcBorders>
          </w:tcPr>
          <w:p>
            <w:pPr>
              <w:pStyle w:val="NoSpacing"/>
            </w:pPr>
            <w:r>
              <w:t>4</w:t>
            </w:r>
          </w:p>
        </w:tc>
        <w:tc>
          <w:tcPr>
            <w:tcW w:w="1300" w:type="dxa"/>
            <w:tcBorders>
              <w:top w:val="dotted" w:sz="4" w:space="0" w:color="auto"/>
              <w:left w:val="dotted" w:sz="4" w:space="0" w:color="auto"/>
              <w:bottom w:val="dotted" w:sz="4" w:space="0" w:color="auto"/>
              <w:right w:val="dotted" w:sz="4" w:space="0" w:color="auto"/>
            </w:tcBorders>
          </w:tcPr>
          <w:p>
            <w:pPr>
              <w:pStyle w:val="NoSpacing"/>
            </w:pPr>
            <w:r>
              <w:t>4</w:t>
            </w:r>
          </w:p>
        </w:tc>
      </w:tr>
      <w:tr>
        <w:trPr>
          <w:cantSplit/>
        </w:trPr>
        <w:tc>
          <w:tcPr>
            <w:tcW w:w="2357" w:type="dxa"/>
            <w:tcBorders>
              <w:top w:val="dotted" w:sz="4" w:space="0" w:color="auto"/>
              <w:left w:val="dotted" w:sz="4" w:space="0" w:color="auto"/>
              <w:bottom w:val="dotted" w:sz="4" w:space="0" w:color="auto"/>
              <w:right w:val="dotted" w:sz="4" w:space="0" w:color="auto"/>
            </w:tcBorders>
          </w:tcPr>
          <w:p>
            <w:pPr>
              <w:pStyle w:val="NoSpacing"/>
            </w:pPr>
            <w:r>
              <w:t>Staff single sign-on through Okta</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747" w:type="dxa"/>
            <w:tcBorders>
              <w:top w:val="dotted" w:sz="4" w:space="0" w:color="auto"/>
              <w:left w:val="dotted" w:sz="4" w:space="0" w:color="auto"/>
              <w:bottom w:val="dotted" w:sz="4" w:space="0" w:color="auto"/>
              <w:right w:val="dotted" w:sz="4" w:space="0" w:color="auto"/>
            </w:tcBorders>
          </w:tcPr>
          <w:p>
            <w:pPr>
              <w:pStyle w:val="NoSpacing"/>
            </w:pPr>
            <w:r>
              <w:t>4</w:t>
            </w:r>
          </w:p>
        </w:tc>
        <w:tc>
          <w:tcPr>
            <w:tcW w:w="1477" w:type="dxa"/>
            <w:tcBorders>
              <w:top w:val="dotted" w:sz="4" w:space="0" w:color="auto"/>
              <w:left w:val="dotted" w:sz="4" w:space="0" w:color="auto"/>
              <w:bottom w:val="dotted" w:sz="4" w:space="0" w:color="auto"/>
              <w:right w:val="dotted" w:sz="4" w:space="0" w:color="auto"/>
            </w:tcBorders>
          </w:tcPr>
          <w:p>
            <w:pPr>
              <w:pStyle w:val="NoSpacing"/>
            </w:pPr>
            <w:r>
              <w:t>5</w:t>
            </w:r>
          </w:p>
        </w:tc>
        <w:tc>
          <w:tcPr>
            <w:tcW w:w="1085" w:type="dxa"/>
            <w:tcBorders>
              <w:top w:val="dotted" w:sz="4" w:space="0" w:color="auto"/>
              <w:left w:val="dotted" w:sz="4" w:space="0" w:color="auto"/>
              <w:bottom w:val="dotted" w:sz="4" w:space="0" w:color="auto"/>
              <w:right w:val="dotted" w:sz="4" w:space="0" w:color="auto"/>
            </w:tcBorders>
          </w:tcPr>
          <w:p>
            <w:pPr>
              <w:pStyle w:val="NoSpacing"/>
            </w:pPr>
            <w:r>
              <w:t>5</w:t>
            </w:r>
          </w:p>
        </w:tc>
        <w:tc>
          <w:tcPr>
            <w:tcW w:w="1300" w:type="dxa"/>
            <w:tcBorders>
              <w:top w:val="dotted" w:sz="4" w:space="0" w:color="auto"/>
              <w:left w:val="dotted" w:sz="4" w:space="0" w:color="auto"/>
              <w:bottom w:val="dotted" w:sz="4" w:space="0" w:color="auto"/>
              <w:right w:val="dotted" w:sz="4" w:space="0" w:color="auto"/>
            </w:tcBorders>
          </w:tcPr>
          <w:p>
            <w:pPr>
              <w:pStyle w:val="NoSpacing"/>
            </w:pPr>
            <w:r>
              <w:t>5</w:t>
            </w:r>
          </w:p>
        </w:tc>
      </w:tr>
      <w:tr>
        <w:trPr>
          <w:cantSplit/>
        </w:trPr>
        <w:tc>
          <w:tcPr>
            <w:tcW w:w="2357" w:type="dxa"/>
            <w:tcBorders>
              <w:top w:val="dotted" w:sz="4" w:space="0" w:color="auto"/>
              <w:left w:val="dotted" w:sz="4" w:space="0" w:color="auto"/>
              <w:bottom w:val="dotted" w:sz="4" w:space="0" w:color="auto"/>
              <w:right w:val="dotted" w:sz="4" w:space="0" w:color="auto"/>
            </w:tcBorders>
          </w:tcPr>
          <w:p>
            <w:pPr>
              <w:pStyle w:val="NoSpacing"/>
            </w:pPr>
            <w:r>
              <w:t>Scale and sign-in peaks</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747" w:type="dxa"/>
            <w:tcBorders>
              <w:top w:val="dotted" w:sz="4" w:space="0" w:color="auto"/>
              <w:left w:val="dotted" w:sz="4" w:space="0" w:color="auto"/>
              <w:bottom w:val="dotted" w:sz="4" w:space="0" w:color="auto"/>
              <w:right w:val="dotted" w:sz="4" w:space="0" w:color="auto"/>
            </w:tcBorders>
          </w:tcPr>
          <w:p>
            <w:pPr>
              <w:pStyle w:val="NoSpacing"/>
            </w:pPr>
            <w:r>
              <w:t>4</w:t>
            </w:r>
          </w:p>
        </w:tc>
        <w:tc>
          <w:tcPr>
            <w:tcW w:w="1477" w:type="dxa"/>
            <w:tcBorders>
              <w:top w:val="dotted" w:sz="4" w:space="0" w:color="auto"/>
              <w:left w:val="dotted" w:sz="4" w:space="0" w:color="auto"/>
              <w:bottom w:val="dotted" w:sz="4" w:space="0" w:color="auto"/>
              <w:right w:val="dotted" w:sz="4" w:space="0" w:color="auto"/>
            </w:tcBorders>
          </w:tcPr>
          <w:p>
            <w:pPr>
              <w:pStyle w:val="NoSpacing"/>
            </w:pPr>
            <w:r>
              <w:t>4</w:t>
            </w:r>
          </w:p>
        </w:tc>
        <w:tc>
          <w:tcPr>
            <w:tcW w:w="1085" w:type="dxa"/>
            <w:tcBorders>
              <w:top w:val="dotted" w:sz="4" w:space="0" w:color="auto"/>
              <w:left w:val="dotted" w:sz="4" w:space="0" w:color="auto"/>
              <w:bottom w:val="dotted" w:sz="4" w:space="0" w:color="auto"/>
              <w:right w:val="dotted" w:sz="4" w:space="0" w:color="auto"/>
            </w:tcBorders>
          </w:tcPr>
          <w:p>
            <w:pPr>
              <w:pStyle w:val="NoSpacing"/>
            </w:pPr>
            <w:r>
              <w:t>5</w:t>
            </w:r>
          </w:p>
        </w:tc>
        <w:tc>
          <w:tcPr>
            <w:tcW w:w="1300" w:type="dxa"/>
            <w:tcBorders>
              <w:top w:val="dotted" w:sz="4" w:space="0" w:color="auto"/>
              <w:left w:val="dotted" w:sz="4" w:space="0" w:color="auto"/>
              <w:bottom w:val="dotted" w:sz="4" w:space="0" w:color="auto"/>
              <w:right w:val="dotted" w:sz="4" w:space="0" w:color="auto"/>
            </w:tcBorders>
          </w:tcPr>
          <w:p>
            <w:pPr>
              <w:pStyle w:val="NoSpacing"/>
            </w:pPr>
            <w:r>
              <w:t>3</w:t>
            </w:r>
          </w:p>
        </w:tc>
      </w:tr>
      <w:tr>
        <w:trPr>
          <w:cantSplit/>
        </w:trPr>
        <w:tc>
          <w:tcPr>
            <w:tcW w:w="2357" w:type="dxa"/>
            <w:tcBorders>
              <w:top w:val="dotted" w:sz="4" w:space="0" w:color="auto"/>
              <w:left w:val="dotted" w:sz="4" w:space="0" w:color="auto"/>
              <w:bottom w:val="dotted" w:sz="4" w:space="0" w:color="auto"/>
              <w:right w:val="dotted" w:sz="4" w:space="0" w:color="auto"/>
            </w:tcBorders>
          </w:tcPr>
          <w:p>
            <w:pPr>
              <w:pStyle w:val="NoSpacing"/>
            </w:pPr>
            <w:r>
              <w:t>Operational overhead</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747" w:type="dxa"/>
            <w:tcBorders>
              <w:top w:val="dotted" w:sz="4" w:space="0" w:color="auto"/>
              <w:left w:val="dotted" w:sz="4" w:space="0" w:color="auto"/>
              <w:bottom w:val="dotted" w:sz="4" w:space="0" w:color="auto"/>
              <w:right w:val="dotted" w:sz="4" w:space="0" w:color="auto"/>
            </w:tcBorders>
          </w:tcPr>
          <w:p>
            <w:pPr>
              <w:pStyle w:val="NoSpacing"/>
            </w:pPr>
            <w:r>
              <w:t>3</w:t>
            </w:r>
          </w:p>
        </w:tc>
        <w:tc>
          <w:tcPr>
            <w:tcW w:w="1477" w:type="dxa"/>
            <w:tcBorders>
              <w:top w:val="dotted" w:sz="4" w:space="0" w:color="auto"/>
              <w:left w:val="dotted" w:sz="4" w:space="0" w:color="auto"/>
              <w:bottom w:val="dotted" w:sz="4" w:space="0" w:color="auto"/>
              <w:right w:val="dotted" w:sz="4" w:space="0" w:color="auto"/>
            </w:tcBorders>
          </w:tcPr>
          <w:p>
            <w:pPr>
              <w:pStyle w:val="NoSpacing"/>
            </w:pPr>
            <w:r>
              <w:t>5</w:t>
            </w:r>
          </w:p>
        </w:tc>
        <w:tc>
          <w:tcPr>
            <w:tcW w:w="1085" w:type="dxa"/>
            <w:tcBorders>
              <w:top w:val="dotted" w:sz="4" w:space="0" w:color="auto"/>
              <w:left w:val="dotted" w:sz="4" w:space="0" w:color="auto"/>
              <w:bottom w:val="dotted" w:sz="4" w:space="0" w:color="auto"/>
              <w:right w:val="dotted" w:sz="4" w:space="0" w:color="auto"/>
            </w:tcBorders>
          </w:tcPr>
          <w:p>
            <w:pPr>
              <w:pStyle w:val="NoSpacing"/>
            </w:pPr>
            <w:r>
              <w:t>5</w:t>
            </w:r>
          </w:p>
        </w:tc>
        <w:tc>
          <w:tcPr>
            <w:tcW w:w="1300" w:type="dxa"/>
            <w:tcBorders>
              <w:top w:val="dotted" w:sz="4" w:space="0" w:color="auto"/>
              <w:left w:val="dotted" w:sz="4" w:space="0" w:color="auto"/>
              <w:bottom w:val="dotted" w:sz="4" w:space="0" w:color="auto"/>
              <w:right w:val="dotted" w:sz="4" w:space="0" w:color="auto"/>
            </w:tcBorders>
          </w:tcPr>
          <w:p>
            <w:pPr>
              <w:pStyle w:val="NoSpacing"/>
            </w:pPr>
            <w:r>
              <w:t>2</w:t>
            </w:r>
          </w:p>
        </w:tc>
      </w:tr>
      <w:tr>
        <w:trPr>
          <w:cantSplit/>
        </w:trPr>
        <w:tc>
          <w:tcPr>
            <w:tcW w:w="2357" w:type="dxa"/>
            <w:tcBorders>
              <w:top w:val="dotted" w:sz="4" w:space="0" w:color="auto"/>
              <w:left w:val="dotted" w:sz="4" w:space="0" w:color="auto"/>
              <w:bottom w:val="dotted" w:sz="4" w:space="0" w:color="auto"/>
              <w:right w:val="dotted" w:sz="4" w:space="0" w:color="auto"/>
            </w:tcBorders>
          </w:tcPr>
          <w:p>
            <w:pPr>
              <w:pStyle w:val="NoSpacing"/>
            </w:pPr>
            <w:r>
              <w:t>Cost at eClaims volume</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747" w:type="dxa"/>
            <w:tcBorders>
              <w:top w:val="dotted" w:sz="4" w:space="0" w:color="auto"/>
              <w:left w:val="dotted" w:sz="4" w:space="0" w:color="auto"/>
              <w:bottom w:val="dotted" w:sz="4" w:space="0" w:color="auto"/>
              <w:right w:val="dotted" w:sz="4" w:space="0" w:color="auto"/>
            </w:tcBorders>
          </w:tcPr>
          <w:p>
            <w:pPr>
              <w:pStyle w:val="NoSpacing"/>
            </w:pPr>
            <w:r>
              <w:t>5</w:t>
            </w:r>
          </w:p>
        </w:tc>
        <w:tc>
          <w:tcPr>
            <w:tcW w:w="1477" w:type="dxa"/>
            <w:tcBorders>
              <w:top w:val="dotted" w:sz="4" w:space="0" w:color="auto"/>
              <w:left w:val="dotted" w:sz="4" w:space="0" w:color="auto"/>
              <w:bottom w:val="dotted" w:sz="4" w:space="0" w:color="auto"/>
              <w:right w:val="dotted" w:sz="4" w:space="0" w:color="auto"/>
            </w:tcBorders>
          </w:tcPr>
          <w:p>
            <w:pPr>
              <w:pStyle w:val="NoSpacing"/>
            </w:pPr>
            <w:r>
              <w:t>2</w:t>
            </w:r>
          </w:p>
        </w:tc>
        <w:tc>
          <w:tcPr>
            <w:tcW w:w="1085" w:type="dxa"/>
            <w:tcBorders>
              <w:top w:val="dotted" w:sz="4" w:space="0" w:color="auto"/>
              <w:left w:val="dotted" w:sz="4" w:space="0" w:color="auto"/>
              <w:bottom w:val="dotted" w:sz="4" w:space="0" w:color="auto"/>
              <w:right w:val="dotted" w:sz="4" w:space="0" w:color="auto"/>
            </w:tcBorders>
          </w:tcPr>
          <w:p>
            <w:pPr>
              <w:pStyle w:val="NoSpacing"/>
            </w:pPr>
            <w:r>
              <w:t>1</w:t>
            </w:r>
          </w:p>
        </w:tc>
        <w:tc>
          <w:tcPr>
            <w:tcW w:w="1300" w:type="dxa"/>
            <w:tcBorders>
              <w:top w:val="dotted" w:sz="4" w:space="0" w:color="auto"/>
              <w:left w:val="dotted" w:sz="4" w:space="0" w:color="auto"/>
              <w:bottom w:val="dotted" w:sz="4" w:space="0" w:color="auto"/>
              <w:right w:val="dotted" w:sz="4" w:space="0" w:color="auto"/>
            </w:tcBorders>
          </w:tcPr>
          <w:p>
            <w:pPr>
              <w:pStyle w:val="NoSpacing"/>
            </w:pPr>
            <w:r>
              <w:t>4</w:t>
            </w:r>
          </w:p>
        </w:tc>
      </w:tr>
      <w:tr>
        <w:trPr>
          <w:cantSplit/>
        </w:trPr>
        <w:tc>
          <w:tcPr>
            <w:tcW w:w="2357" w:type="dxa"/>
            <w:tcBorders>
              <w:top w:val="dotted" w:sz="4" w:space="0" w:color="auto"/>
              <w:left w:val="dotted" w:sz="4" w:space="0" w:color="auto"/>
              <w:bottom w:val="dotted" w:sz="4" w:space="0" w:color="auto"/>
              <w:right w:val="dotted" w:sz="4" w:space="0" w:color="auto"/>
            </w:tcBorders>
          </w:tcPr>
          <w:p>
            <w:pPr>
              <w:pStyle w:val="NoSpacing"/>
            </w:pPr>
            <w:r>
              <w:t>Deployment flexibility</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1747" w:type="dxa"/>
            <w:tcBorders>
              <w:top w:val="dotted" w:sz="4" w:space="0" w:color="auto"/>
              <w:left w:val="dotted" w:sz="4" w:space="0" w:color="auto"/>
              <w:bottom w:val="dotted" w:sz="4" w:space="0" w:color="auto"/>
              <w:right w:val="dotted" w:sz="4" w:space="0" w:color="auto"/>
            </w:tcBorders>
          </w:tcPr>
          <w:p>
            <w:pPr>
              <w:pStyle w:val="NoSpacing"/>
            </w:pPr>
            <w:r>
              <w:t>5</w:t>
            </w:r>
          </w:p>
        </w:tc>
        <w:tc>
          <w:tcPr>
            <w:tcW w:w="1477" w:type="dxa"/>
            <w:tcBorders>
              <w:top w:val="dotted" w:sz="4" w:space="0" w:color="auto"/>
              <w:left w:val="dotted" w:sz="4" w:space="0" w:color="auto"/>
              <w:bottom w:val="dotted" w:sz="4" w:space="0" w:color="auto"/>
              <w:right w:val="dotted" w:sz="4" w:space="0" w:color="auto"/>
            </w:tcBorders>
          </w:tcPr>
          <w:p>
            <w:pPr>
              <w:pStyle w:val="NoSpacing"/>
            </w:pPr>
            <w:r>
              <w:t>1</w:t>
            </w:r>
          </w:p>
        </w:tc>
        <w:tc>
          <w:tcPr>
            <w:tcW w:w="1085" w:type="dxa"/>
            <w:tcBorders>
              <w:top w:val="dotted" w:sz="4" w:space="0" w:color="auto"/>
              <w:left w:val="dotted" w:sz="4" w:space="0" w:color="auto"/>
              <w:bottom w:val="dotted" w:sz="4" w:space="0" w:color="auto"/>
              <w:right w:val="dotted" w:sz="4" w:space="0" w:color="auto"/>
            </w:tcBorders>
          </w:tcPr>
          <w:p>
            <w:pPr>
              <w:pStyle w:val="NoSpacing"/>
            </w:pPr>
            <w:r>
              <w:t>2</w:t>
            </w:r>
          </w:p>
        </w:tc>
        <w:tc>
          <w:tcPr>
            <w:tcW w:w="1300" w:type="dxa"/>
            <w:tcBorders>
              <w:top w:val="dotted" w:sz="4" w:space="0" w:color="auto"/>
              <w:left w:val="dotted" w:sz="4" w:space="0" w:color="auto"/>
              <w:bottom w:val="dotted" w:sz="4" w:space="0" w:color="auto"/>
              <w:right w:val="dotted" w:sz="4" w:space="0" w:color="auto"/>
            </w:tcBorders>
          </w:tcPr>
          <w:p>
            <w:pPr>
              <w:pStyle w:val="NoSpacing"/>
            </w:pPr>
            <w:r>
              <w:t>5</w:t>
            </w:r>
          </w:p>
        </w:tc>
      </w:tr>
      <w:tr>
        <w:trPr>
          <w:cantSplit/>
        </w:trPr>
        <w:tc>
          <w:tcPr>
            <w:tcW w:w="2357" w:type="dxa"/>
            <w:tcBorders>
              <w:top w:val="dotted" w:sz="4" w:space="0" w:color="auto"/>
              <w:left w:val="dotted" w:sz="4" w:space="0" w:color="auto"/>
              <w:bottom w:val="dotted" w:sz="4" w:space="0" w:color="auto"/>
              <w:right w:val="dotted" w:sz="4" w:space="0" w:color="auto"/>
            </w:tcBorders>
          </w:tcPr>
          <w:p>
            <w:pPr>
              <w:pStyle w:val="NoSpacing"/>
            </w:pPr>
            <w:r>
              <w:t>Credential portability</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1747" w:type="dxa"/>
            <w:tcBorders>
              <w:top w:val="dotted" w:sz="4" w:space="0" w:color="auto"/>
              <w:left w:val="dotted" w:sz="4" w:space="0" w:color="auto"/>
              <w:bottom w:val="dotted" w:sz="4" w:space="0" w:color="auto"/>
              <w:right w:val="dotted" w:sz="4" w:space="0" w:color="auto"/>
            </w:tcBorders>
          </w:tcPr>
          <w:p>
            <w:pPr>
              <w:pStyle w:val="NoSpacing"/>
            </w:pPr>
            <w:r>
              <w:t>5</w:t>
            </w:r>
          </w:p>
        </w:tc>
        <w:tc>
          <w:tcPr>
            <w:tcW w:w="1477" w:type="dxa"/>
            <w:tcBorders>
              <w:top w:val="dotted" w:sz="4" w:space="0" w:color="auto"/>
              <w:left w:val="dotted" w:sz="4" w:space="0" w:color="auto"/>
              <w:bottom w:val="dotted" w:sz="4" w:space="0" w:color="auto"/>
              <w:right w:val="dotted" w:sz="4" w:space="0" w:color="auto"/>
            </w:tcBorders>
          </w:tcPr>
          <w:p>
            <w:pPr>
              <w:pStyle w:val="NoSpacing"/>
            </w:pPr>
            <w:r>
              <w:t>1</w:t>
            </w:r>
          </w:p>
        </w:tc>
        <w:tc>
          <w:tcPr>
            <w:tcW w:w="1085" w:type="dxa"/>
            <w:tcBorders>
              <w:top w:val="dotted" w:sz="4" w:space="0" w:color="auto"/>
              <w:left w:val="dotted" w:sz="4" w:space="0" w:color="auto"/>
              <w:bottom w:val="dotted" w:sz="4" w:space="0" w:color="auto"/>
              <w:right w:val="dotted" w:sz="4" w:space="0" w:color="auto"/>
            </w:tcBorders>
          </w:tcPr>
          <w:p>
            <w:pPr>
              <w:pStyle w:val="NoSpacing"/>
            </w:pPr>
            <w:r>
              <w:t>3</w:t>
            </w:r>
          </w:p>
        </w:tc>
        <w:tc>
          <w:tcPr>
            <w:tcW w:w="1300" w:type="dxa"/>
            <w:tcBorders>
              <w:top w:val="dotted" w:sz="4" w:space="0" w:color="auto"/>
              <w:left w:val="dotted" w:sz="4" w:space="0" w:color="auto"/>
              <w:bottom w:val="dotted" w:sz="4" w:space="0" w:color="auto"/>
              <w:right w:val="dotted" w:sz="4" w:space="0" w:color="auto"/>
            </w:tcBorders>
          </w:tcPr>
          <w:p>
            <w:pPr>
              <w:pStyle w:val="NoSpacing"/>
            </w:pPr>
            <w:r>
              <w:t>5</w:t>
            </w:r>
          </w:p>
        </w:tc>
      </w:tr>
      <w:tr>
        <w:trPr>
          <w:cantSplit/>
        </w:trPr>
        <w:tc>
          <w:tcPr>
            <w:tcW w:w="2357" w:type="dxa"/>
            <w:tcBorders>
              <w:top w:val="dotted" w:sz="4" w:space="0" w:color="auto"/>
              <w:left w:val="dotted" w:sz="4" w:space="0" w:color="auto"/>
              <w:bottom w:val="dotted" w:sz="4" w:space="0" w:color="auto"/>
              <w:right w:val="dotted" w:sz="4" w:space="0" w:color="auto"/>
            </w:tcBorders>
          </w:tcPr>
          <w:p>
            <w:pPr>
              <w:pStyle w:val="NoSpacing"/>
            </w:pPr>
            <w:r>
              <w:t>Audit of sign-in events</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1747" w:type="dxa"/>
            <w:tcBorders>
              <w:top w:val="dotted" w:sz="4" w:space="0" w:color="auto"/>
              <w:left w:val="dotted" w:sz="4" w:space="0" w:color="auto"/>
              <w:bottom w:val="dotted" w:sz="4" w:space="0" w:color="auto"/>
              <w:right w:val="dotted" w:sz="4" w:space="0" w:color="auto"/>
            </w:tcBorders>
          </w:tcPr>
          <w:p>
            <w:pPr>
              <w:pStyle w:val="NoSpacing"/>
            </w:pPr>
            <w:r>
              <w:t>4</w:t>
            </w:r>
          </w:p>
        </w:tc>
        <w:tc>
          <w:tcPr>
            <w:tcW w:w="1477" w:type="dxa"/>
            <w:tcBorders>
              <w:top w:val="dotted" w:sz="4" w:space="0" w:color="auto"/>
              <w:left w:val="dotted" w:sz="4" w:space="0" w:color="auto"/>
              <w:bottom w:val="dotted" w:sz="4" w:space="0" w:color="auto"/>
              <w:right w:val="dotted" w:sz="4" w:space="0" w:color="auto"/>
            </w:tcBorders>
          </w:tcPr>
          <w:p>
            <w:pPr>
              <w:pStyle w:val="NoSpacing"/>
            </w:pPr>
            <w:r>
              <w:t>4</w:t>
            </w:r>
          </w:p>
        </w:tc>
        <w:tc>
          <w:tcPr>
            <w:tcW w:w="1085" w:type="dxa"/>
            <w:tcBorders>
              <w:top w:val="dotted" w:sz="4" w:space="0" w:color="auto"/>
              <w:left w:val="dotted" w:sz="4" w:space="0" w:color="auto"/>
              <w:bottom w:val="dotted" w:sz="4" w:space="0" w:color="auto"/>
              <w:right w:val="dotted" w:sz="4" w:space="0" w:color="auto"/>
            </w:tcBorders>
          </w:tcPr>
          <w:p>
            <w:pPr>
              <w:pStyle w:val="NoSpacing"/>
            </w:pPr>
            <w:r>
              <w:t>5</w:t>
            </w:r>
          </w:p>
        </w:tc>
        <w:tc>
          <w:tcPr>
            <w:tcW w:w="1300" w:type="dxa"/>
            <w:tcBorders>
              <w:top w:val="dotted" w:sz="4" w:space="0" w:color="auto"/>
              <w:left w:val="dotted" w:sz="4" w:space="0" w:color="auto"/>
              <w:bottom w:val="dotted" w:sz="4" w:space="0" w:color="auto"/>
              <w:right w:val="dotted" w:sz="4" w:space="0" w:color="auto"/>
            </w:tcBorders>
          </w:tcPr>
          <w:p>
            <w:pPr>
              <w:pStyle w:val="NoSpacing"/>
            </w:pPr>
            <w:r>
              <w:t>4</w:t>
            </w:r>
          </w:p>
        </w:tc>
      </w:tr>
      <w:tr>
        <w:trPr>
          <w:cantSplit/>
        </w:trPr>
        <w:tc>
          <w:tcPr>
            <w:tcW w:w="2357" w:type="dxa"/>
            <w:tcBorders>
              <w:top w:val="dotted" w:sz="4" w:space="0" w:color="auto"/>
              <w:left w:val="dotted" w:sz="4" w:space="0" w:color="auto"/>
              <w:bottom w:val="dotted" w:sz="4" w:space="0" w:color="auto"/>
              <w:right w:val="dotted" w:sz="4" w:space="0" w:color="auto"/>
            </w:tcBorders>
          </w:tcPr>
          <w:p>
            <w:pPr>
              <w:pStyle w:val="NoSpacing"/>
            </w:pPr>
            <w:r>
              <w:t>Delivery effort for Phase 1</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1747" w:type="dxa"/>
            <w:tcBorders>
              <w:top w:val="dotted" w:sz="4" w:space="0" w:color="auto"/>
              <w:left w:val="dotted" w:sz="4" w:space="0" w:color="auto"/>
              <w:bottom w:val="dotted" w:sz="4" w:space="0" w:color="auto"/>
              <w:right w:val="dotted" w:sz="4" w:space="0" w:color="auto"/>
            </w:tcBorders>
          </w:tcPr>
          <w:p>
            <w:pPr>
              <w:pStyle w:val="NoSpacing"/>
            </w:pPr>
            <w:r>
              <w:t>3</w:t>
            </w:r>
          </w:p>
        </w:tc>
        <w:tc>
          <w:tcPr>
            <w:tcW w:w="1477" w:type="dxa"/>
            <w:tcBorders>
              <w:top w:val="dotted" w:sz="4" w:space="0" w:color="auto"/>
              <w:left w:val="dotted" w:sz="4" w:space="0" w:color="auto"/>
              <w:bottom w:val="dotted" w:sz="4" w:space="0" w:color="auto"/>
              <w:right w:val="dotted" w:sz="4" w:space="0" w:color="auto"/>
            </w:tcBorders>
          </w:tcPr>
          <w:p>
            <w:pPr>
              <w:pStyle w:val="NoSpacing"/>
            </w:pPr>
            <w:r>
              <w:t>4</w:t>
            </w:r>
          </w:p>
        </w:tc>
        <w:tc>
          <w:tcPr>
            <w:tcW w:w="1085" w:type="dxa"/>
            <w:tcBorders>
              <w:top w:val="dotted" w:sz="4" w:space="0" w:color="auto"/>
              <w:left w:val="dotted" w:sz="4" w:space="0" w:color="auto"/>
              <w:bottom w:val="dotted" w:sz="4" w:space="0" w:color="auto"/>
              <w:right w:val="dotted" w:sz="4" w:space="0" w:color="auto"/>
            </w:tcBorders>
          </w:tcPr>
          <w:p>
            <w:pPr>
              <w:pStyle w:val="NoSpacing"/>
            </w:pPr>
            <w:r>
              <w:t>4</w:t>
            </w:r>
          </w:p>
        </w:tc>
        <w:tc>
          <w:tcPr>
            <w:tcW w:w="1300" w:type="dxa"/>
            <w:tcBorders>
              <w:top w:val="dotted" w:sz="4" w:space="0" w:color="auto"/>
              <w:left w:val="dotted" w:sz="4" w:space="0" w:color="auto"/>
              <w:bottom w:val="dotted" w:sz="4" w:space="0" w:color="auto"/>
              <w:right w:val="dotted" w:sz="4" w:space="0" w:color="auto"/>
            </w:tcBorders>
          </w:tcPr>
          <w:p>
            <w:pPr>
              <w:pStyle w:val="NoSpacing"/>
            </w:pPr>
            <w:r>
              <w:t>3</w:t>
            </w:r>
          </w:p>
        </w:tc>
      </w:tr>
      <w:tr>
        <w:trPr>
          <w:cantSplit/>
        </w:trPr>
        <w:tc>
          <w:tcPr>
            <w:tcW w:w="2357" w:type="dxa"/>
            <w:tcBorders>
              <w:top w:val="dotted" w:sz="4" w:space="0" w:color="auto"/>
              <w:left w:val="dotted" w:sz="4" w:space="0" w:color="auto"/>
              <w:bottom w:val="dotted" w:sz="4" w:space="0" w:color="auto"/>
              <w:right w:val="dotted" w:sz="4" w:space="0" w:color="auto"/>
            </w:tcBorders>
          </w:tcPr>
          <w:p>
            <w:pPr>
              <w:pStyle w:val="NoSpacing"/>
            </w:pPr>
            <w:r>
              <w:t>Total Weighted Score</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100</w:t>
            </w:r>
          </w:p>
        </w:tc>
        <w:tc>
          <w:tcPr>
            <w:tcW w:w="1747" w:type="dxa"/>
            <w:tcBorders>
              <w:top w:val="dotted" w:sz="4" w:space="0" w:color="auto"/>
              <w:left w:val="dotted" w:sz="4" w:space="0" w:color="auto"/>
              <w:bottom w:val="dotted" w:sz="4" w:space="0" w:color="auto"/>
              <w:right w:val="dotted" w:sz="4" w:space="0" w:color="auto"/>
            </w:tcBorders>
          </w:tcPr>
          <w:p>
            <w:pPr>
              <w:pStyle w:val="NoSpacing"/>
            </w:pPr>
            <w:r>
              <w:t>4.15 / 5</w:t>
            </w:r>
          </w:p>
        </w:tc>
        <w:tc>
          <w:tcPr>
            <w:tcW w:w="1477" w:type="dxa"/>
            <w:tcBorders>
              <w:top w:val="dotted" w:sz="4" w:space="0" w:color="auto"/>
              <w:left w:val="dotted" w:sz="4" w:space="0" w:color="auto"/>
              <w:bottom w:val="dotted" w:sz="4" w:space="0" w:color="auto"/>
              <w:right w:val="dotted" w:sz="4" w:space="0" w:color="auto"/>
            </w:tcBorders>
          </w:tcPr>
          <w:p>
            <w:pPr>
              <w:pStyle w:val="NoSpacing"/>
            </w:pPr>
            <w:r>
              <w:t>3.60 / 5</w:t>
            </w:r>
          </w:p>
        </w:tc>
        <w:tc>
          <w:tcPr>
            <w:tcW w:w="1085" w:type="dxa"/>
            <w:tcBorders>
              <w:top w:val="dotted" w:sz="4" w:space="0" w:color="auto"/>
              <w:left w:val="dotted" w:sz="4" w:space="0" w:color="auto"/>
              <w:bottom w:val="dotted" w:sz="4" w:space="0" w:color="auto"/>
              <w:right w:val="dotted" w:sz="4" w:space="0" w:color="auto"/>
            </w:tcBorders>
          </w:tcPr>
          <w:p>
            <w:pPr>
              <w:pStyle w:val="NoSpacing"/>
            </w:pPr>
            <w:r>
              <w:t>4.05 / 5</w:t>
            </w:r>
          </w:p>
        </w:tc>
        <w:tc>
          <w:tcPr>
            <w:tcW w:w="1300" w:type="dxa"/>
            <w:tcBorders>
              <w:top w:val="dotted" w:sz="4" w:space="0" w:color="auto"/>
              <w:left w:val="dotted" w:sz="4" w:space="0" w:color="auto"/>
              <w:bottom w:val="dotted" w:sz="4" w:space="0" w:color="auto"/>
              <w:right w:val="dotted" w:sz="4" w:space="0" w:color="auto"/>
            </w:tcBorders>
          </w:tcPr>
          <w:p>
            <w:pPr>
              <w:pStyle w:val="NoSpacing"/>
            </w:pPr>
            <w:r>
              <w:t>3.55 / 5</w:t>
            </w:r>
          </w:p>
        </w:tc>
      </w:tr>
    </w:tbl>
    <w:p/>
    <w:p>
      <w:r>
        <w:t>The eClaims Auth Service with Okta federation leads at 4.15, ahead of Auth0 at 4.05, Cognito at 3.60 and Keycloak at 3.55. This is the closest of the three decisions. The Auth Service wins on the policy-number registration, the single role model, cost, portability and credential ownership. Auth0 wins on security controls, operations and scale, and on everything a managed platform provides without code.</w:t>
      </w:r>
    </w:p>
    <w:p>
      <w:r>
        <w:t>The result is not one-sided, and the Auth Service's weakness is the heaviest one: it scores 3 on security controls only because the WAF's account takeover prevention is included, and MFA, reset, lockout and breached-password checks remain the team's to build and keep current. Cognito is held back by cost at 2 million MAU and by being AWS-only with unexportable passwords. Keycloak would be a strong on-premise answer but carries the heaviest operating load.</w:t>
      </w:r>
    </w:p>
    <w:p>
      <w:pPr>
        <w:pStyle w:val="Heading2"/>
      </w:pPr>
      <w:bookmarkStart w:id="138" w:name="_Toc300000039"/>
      <w:r>
        <w:t>Comparison 2 — Capability Comparison</w:t>
      </w:r>
      <w:bookmarkEnd w:id="138"/>
    </w:p>
    <w:p>
      <w:r>
        <w:t>Native, Partial and No as defined in Section 3.4.</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77"/>
        <w:gridCol w:w="1688"/>
        <w:gridCol w:w="1668"/>
        <w:gridCol w:w="1932"/>
        <w:gridCol w:w="1761"/>
      </w:tblGrid>
      <w:tr>
        <w:trPr>
          <w:cantSplit/>
          <w:tblHeader/>
        </w:trPr>
        <w:tc>
          <w:tcPr>
            <w:tcW w:w="1977"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Key Capability</w:t>
            </w:r>
          </w:p>
        </w:tc>
        <w:tc>
          <w:tcPr>
            <w:tcW w:w="1688"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Auth Service + Okta</w:t>
            </w:r>
          </w:p>
        </w:tc>
        <w:tc>
          <w:tcPr>
            <w:tcW w:w="1668"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Amazon Cognito</w:t>
            </w:r>
          </w:p>
        </w:tc>
        <w:tc>
          <w:tcPr>
            <w:tcW w:w="1932"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Auth0</w:t>
            </w:r>
          </w:p>
        </w:tc>
        <w:tc>
          <w:tcPr>
            <w:tcW w:w="1761"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Keycloak</w:t>
            </w:r>
          </w:p>
        </w:tc>
      </w:tr>
      <w:tr>
        <w:trPr>
          <w:cantSplit/>
        </w:trPr>
        <w:tc>
          <w:tcPr>
            <w:tcW w:w="1977" w:type="dxa"/>
            <w:tcBorders>
              <w:top w:val="dotted" w:sz="4" w:space="0" w:color="auto"/>
              <w:left w:val="dotted" w:sz="4" w:space="0" w:color="auto"/>
              <w:bottom w:val="dotted" w:sz="4" w:space="0" w:color="auto"/>
              <w:right w:val="dotted" w:sz="4" w:space="0" w:color="auto"/>
            </w:tcBorders>
          </w:tcPr>
          <w:p>
            <w:pPr>
              <w:pStyle w:val="NoSpacing"/>
            </w:pPr>
            <w:r>
              <w:t>Policy check at registration</w:t>
            </w:r>
          </w:p>
        </w:tc>
        <w:tc>
          <w:tcPr>
            <w:tcW w:w="1688" w:type="dxa"/>
            <w:tcBorders>
              <w:top w:val="dotted" w:sz="4" w:space="0" w:color="auto"/>
              <w:left w:val="dotted" w:sz="4" w:space="0" w:color="auto"/>
              <w:bottom w:val="dotted" w:sz="4" w:space="0" w:color="auto"/>
              <w:right w:val="dotted" w:sz="4" w:space="0" w:color="auto"/>
            </w:tcBorders>
          </w:tcPr>
          <w:p>
            <w:pPr>
              <w:pStyle w:val="NoSpacing"/>
            </w:pPr>
            <w:r>
              <w:t>Native — service code</w:t>
            </w:r>
          </w:p>
        </w:tc>
        <w:tc>
          <w:tcPr>
            <w:tcW w:w="1668" w:type="dxa"/>
            <w:tcBorders>
              <w:top w:val="dotted" w:sz="4" w:space="0" w:color="auto"/>
              <w:left w:val="dotted" w:sz="4" w:space="0" w:color="auto"/>
              <w:bottom w:val="dotted" w:sz="4" w:space="0" w:color="auto"/>
              <w:right w:val="dotted" w:sz="4" w:space="0" w:color="auto"/>
            </w:tcBorders>
          </w:tcPr>
          <w:p>
            <w:pPr>
              <w:pStyle w:val="NoSpacing"/>
            </w:pPr>
            <w:r>
              <w:t>Partial — pre sign-up Lambda</w:t>
            </w:r>
          </w:p>
        </w:tc>
        <w:tc>
          <w:tcPr>
            <w:tcW w:w="1932" w:type="dxa"/>
            <w:tcBorders>
              <w:top w:val="dotted" w:sz="4" w:space="0" w:color="auto"/>
              <w:left w:val="dotted" w:sz="4" w:space="0" w:color="auto"/>
              <w:bottom w:val="dotted" w:sz="4" w:space="0" w:color="auto"/>
              <w:right w:val="dotted" w:sz="4" w:space="0" w:color="auto"/>
            </w:tcBorders>
          </w:tcPr>
          <w:p>
            <w:pPr>
              <w:pStyle w:val="NoSpacing"/>
            </w:pPr>
            <w:r>
              <w:t>Partial — Action</w:t>
            </w:r>
          </w:p>
        </w:tc>
        <w:tc>
          <w:tcPr>
            <w:tcW w:w="1761" w:type="dxa"/>
            <w:tcBorders>
              <w:top w:val="dotted" w:sz="4" w:space="0" w:color="auto"/>
              <w:left w:val="dotted" w:sz="4" w:space="0" w:color="auto"/>
              <w:bottom w:val="dotted" w:sz="4" w:space="0" w:color="auto"/>
              <w:right w:val="dotted" w:sz="4" w:space="0" w:color="auto"/>
            </w:tcBorders>
          </w:tcPr>
          <w:p>
            <w:pPr>
              <w:pStyle w:val="NoSpacing"/>
            </w:pPr>
            <w:r>
              <w:t>Partial — Java extension</w:t>
            </w:r>
          </w:p>
        </w:tc>
      </w:tr>
      <w:tr>
        <w:trPr>
          <w:cantSplit/>
        </w:trPr>
        <w:tc>
          <w:tcPr>
            <w:tcW w:w="1977" w:type="dxa"/>
            <w:tcBorders>
              <w:top w:val="dotted" w:sz="4" w:space="0" w:color="auto"/>
              <w:left w:val="dotted" w:sz="4" w:space="0" w:color="auto"/>
              <w:bottom w:val="dotted" w:sz="4" w:space="0" w:color="auto"/>
              <w:right w:val="dotted" w:sz="4" w:space="0" w:color="auto"/>
            </w:tcBorders>
          </w:tcPr>
          <w:p>
            <w:pPr>
              <w:pStyle w:val="NoSpacing"/>
            </w:pPr>
            <w:r>
              <w:t>eClaims roles in the token</w:t>
            </w:r>
          </w:p>
        </w:tc>
        <w:tc>
          <w:tcPr>
            <w:tcW w:w="1688" w:type="dxa"/>
            <w:tcBorders>
              <w:top w:val="dotted" w:sz="4" w:space="0" w:color="auto"/>
              <w:left w:val="dotted" w:sz="4" w:space="0" w:color="auto"/>
              <w:bottom w:val="dotted" w:sz="4" w:space="0" w:color="auto"/>
              <w:right w:val="dotted" w:sz="4" w:space="0" w:color="auto"/>
            </w:tcBorders>
          </w:tcPr>
          <w:p>
            <w:pPr>
              <w:pStyle w:val="NoSpacing"/>
            </w:pPr>
            <w:r>
              <w:t>Native</w:t>
            </w:r>
          </w:p>
        </w:tc>
        <w:tc>
          <w:tcPr>
            <w:tcW w:w="1668" w:type="dxa"/>
            <w:tcBorders>
              <w:top w:val="dotted" w:sz="4" w:space="0" w:color="auto"/>
              <w:left w:val="dotted" w:sz="4" w:space="0" w:color="auto"/>
              <w:bottom w:val="dotted" w:sz="4" w:space="0" w:color="auto"/>
              <w:right w:val="dotted" w:sz="4" w:space="0" w:color="auto"/>
            </w:tcBorders>
          </w:tcPr>
          <w:p>
            <w:pPr>
              <w:pStyle w:val="NoSpacing"/>
            </w:pPr>
            <w:r>
              <w:t>Partial — pre token generation Lambda</w:t>
            </w:r>
          </w:p>
        </w:tc>
        <w:tc>
          <w:tcPr>
            <w:tcW w:w="1932" w:type="dxa"/>
            <w:tcBorders>
              <w:top w:val="dotted" w:sz="4" w:space="0" w:color="auto"/>
              <w:left w:val="dotted" w:sz="4" w:space="0" w:color="auto"/>
              <w:bottom w:val="dotted" w:sz="4" w:space="0" w:color="auto"/>
              <w:right w:val="dotted" w:sz="4" w:space="0" w:color="auto"/>
            </w:tcBorders>
          </w:tcPr>
          <w:p>
            <w:pPr>
              <w:pStyle w:val="NoSpacing"/>
            </w:pPr>
            <w:r>
              <w:t>Native — RBAC and Actions</w:t>
            </w:r>
          </w:p>
        </w:tc>
        <w:tc>
          <w:tcPr>
            <w:tcW w:w="1761" w:type="dxa"/>
            <w:tcBorders>
              <w:top w:val="dotted" w:sz="4" w:space="0" w:color="auto"/>
              <w:left w:val="dotted" w:sz="4" w:space="0" w:color="auto"/>
              <w:bottom w:val="dotted" w:sz="4" w:space="0" w:color="auto"/>
              <w:right w:val="dotted" w:sz="4" w:space="0" w:color="auto"/>
            </w:tcBorders>
          </w:tcPr>
          <w:p>
            <w:pPr>
              <w:pStyle w:val="NoSpacing"/>
            </w:pPr>
            <w:r>
              <w:t>Native — realm and client roles</w:t>
            </w:r>
          </w:p>
        </w:tc>
      </w:tr>
      <w:tr>
        <w:trPr>
          <w:cantSplit/>
        </w:trPr>
        <w:tc>
          <w:tcPr>
            <w:tcW w:w="1977" w:type="dxa"/>
            <w:tcBorders>
              <w:top w:val="dotted" w:sz="4" w:space="0" w:color="auto"/>
              <w:left w:val="dotted" w:sz="4" w:space="0" w:color="auto"/>
              <w:bottom w:val="dotted" w:sz="4" w:space="0" w:color="auto"/>
              <w:right w:val="dotted" w:sz="4" w:space="0" w:color="auto"/>
            </w:tcBorders>
          </w:tcPr>
          <w:p>
            <w:pPr>
              <w:pStyle w:val="NoSpacing"/>
            </w:pPr>
            <w:r>
              <w:t>MFA (one-time password, WebAuthn)</w:t>
            </w:r>
          </w:p>
        </w:tc>
        <w:tc>
          <w:tcPr>
            <w:tcW w:w="1688" w:type="dxa"/>
            <w:tcBorders>
              <w:top w:val="dotted" w:sz="4" w:space="0" w:color="auto"/>
              <w:left w:val="dotted" w:sz="4" w:space="0" w:color="auto"/>
              <w:bottom w:val="dotted" w:sz="4" w:space="0" w:color="auto"/>
              <w:right w:val="dotted" w:sz="4" w:space="0" w:color="auto"/>
            </w:tcBorders>
          </w:tcPr>
          <w:p>
            <w:pPr>
              <w:pStyle w:val="NoSpacing"/>
            </w:pPr>
            <w:r>
              <w:t>Partial — built by the team</w:t>
            </w:r>
          </w:p>
        </w:tc>
        <w:tc>
          <w:tcPr>
            <w:tcW w:w="1668" w:type="dxa"/>
            <w:tcBorders>
              <w:top w:val="dotted" w:sz="4" w:space="0" w:color="auto"/>
              <w:left w:val="dotted" w:sz="4" w:space="0" w:color="auto"/>
              <w:bottom w:val="dotted" w:sz="4" w:space="0" w:color="auto"/>
              <w:right w:val="dotted" w:sz="4" w:space="0" w:color="auto"/>
            </w:tcBorders>
          </w:tcPr>
          <w:p>
            <w:pPr>
              <w:pStyle w:val="NoSpacing"/>
            </w:pPr>
            <w:r>
              <w:t>Native</w:t>
            </w:r>
          </w:p>
        </w:tc>
        <w:tc>
          <w:tcPr>
            <w:tcW w:w="1932" w:type="dxa"/>
            <w:tcBorders>
              <w:top w:val="dotted" w:sz="4" w:space="0" w:color="auto"/>
              <w:left w:val="dotted" w:sz="4" w:space="0" w:color="auto"/>
              <w:bottom w:val="dotted" w:sz="4" w:space="0" w:color="auto"/>
              <w:right w:val="dotted" w:sz="4" w:space="0" w:color="auto"/>
            </w:tcBorders>
          </w:tcPr>
          <w:p>
            <w:pPr>
              <w:pStyle w:val="NoSpacing"/>
            </w:pPr>
            <w:r>
              <w:t>Native</w:t>
            </w:r>
          </w:p>
        </w:tc>
        <w:tc>
          <w:tcPr>
            <w:tcW w:w="1761" w:type="dxa"/>
            <w:tcBorders>
              <w:top w:val="dotted" w:sz="4" w:space="0" w:color="auto"/>
              <w:left w:val="dotted" w:sz="4" w:space="0" w:color="auto"/>
              <w:bottom w:val="dotted" w:sz="4" w:space="0" w:color="auto"/>
              <w:right w:val="dotted" w:sz="4" w:space="0" w:color="auto"/>
            </w:tcBorders>
          </w:tcPr>
          <w:p>
            <w:pPr>
              <w:pStyle w:val="NoSpacing"/>
            </w:pPr>
            <w:r>
              <w:t>Native</w:t>
            </w:r>
          </w:p>
        </w:tc>
      </w:tr>
      <w:tr>
        <w:trPr>
          <w:cantSplit/>
        </w:trPr>
        <w:tc>
          <w:tcPr>
            <w:tcW w:w="1977" w:type="dxa"/>
            <w:tcBorders>
              <w:top w:val="dotted" w:sz="4" w:space="0" w:color="auto"/>
              <w:left w:val="dotted" w:sz="4" w:space="0" w:color="auto"/>
              <w:bottom w:val="dotted" w:sz="4" w:space="0" w:color="auto"/>
              <w:right w:val="dotted" w:sz="4" w:space="0" w:color="auto"/>
            </w:tcBorders>
          </w:tcPr>
          <w:p>
            <w:pPr>
              <w:pStyle w:val="NoSpacing"/>
            </w:pPr>
            <w:r>
              <w:t>Breached-password detection</w:t>
            </w:r>
          </w:p>
        </w:tc>
        <w:tc>
          <w:tcPr>
            <w:tcW w:w="1688" w:type="dxa"/>
            <w:tcBorders>
              <w:top w:val="dotted" w:sz="4" w:space="0" w:color="auto"/>
              <w:left w:val="dotted" w:sz="4" w:space="0" w:color="auto"/>
              <w:bottom w:val="dotted" w:sz="4" w:space="0" w:color="auto"/>
              <w:right w:val="dotted" w:sz="4" w:space="0" w:color="auto"/>
            </w:tcBorders>
          </w:tcPr>
          <w:p>
            <w:pPr>
              <w:pStyle w:val="NoSpacing"/>
            </w:pPr>
            <w:r>
              <w:t>Partial — WAF and a password list check</w:t>
            </w:r>
          </w:p>
        </w:tc>
        <w:tc>
          <w:tcPr>
            <w:tcW w:w="1668" w:type="dxa"/>
            <w:tcBorders>
              <w:top w:val="dotted" w:sz="4" w:space="0" w:color="auto"/>
              <w:left w:val="dotted" w:sz="4" w:space="0" w:color="auto"/>
              <w:bottom w:val="dotted" w:sz="4" w:space="0" w:color="auto"/>
              <w:right w:val="dotted" w:sz="4" w:space="0" w:color="auto"/>
            </w:tcBorders>
          </w:tcPr>
          <w:p>
            <w:pPr>
              <w:pStyle w:val="NoSpacing"/>
            </w:pPr>
            <w:r>
              <w:t>Native — Plus tier</w:t>
            </w:r>
          </w:p>
        </w:tc>
        <w:tc>
          <w:tcPr>
            <w:tcW w:w="1932" w:type="dxa"/>
            <w:tcBorders>
              <w:top w:val="dotted" w:sz="4" w:space="0" w:color="auto"/>
              <w:left w:val="dotted" w:sz="4" w:space="0" w:color="auto"/>
              <w:bottom w:val="dotted" w:sz="4" w:space="0" w:color="auto"/>
              <w:right w:val="dotted" w:sz="4" w:space="0" w:color="auto"/>
            </w:tcBorders>
          </w:tcPr>
          <w:p>
            <w:pPr>
              <w:pStyle w:val="NoSpacing"/>
            </w:pPr>
            <w:r>
              <w:t>Native</w:t>
            </w:r>
          </w:p>
        </w:tc>
        <w:tc>
          <w:tcPr>
            <w:tcW w:w="1761" w:type="dxa"/>
            <w:tcBorders>
              <w:top w:val="dotted" w:sz="4" w:space="0" w:color="auto"/>
              <w:left w:val="dotted" w:sz="4" w:space="0" w:color="auto"/>
              <w:bottom w:val="dotted" w:sz="4" w:space="0" w:color="auto"/>
              <w:right w:val="dotted" w:sz="4" w:space="0" w:color="auto"/>
            </w:tcBorders>
          </w:tcPr>
          <w:p>
            <w:pPr>
              <w:pStyle w:val="NoSpacing"/>
            </w:pPr>
            <w:r>
              <w:t>No</w:t>
            </w:r>
          </w:p>
        </w:tc>
      </w:tr>
      <w:tr>
        <w:trPr>
          <w:cantSplit/>
        </w:trPr>
        <w:tc>
          <w:tcPr>
            <w:tcW w:w="1977" w:type="dxa"/>
            <w:tcBorders>
              <w:top w:val="dotted" w:sz="4" w:space="0" w:color="auto"/>
              <w:left w:val="dotted" w:sz="4" w:space="0" w:color="auto"/>
              <w:bottom w:val="dotted" w:sz="4" w:space="0" w:color="auto"/>
              <w:right w:val="dotted" w:sz="4" w:space="0" w:color="auto"/>
            </w:tcBorders>
          </w:tcPr>
          <w:p>
            <w:pPr>
              <w:pStyle w:val="NoSpacing"/>
            </w:pPr>
            <w:r>
              <w:t>Bot and credential-stuffing protection</w:t>
            </w:r>
          </w:p>
        </w:tc>
        <w:tc>
          <w:tcPr>
            <w:tcW w:w="1688" w:type="dxa"/>
            <w:tcBorders>
              <w:top w:val="dotted" w:sz="4" w:space="0" w:color="auto"/>
              <w:left w:val="dotted" w:sz="4" w:space="0" w:color="auto"/>
              <w:bottom w:val="dotted" w:sz="4" w:space="0" w:color="auto"/>
              <w:right w:val="dotted" w:sz="4" w:space="0" w:color="auto"/>
            </w:tcBorders>
          </w:tcPr>
          <w:p>
            <w:pPr>
              <w:pStyle w:val="NoSpacing"/>
            </w:pPr>
            <w:r>
              <w:t>Native — WAF account takeover prevention</w:t>
            </w:r>
          </w:p>
        </w:tc>
        <w:tc>
          <w:tcPr>
            <w:tcW w:w="1668" w:type="dxa"/>
            <w:tcBorders>
              <w:top w:val="dotted" w:sz="4" w:space="0" w:color="auto"/>
              <w:left w:val="dotted" w:sz="4" w:space="0" w:color="auto"/>
              <w:bottom w:val="dotted" w:sz="4" w:space="0" w:color="auto"/>
              <w:right w:val="dotted" w:sz="4" w:space="0" w:color="auto"/>
            </w:tcBorders>
          </w:tcPr>
          <w:p>
            <w:pPr>
              <w:pStyle w:val="NoSpacing"/>
            </w:pPr>
            <w:r>
              <w:t>Native — Plus tier</w:t>
            </w:r>
          </w:p>
        </w:tc>
        <w:tc>
          <w:tcPr>
            <w:tcW w:w="1932" w:type="dxa"/>
            <w:tcBorders>
              <w:top w:val="dotted" w:sz="4" w:space="0" w:color="auto"/>
              <w:left w:val="dotted" w:sz="4" w:space="0" w:color="auto"/>
              <w:bottom w:val="dotted" w:sz="4" w:space="0" w:color="auto"/>
              <w:right w:val="dotted" w:sz="4" w:space="0" w:color="auto"/>
            </w:tcBorders>
          </w:tcPr>
          <w:p>
            <w:pPr>
              <w:pStyle w:val="NoSpacing"/>
            </w:pPr>
            <w:r>
              <w:t>Native</w:t>
            </w:r>
          </w:p>
        </w:tc>
        <w:tc>
          <w:tcPr>
            <w:tcW w:w="1761" w:type="dxa"/>
            <w:tcBorders>
              <w:top w:val="dotted" w:sz="4" w:space="0" w:color="auto"/>
              <w:left w:val="dotted" w:sz="4" w:space="0" w:color="auto"/>
              <w:bottom w:val="dotted" w:sz="4" w:space="0" w:color="auto"/>
              <w:right w:val="dotted" w:sz="4" w:space="0" w:color="auto"/>
            </w:tcBorders>
          </w:tcPr>
          <w:p>
            <w:pPr>
              <w:pStyle w:val="NoSpacing"/>
            </w:pPr>
            <w:r>
              <w:t>Partial — brute-force detection only</w:t>
            </w:r>
          </w:p>
        </w:tc>
      </w:tr>
      <w:tr>
        <w:trPr>
          <w:cantSplit/>
        </w:trPr>
        <w:tc>
          <w:tcPr>
            <w:tcW w:w="1977" w:type="dxa"/>
            <w:tcBorders>
              <w:top w:val="dotted" w:sz="4" w:space="0" w:color="auto"/>
              <w:left w:val="dotted" w:sz="4" w:space="0" w:color="auto"/>
              <w:bottom w:val="dotted" w:sz="4" w:space="0" w:color="auto"/>
              <w:right w:val="dotted" w:sz="4" w:space="0" w:color="auto"/>
            </w:tcBorders>
          </w:tcPr>
          <w:p>
            <w:pPr>
              <w:pStyle w:val="NoSpacing"/>
            </w:pPr>
            <w:r>
              <w:t>Staff federation from Okta</w:t>
            </w:r>
          </w:p>
        </w:tc>
        <w:tc>
          <w:tcPr>
            <w:tcW w:w="1688" w:type="dxa"/>
            <w:tcBorders>
              <w:top w:val="dotted" w:sz="4" w:space="0" w:color="auto"/>
              <w:left w:val="dotted" w:sz="4" w:space="0" w:color="auto"/>
              <w:bottom w:val="dotted" w:sz="4" w:space="0" w:color="auto"/>
              <w:right w:val="dotted" w:sz="4" w:space="0" w:color="auto"/>
            </w:tcBorders>
          </w:tcPr>
          <w:p>
            <w:pPr>
              <w:pStyle w:val="NoSpacing"/>
            </w:pPr>
            <w:r>
              <w:t>Native — OpenID Connect</w:t>
            </w:r>
          </w:p>
        </w:tc>
        <w:tc>
          <w:tcPr>
            <w:tcW w:w="1668" w:type="dxa"/>
            <w:tcBorders>
              <w:top w:val="dotted" w:sz="4" w:space="0" w:color="auto"/>
              <w:left w:val="dotted" w:sz="4" w:space="0" w:color="auto"/>
              <w:bottom w:val="dotted" w:sz="4" w:space="0" w:color="auto"/>
              <w:right w:val="dotted" w:sz="4" w:space="0" w:color="auto"/>
            </w:tcBorders>
          </w:tcPr>
          <w:p>
            <w:pPr>
              <w:pStyle w:val="NoSpacing"/>
            </w:pPr>
            <w:r>
              <w:t>Native — SAML or OpenID Connect</w:t>
            </w:r>
          </w:p>
        </w:tc>
        <w:tc>
          <w:tcPr>
            <w:tcW w:w="1932" w:type="dxa"/>
            <w:tcBorders>
              <w:top w:val="dotted" w:sz="4" w:space="0" w:color="auto"/>
              <w:left w:val="dotted" w:sz="4" w:space="0" w:color="auto"/>
              <w:bottom w:val="dotted" w:sz="4" w:space="0" w:color="auto"/>
              <w:right w:val="dotted" w:sz="4" w:space="0" w:color="auto"/>
            </w:tcBorders>
          </w:tcPr>
          <w:p>
            <w:pPr>
              <w:pStyle w:val="NoSpacing"/>
            </w:pPr>
            <w:r>
              <w:t>Native</w:t>
            </w:r>
          </w:p>
        </w:tc>
        <w:tc>
          <w:tcPr>
            <w:tcW w:w="1761" w:type="dxa"/>
            <w:tcBorders>
              <w:top w:val="dotted" w:sz="4" w:space="0" w:color="auto"/>
              <w:left w:val="dotted" w:sz="4" w:space="0" w:color="auto"/>
              <w:bottom w:val="dotted" w:sz="4" w:space="0" w:color="auto"/>
              <w:right w:val="dotted" w:sz="4" w:space="0" w:color="auto"/>
            </w:tcBorders>
          </w:tcPr>
          <w:p>
            <w:pPr>
              <w:pStyle w:val="NoSpacing"/>
            </w:pPr>
            <w:r>
              <w:t>Native</w:t>
            </w:r>
          </w:p>
        </w:tc>
      </w:tr>
      <w:tr>
        <w:trPr>
          <w:cantSplit/>
        </w:trPr>
        <w:tc>
          <w:tcPr>
            <w:tcW w:w="1977" w:type="dxa"/>
            <w:tcBorders>
              <w:top w:val="dotted" w:sz="4" w:space="0" w:color="auto"/>
              <w:left w:val="dotted" w:sz="4" w:space="0" w:color="auto"/>
              <w:bottom w:val="dotted" w:sz="4" w:space="0" w:color="auto"/>
              <w:right w:val="dotted" w:sz="4" w:space="0" w:color="auto"/>
            </w:tcBorders>
          </w:tcPr>
          <w:p>
            <w:pPr>
              <w:pStyle w:val="NoSpacing"/>
            </w:pPr>
            <w:r>
              <w:t>Partner organisations</w:t>
            </w:r>
          </w:p>
        </w:tc>
        <w:tc>
          <w:tcPr>
            <w:tcW w:w="1688" w:type="dxa"/>
            <w:tcBorders>
              <w:top w:val="dotted" w:sz="4" w:space="0" w:color="auto"/>
              <w:left w:val="dotted" w:sz="4" w:space="0" w:color="auto"/>
              <w:bottom w:val="dotted" w:sz="4" w:space="0" w:color="auto"/>
              <w:right w:val="dotted" w:sz="4" w:space="0" w:color="auto"/>
            </w:tcBorders>
          </w:tcPr>
          <w:p>
            <w:pPr>
              <w:pStyle w:val="NoSpacing"/>
            </w:pPr>
            <w:r>
              <w:t>Partial — partner table and roles</w:t>
            </w:r>
          </w:p>
        </w:tc>
        <w:tc>
          <w:tcPr>
            <w:tcW w:w="1668" w:type="dxa"/>
            <w:tcBorders>
              <w:top w:val="dotted" w:sz="4" w:space="0" w:color="auto"/>
              <w:left w:val="dotted" w:sz="4" w:space="0" w:color="auto"/>
              <w:bottom w:val="dotted" w:sz="4" w:space="0" w:color="auto"/>
              <w:right w:val="dotted" w:sz="4" w:space="0" w:color="auto"/>
            </w:tcBorders>
          </w:tcPr>
          <w:p>
            <w:pPr>
              <w:pStyle w:val="NoSpacing"/>
            </w:pPr>
            <w:r>
              <w:t>Partial — groups</w:t>
            </w:r>
          </w:p>
        </w:tc>
        <w:tc>
          <w:tcPr>
            <w:tcW w:w="1932" w:type="dxa"/>
            <w:tcBorders>
              <w:top w:val="dotted" w:sz="4" w:space="0" w:color="auto"/>
              <w:left w:val="dotted" w:sz="4" w:space="0" w:color="auto"/>
              <w:bottom w:val="dotted" w:sz="4" w:space="0" w:color="auto"/>
              <w:right w:val="dotted" w:sz="4" w:space="0" w:color="auto"/>
            </w:tcBorders>
          </w:tcPr>
          <w:p>
            <w:pPr>
              <w:pStyle w:val="NoSpacing"/>
            </w:pPr>
            <w:r>
              <w:t>Native — Organizations</w:t>
            </w:r>
          </w:p>
        </w:tc>
        <w:tc>
          <w:tcPr>
            <w:tcW w:w="1761" w:type="dxa"/>
            <w:tcBorders>
              <w:top w:val="dotted" w:sz="4" w:space="0" w:color="auto"/>
              <w:left w:val="dotted" w:sz="4" w:space="0" w:color="auto"/>
              <w:bottom w:val="dotted" w:sz="4" w:space="0" w:color="auto"/>
              <w:right w:val="dotted" w:sz="4" w:space="0" w:color="auto"/>
            </w:tcBorders>
          </w:tcPr>
          <w:p>
            <w:pPr>
              <w:pStyle w:val="NoSpacing"/>
            </w:pPr>
            <w:r>
              <w:t>Partial — groups</w:t>
            </w:r>
          </w:p>
        </w:tc>
      </w:tr>
      <w:tr>
        <w:trPr>
          <w:cantSplit/>
        </w:trPr>
        <w:tc>
          <w:tcPr>
            <w:tcW w:w="1977" w:type="dxa"/>
            <w:tcBorders>
              <w:top w:val="dotted" w:sz="4" w:space="0" w:color="auto"/>
              <w:left w:val="dotted" w:sz="4" w:space="0" w:color="auto"/>
              <w:bottom w:val="dotted" w:sz="4" w:space="0" w:color="auto"/>
              <w:right w:val="dotted" w:sz="4" w:space="0" w:color="auto"/>
            </w:tcBorders>
          </w:tcPr>
          <w:p>
            <w:pPr>
              <w:pStyle w:val="NoSpacing"/>
            </w:pPr>
            <w:r>
              <w:t>Password hash export</w:t>
            </w:r>
          </w:p>
        </w:tc>
        <w:tc>
          <w:tcPr>
            <w:tcW w:w="1688" w:type="dxa"/>
            <w:tcBorders>
              <w:top w:val="dotted" w:sz="4" w:space="0" w:color="auto"/>
              <w:left w:val="dotted" w:sz="4" w:space="0" w:color="auto"/>
              <w:bottom w:val="dotted" w:sz="4" w:space="0" w:color="auto"/>
              <w:right w:val="dotted" w:sz="4" w:space="0" w:color="auto"/>
            </w:tcBorders>
          </w:tcPr>
          <w:p>
            <w:pPr>
              <w:pStyle w:val="NoSpacing"/>
            </w:pPr>
            <w:r>
              <w:t>Native — own database</w:t>
            </w:r>
          </w:p>
        </w:tc>
        <w:tc>
          <w:tcPr>
            <w:tcW w:w="1668" w:type="dxa"/>
            <w:tcBorders>
              <w:top w:val="dotted" w:sz="4" w:space="0" w:color="auto"/>
              <w:left w:val="dotted" w:sz="4" w:space="0" w:color="auto"/>
              <w:bottom w:val="dotted" w:sz="4" w:space="0" w:color="auto"/>
              <w:right w:val="dotted" w:sz="4" w:space="0" w:color="auto"/>
            </w:tcBorders>
          </w:tcPr>
          <w:p>
            <w:pPr>
              <w:pStyle w:val="NoSpacing"/>
            </w:pPr>
            <w:r>
              <w:t>No</w:t>
            </w:r>
          </w:p>
        </w:tc>
        <w:tc>
          <w:tcPr>
            <w:tcW w:w="1932" w:type="dxa"/>
            <w:tcBorders>
              <w:top w:val="dotted" w:sz="4" w:space="0" w:color="auto"/>
              <w:left w:val="dotted" w:sz="4" w:space="0" w:color="auto"/>
              <w:bottom w:val="dotted" w:sz="4" w:space="0" w:color="auto"/>
              <w:right w:val="dotted" w:sz="4" w:space="0" w:color="auto"/>
            </w:tcBorders>
          </w:tcPr>
          <w:p>
            <w:pPr>
              <w:pStyle w:val="NoSpacing"/>
            </w:pPr>
            <w:r>
              <w:t>Partial — through vendor support</w:t>
            </w:r>
          </w:p>
        </w:tc>
        <w:tc>
          <w:tcPr>
            <w:tcW w:w="1761" w:type="dxa"/>
            <w:tcBorders>
              <w:top w:val="dotted" w:sz="4" w:space="0" w:color="auto"/>
              <w:left w:val="dotted" w:sz="4" w:space="0" w:color="auto"/>
              <w:bottom w:val="dotted" w:sz="4" w:space="0" w:color="auto"/>
              <w:right w:val="dotted" w:sz="4" w:space="0" w:color="auto"/>
            </w:tcBorders>
          </w:tcPr>
          <w:p>
            <w:pPr>
              <w:pStyle w:val="NoSpacing"/>
            </w:pPr>
            <w:r>
              <w:t>Native — own database</w:t>
            </w:r>
          </w:p>
        </w:tc>
      </w:tr>
      <w:tr>
        <w:trPr>
          <w:cantSplit/>
        </w:trPr>
        <w:tc>
          <w:tcPr>
            <w:tcW w:w="1977" w:type="dxa"/>
            <w:tcBorders>
              <w:top w:val="dotted" w:sz="4" w:space="0" w:color="auto"/>
              <w:left w:val="dotted" w:sz="4" w:space="0" w:color="auto"/>
              <w:bottom w:val="dotted" w:sz="4" w:space="0" w:color="auto"/>
              <w:right w:val="dotted" w:sz="4" w:space="0" w:color="auto"/>
            </w:tcBorders>
          </w:tcPr>
          <w:p>
            <w:pPr>
              <w:pStyle w:val="NoSpacing"/>
            </w:pPr>
            <w:r>
              <w:t>Runs on-premise</w:t>
            </w:r>
          </w:p>
        </w:tc>
        <w:tc>
          <w:tcPr>
            <w:tcW w:w="1688" w:type="dxa"/>
            <w:tcBorders>
              <w:top w:val="dotted" w:sz="4" w:space="0" w:color="auto"/>
              <w:left w:val="dotted" w:sz="4" w:space="0" w:color="auto"/>
              <w:bottom w:val="dotted" w:sz="4" w:space="0" w:color="auto"/>
              <w:right w:val="dotted" w:sz="4" w:space="0" w:color="auto"/>
            </w:tcBorders>
          </w:tcPr>
          <w:p>
            <w:pPr>
              <w:pStyle w:val="NoSpacing"/>
            </w:pPr>
            <w:r>
              <w:t>Yes</w:t>
            </w:r>
          </w:p>
        </w:tc>
        <w:tc>
          <w:tcPr>
            <w:tcW w:w="1668" w:type="dxa"/>
            <w:tcBorders>
              <w:top w:val="dotted" w:sz="4" w:space="0" w:color="auto"/>
              <w:left w:val="dotted" w:sz="4" w:space="0" w:color="auto"/>
              <w:bottom w:val="dotted" w:sz="4" w:space="0" w:color="auto"/>
              <w:right w:val="dotted" w:sz="4" w:space="0" w:color="auto"/>
            </w:tcBorders>
          </w:tcPr>
          <w:p>
            <w:pPr>
              <w:pStyle w:val="NoSpacing"/>
            </w:pPr>
            <w:r>
              <w:t>No</w:t>
            </w:r>
          </w:p>
        </w:tc>
        <w:tc>
          <w:tcPr>
            <w:tcW w:w="1932" w:type="dxa"/>
            <w:tcBorders>
              <w:top w:val="dotted" w:sz="4" w:space="0" w:color="auto"/>
              <w:left w:val="dotted" w:sz="4" w:space="0" w:color="auto"/>
              <w:bottom w:val="dotted" w:sz="4" w:space="0" w:color="auto"/>
              <w:right w:val="dotted" w:sz="4" w:space="0" w:color="auto"/>
            </w:tcBorders>
          </w:tcPr>
          <w:p>
            <w:pPr>
              <w:pStyle w:val="NoSpacing"/>
            </w:pPr>
            <w:r>
              <w:t>No</w:t>
            </w:r>
          </w:p>
        </w:tc>
        <w:tc>
          <w:tcPr>
            <w:tcW w:w="1761" w:type="dxa"/>
            <w:tcBorders>
              <w:top w:val="dotted" w:sz="4" w:space="0" w:color="auto"/>
              <w:left w:val="dotted" w:sz="4" w:space="0" w:color="auto"/>
              <w:bottom w:val="dotted" w:sz="4" w:space="0" w:color="auto"/>
              <w:right w:val="dotted" w:sz="4" w:space="0" w:color="auto"/>
            </w:tcBorders>
          </w:tcPr>
          <w:p>
            <w:pPr>
              <w:pStyle w:val="NoSpacing"/>
            </w:pPr>
            <w:r>
              <w:t>Yes</w:t>
            </w:r>
          </w:p>
        </w:tc>
      </w:tr>
    </w:tbl>
    <w:p/>
    <w:p>
      <w:pPr>
        <w:pStyle w:val="Heading2"/>
      </w:pPr>
      <w:bookmarkStart w:id="139" w:name="_Toc300000040"/>
      <w:r>
        <w:t>Comparison 3 — Pricing at eClaims Volume</w:t>
      </w:r>
      <w:bookmarkEnd w:id="139"/>
    </w:p>
    <w:p>
      <w:r>
        <w:t>Basis, stated so that the figures can be recalculated: about 2 million customer MAU, 50,000 partner MAU and 20,000 staff signing in through Okta federation; about 4 sign-ins per active user a month, about 8.3 million sign-in attempts. Okta workforce licences are assumed already held by YCompany and are excluded, as is the cost of SMS one-time passwords, which is the same under every option.</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011"/>
        <w:gridCol w:w="1662"/>
        <w:gridCol w:w="5353"/>
      </w:tblGrid>
      <w:tr>
        <w:trPr>
          <w:cantSplit/>
          <w:tblHeader/>
        </w:trPr>
        <w:tc>
          <w:tcPr>
            <w:tcW w:w="2011"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Option</w:t>
            </w:r>
          </w:p>
        </w:tc>
        <w:tc>
          <w:tcPr>
            <w:tcW w:w="1662"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Indicative monthly cost</w:t>
            </w:r>
          </w:p>
        </w:tc>
        <w:tc>
          <w:tcPr>
            <w:tcW w:w="5353"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Basis of estimate</w:t>
            </w:r>
          </w:p>
        </w:tc>
      </w:tr>
      <w:tr>
        <w:trPr>
          <w:cantSplit/>
        </w:trPr>
        <w:tc>
          <w:tcPr>
            <w:tcW w:w="2011" w:type="dxa"/>
            <w:tcBorders>
              <w:top w:val="dotted" w:sz="4" w:space="0" w:color="auto"/>
              <w:left w:val="dotted" w:sz="4" w:space="0" w:color="auto"/>
              <w:bottom w:val="dotted" w:sz="4" w:space="0" w:color="auto"/>
              <w:right w:val="dotted" w:sz="4" w:space="0" w:color="auto"/>
            </w:tcBorders>
          </w:tcPr>
          <w:p>
            <w:pPr>
              <w:pStyle w:val="NoSpacing"/>
            </w:pPr>
            <w:r>
              <w:t>eClaims Auth Service with Okta federation</w:t>
            </w:r>
          </w:p>
        </w:tc>
        <w:tc>
          <w:tcPr>
            <w:tcW w:w="1662" w:type="dxa"/>
            <w:tcBorders>
              <w:top w:val="dotted" w:sz="4" w:space="0" w:color="auto"/>
              <w:left w:val="dotted" w:sz="4" w:space="0" w:color="auto"/>
              <w:bottom w:val="dotted" w:sz="4" w:space="0" w:color="auto"/>
              <w:right w:val="dotted" w:sz="4" w:space="0" w:color="auto"/>
            </w:tcBorders>
          </w:tcPr>
          <w:p>
            <w:pPr>
              <w:pStyle w:val="NoSpacing"/>
            </w:pPr>
            <w:r>
              <w:t>≈ USD 8,500 at most</w:t>
            </w:r>
          </w:p>
        </w:tc>
        <w:tc>
          <w:tcPr>
            <w:tcW w:w="5353" w:type="dxa"/>
            <w:tcBorders>
              <w:top w:val="dotted" w:sz="4" w:space="0" w:color="auto"/>
              <w:left w:val="dotted" w:sz="4" w:space="0" w:color="auto"/>
              <w:bottom w:val="dotted" w:sz="4" w:space="0" w:color="auto"/>
              <w:right w:val="dotted" w:sz="4" w:space="0" w:color="auto"/>
            </w:tcBorders>
          </w:tcPr>
          <w:p>
            <w:pPr>
              <w:pStyle w:val="NoSpacing"/>
            </w:pPr>
            <w:r>
              <w:t>Four 1 vCPU / 2 GB Fargate tasks ≈ USD 150; WAF account takeover prevention on about 8.3 million attempts ≈ USD 8,300 at the 2022 launch rate, lower under tiered pricing. Plus the engineering of the security features, in the delivery estimate.</w:t>
            </w:r>
          </w:p>
        </w:tc>
      </w:tr>
      <w:tr>
        <w:trPr>
          <w:cantSplit/>
        </w:trPr>
        <w:tc>
          <w:tcPr>
            <w:tcW w:w="2011" w:type="dxa"/>
            <w:tcBorders>
              <w:top w:val="dotted" w:sz="4" w:space="0" w:color="auto"/>
              <w:left w:val="dotted" w:sz="4" w:space="0" w:color="auto"/>
              <w:bottom w:val="dotted" w:sz="4" w:space="0" w:color="auto"/>
              <w:right w:val="dotted" w:sz="4" w:space="0" w:color="auto"/>
            </w:tcBorders>
          </w:tcPr>
          <w:p>
            <w:pPr>
              <w:pStyle w:val="NoSpacing"/>
            </w:pPr>
            <w:r>
              <w:t>Amazon Cognito (Plus tier)</w:t>
            </w:r>
          </w:p>
        </w:tc>
        <w:tc>
          <w:tcPr>
            <w:tcW w:w="1662" w:type="dxa"/>
            <w:tcBorders>
              <w:top w:val="dotted" w:sz="4" w:space="0" w:color="auto"/>
              <w:left w:val="dotted" w:sz="4" w:space="0" w:color="auto"/>
              <w:bottom w:val="dotted" w:sz="4" w:space="0" w:color="auto"/>
              <w:right w:val="dotted" w:sz="4" w:space="0" w:color="auto"/>
            </w:tcBorders>
          </w:tcPr>
          <w:p>
            <w:pPr>
              <w:pStyle w:val="NoSpacing"/>
            </w:pPr>
            <w:r>
              <w:t>≈ USD 41,300</w:t>
            </w:r>
          </w:p>
        </w:tc>
        <w:tc>
          <w:tcPr>
            <w:tcW w:w="5353" w:type="dxa"/>
            <w:tcBorders>
              <w:top w:val="dotted" w:sz="4" w:space="0" w:color="auto"/>
              <w:left w:val="dotted" w:sz="4" w:space="0" w:color="auto"/>
              <w:bottom w:val="dotted" w:sz="4" w:space="0" w:color="auto"/>
              <w:right w:val="dotted" w:sz="4" w:space="0" w:color="auto"/>
            </w:tcBorders>
          </w:tcPr>
          <w:p>
            <w:pPr>
              <w:pStyle w:val="NoSpacing"/>
            </w:pPr>
            <w:r>
              <w:t>2.05 million MAU × USD 0.020 ≈ USD 41,000; 20,000 federated staff × USD 0.015 ≈ USD 300. At the Essentials tier, without threat protection, ≈ USD 30,900.</w:t>
            </w:r>
          </w:p>
        </w:tc>
      </w:tr>
      <w:tr>
        <w:trPr>
          <w:cantSplit/>
        </w:trPr>
        <w:tc>
          <w:tcPr>
            <w:tcW w:w="2011" w:type="dxa"/>
            <w:tcBorders>
              <w:top w:val="dotted" w:sz="4" w:space="0" w:color="auto"/>
              <w:left w:val="dotted" w:sz="4" w:space="0" w:color="auto"/>
              <w:bottom w:val="dotted" w:sz="4" w:space="0" w:color="auto"/>
              <w:right w:val="dotted" w:sz="4" w:space="0" w:color="auto"/>
            </w:tcBorders>
          </w:tcPr>
          <w:p>
            <w:pPr>
              <w:pStyle w:val="NoSpacing"/>
            </w:pPr>
            <w:r>
              <w:t>Okta Customer Identity (Auth0)</w:t>
            </w:r>
          </w:p>
        </w:tc>
        <w:tc>
          <w:tcPr>
            <w:tcW w:w="1662" w:type="dxa"/>
            <w:tcBorders>
              <w:top w:val="dotted" w:sz="4" w:space="0" w:color="auto"/>
              <w:left w:val="dotted" w:sz="4" w:space="0" w:color="auto"/>
              <w:bottom w:val="dotted" w:sz="4" w:space="0" w:color="auto"/>
              <w:right w:val="dotted" w:sz="4" w:space="0" w:color="auto"/>
            </w:tcBorders>
          </w:tcPr>
          <w:p>
            <w:pPr>
              <w:pStyle w:val="NoSpacing"/>
            </w:pPr>
            <w:r>
              <w:t>Quoted</w:t>
            </w:r>
          </w:p>
        </w:tc>
        <w:tc>
          <w:tcPr>
            <w:tcW w:w="5353" w:type="dxa"/>
            <w:tcBorders>
              <w:top w:val="dotted" w:sz="4" w:space="0" w:color="auto"/>
              <w:left w:val="dotted" w:sz="4" w:space="0" w:color="auto"/>
              <w:bottom w:val="dotted" w:sz="4" w:space="0" w:color="auto"/>
              <w:right w:val="dotted" w:sz="4" w:space="0" w:color="auto"/>
            </w:tcBorders>
          </w:tcPr>
          <w:p>
            <w:pPr>
              <w:pStyle w:val="NoSpacing"/>
            </w:pPr>
            <w:r>
              <w:t>Enterprise agreement at millions of MAU; expected to exceed Cognito.</w:t>
            </w:r>
          </w:p>
        </w:tc>
      </w:tr>
      <w:tr>
        <w:trPr>
          <w:cantSplit/>
        </w:trPr>
        <w:tc>
          <w:tcPr>
            <w:tcW w:w="2011" w:type="dxa"/>
            <w:tcBorders>
              <w:top w:val="dotted" w:sz="4" w:space="0" w:color="auto"/>
              <w:left w:val="dotted" w:sz="4" w:space="0" w:color="auto"/>
              <w:bottom w:val="dotted" w:sz="4" w:space="0" w:color="auto"/>
              <w:right w:val="dotted" w:sz="4" w:space="0" w:color="auto"/>
            </w:tcBorders>
          </w:tcPr>
          <w:p>
            <w:pPr>
              <w:pStyle w:val="NoSpacing"/>
            </w:pPr>
            <w:r>
              <w:t>Keycloak</w:t>
            </w:r>
          </w:p>
        </w:tc>
        <w:tc>
          <w:tcPr>
            <w:tcW w:w="1662" w:type="dxa"/>
            <w:tcBorders>
              <w:top w:val="dotted" w:sz="4" w:space="0" w:color="auto"/>
              <w:left w:val="dotted" w:sz="4" w:space="0" w:color="auto"/>
              <w:bottom w:val="dotted" w:sz="4" w:space="0" w:color="auto"/>
              <w:right w:val="dotted" w:sz="4" w:space="0" w:color="auto"/>
            </w:tcBorders>
          </w:tcPr>
          <w:p>
            <w:pPr>
              <w:pStyle w:val="NoSpacing"/>
            </w:pPr>
            <w:r>
              <w:t>≈ USD 1,200, plus 0.5–1.0 FTE</w:t>
            </w:r>
          </w:p>
        </w:tc>
        <w:tc>
          <w:tcPr>
            <w:tcW w:w="5353" w:type="dxa"/>
            <w:tcBorders>
              <w:top w:val="dotted" w:sz="4" w:space="0" w:color="auto"/>
              <w:left w:val="dotted" w:sz="4" w:space="0" w:color="auto"/>
              <w:bottom w:val="dotted" w:sz="4" w:space="0" w:color="auto"/>
              <w:right w:val="dotted" w:sz="4" w:space="0" w:color="auto"/>
            </w:tcBorders>
          </w:tcPr>
          <w:p>
            <w:pPr>
              <w:pStyle w:val="NoSpacing"/>
            </w:pPr>
            <w:r>
              <w:t>A highly available cluster and its PostgreSQL database in two Regions; WAF protection would be added as for the Auth Service.</w:t>
            </w:r>
          </w:p>
        </w:tc>
      </w:tr>
    </w:tbl>
    <w:p/>
    <w:p>
      <w:r>
        <w:t>All figures are indicative public list prices as at the document date and are not quotations. Per-MAU pricing is the dominant term at eClaims scale: if the portal reached 10 million MAU, the Cognito and Auth0 figures would grow about fivefold, while the Auth Service's would grow only with compute and analysed sign-ins.</w:t>
      </w:r>
    </w:p>
    <w:p>
      <w:pPr>
        <w:pStyle w:val="Heading2"/>
      </w:pPr>
      <w:bookmarkStart w:id="140" w:name="_Toc300000041"/>
      <w:r>
        <w:t>Sensitivity</w:t>
      </w:r>
      <w:bookmarkEnd w:id="140"/>
    </w:p>
    <w:p>
      <w:r>
        <w:t>The lead is 10 weighted points, so two weights matter: security controls, where Auth0 leads by two points, and cost, where the Auth Service leads by four. Holding the other weights constant:</w:t>
      </w:r>
    </w:p>
    <w:p>
      <w:pPr>
        <w:pStyle w:val="ListParagraph"/>
        <w:numPr>
          <w:ilvl w:val="0"/>
          <w:numId w:val="40"/>
        </w:numPr>
      </w:pPr>
      <w:r>
        <w:t>Security weight s: Auth Service (370 + 3s) ÷ (85 + s) against Auth0 (330 + 5s) ÷ (85 + s). Auth0 overtakes when s exceeds 20.</w:t>
      </w:r>
    </w:p>
    <w:p>
      <w:pPr>
        <w:pStyle w:val="ListParagraph"/>
        <w:numPr>
          <w:ilvl w:val="0"/>
          <w:numId w:val="40"/>
        </w:numPr>
      </w:pPr>
      <w:r>
        <w:t>Cost weight c: Auth Service (365 + 5c) ÷ (90 + c) against Auth0 (395 + 1c) ÷ (90 + c). Auth0 overtakes when c falls below 7.5.</w:t>
      </w:r>
    </w:p>
    <w:p>
      <w:pPr>
        <w:pStyle w:val="ListParagraph"/>
        <w:numPr>
          <w:ilvl w:val="0"/>
          <w:numId w:val="40"/>
        </w:numPr>
      </w:pPr>
      <w:r>
        <w:t>Auth0's quoted price: if Auth0 were priced to score 3 on cost instead of 1, it would total 4.25 and overtake.</w:t>
      </w:r>
    </w:p>
    <w:p>
      <w:r>
        <w:t>The recommendation therefore rests on two things that can be checked before the build starts: Auth0's and Cognito's quoted prices at 2 million MAU, and the team's ability to deliver the security features to the standard in risk I1.</w:t>
      </w:r>
    </w:p>
    <w:p>
      <w:pPr>
        <w:pStyle w:val="Heading2"/>
      </w:pPr>
      <w:bookmarkStart w:id="141" w:name="_Toc300000042"/>
      <w:r>
        <w:t>Recommendation</w:t>
      </w:r>
      <w:bookmarkEnd w:id="141"/>
    </w:p>
    <w:p>
      <w:r>
        <w:t>The eClaims Auth Service, federated with Okta for staff and protected by AWS WAF account takeover prevention, is recommended as the eClaims identity platform. Okta remains the identity provider for staff; the Auth Service holds customer and partner accounts and issues every eClaims token. This is the design in SAD Layers 2 and 6 and Section 8.</w:t>
      </w:r>
    </w:p>
    <w:p>
      <w:r>
        <w:t>The recommendation follows the analysis above. The Auth Service scores highest at 4.15 out of 5. It answers the policy-number registration and the single role model directly, keeps customer credentials in YCompany's own database, has no per-user fee at a scale where per-user pricing dominates, and runs on-premise unchanged.</w:t>
      </w:r>
    </w:p>
    <w:p>
      <w:r>
        <w:t>It is applied as follows:</w:t>
      </w:r>
    </w:p>
    <w:p>
      <w:pPr>
        <w:pStyle w:val="ListParagraph"/>
        <w:numPr>
          <w:ilvl w:val="0"/>
          <w:numId w:val="40"/>
        </w:numPr>
      </w:pPr>
      <w:r>
        <w:t>Okta as an OpenID Connect provider for staff; the Auth Service maps Okta groups to the six internal roles and issues the eClaims token. Okta starts a staff session only on a device YCompany manages (Okta device assurance), and the Internal Portal answers only YCompany corporate address ranges (SAD v2.0, Layer 2).</w:t>
      </w:r>
    </w:p>
    <w:p>
      <w:pPr>
        <w:pStyle w:val="ListParagraph"/>
        <w:numPr>
          <w:ilvl w:val="0"/>
          <w:numId w:val="40"/>
        </w:numPr>
      </w:pPr>
      <w:r>
        <w:t>MFA for customers and partners, with one-time passwords and WebAuthn, required for payment and for changes to contact or bank details.</w:t>
      </w:r>
    </w:p>
    <w:p>
      <w:pPr>
        <w:pStyle w:val="ListParagraph"/>
        <w:numPr>
          <w:ilvl w:val="0"/>
          <w:numId w:val="40"/>
        </w:numPr>
      </w:pPr>
      <w:r>
        <w:t>A breached-password check at registration and password reset, and lockout with rate limits on the sign-in endpoints.</w:t>
      </w:r>
    </w:p>
    <w:p>
      <w:pPr>
        <w:pStyle w:val="ListParagraph"/>
        <w:numPr>
          <w:ilvl w:val="0"/>
          <w:numId w:val="40"/>
        </w:numPr>
      </w:pPr>
      <w:r>
        <w:t>AWS WAF account takeover prevention on the sign-in endpoints.</w:t>
      </w:r>
    </w:p>
    <w:p>
      <w:pPr>
        <w:pStyle w:val="ListParagraph"/>
        <w:numPr>
          <w:ilvl w:val="0"/>
          <w:numId w:val="40"/>
        </w:numPr>
      </w:pPr>
      <w:r>
        <w:t>Token-signing keys in AWS KMS as asymmetric keys, rotated on a schedule; services cache the published key set; refresh tokens rotated on use and revocable.</w:t>
      </w:r>
    </w:p>
    <w:p>
      <w:pPr>
        <w:pStyle w:val="ListParagraph"/>
        <w:numPr>
          <w:ilvl w:val="0"/>
          <w:numId w:val="40"/>
        </w:numPr>
      </w:pPr>
      <w:r>
        <w:t>Every sign-in, failure, MFA change and password reset written to the application audit trail.</w:t>
      </w:r>
    </w:p>
    <w:p>
      <w:pPr>
        <w:pStyle w:val="ListParagraph"/>
        <w:numPr>
          <w:ilvl w:val="0"/>
          <w:numId w:val="40"/>
        </w:numPr>
      </w:pPr>
      <w:r>
        <w:t>OWASP Application Security Verification Standard Level 2 as the design checklist, and an external penetration test before go-live.</w:t>
      </w:r>
    </w:p>
    <w:p>
      <w:r>
        <w:t>The recommendation is made with its weaknesses on the record. The security features are built rather than bought, so their quality depends on the team and on keeping them current. Managed platforms will add capabilities such as passkeys and adaptive MFA first. And the margin over Auth0 is narrow, as Section 5.6 shows.</w:t>
      </w:r>
    </w:p>
    <w:p>
      <w:r>
        <w:t>Okta Customer Identity (Auth0) at 4.05 is the credible runner-up and would be the recommendation if its quoted price came close enough to score 3 on cost, or if security controls out of the box were weighted above 20. Because the Auth Service issues standard OpenID Connect tokens, a managed platform could later take over customer credentials behind the same tokens without changing the services that check them.</w:t>
      </w:r>
    </w:p>
    <w:p>
      <w:r>
        <w:br w:type="page"/>
      </w:r>
    </w:p>
    <w:p>
      <w:pPr>
        <w:pStyle w:val="Heading1"/>
      </w:pPr>
      <w:bookmarkStart w:id="142" w:name="_Toc300000043"/>
      <w:r>
        <w:t>Summary of Recommendations</w:t>
      </w:r>
      <w:bookmarkEnd w:id="142"/>
    </w:p>
    <w:p>
      <w:r>
        <w:t>All three recommendations confirm the SAD. The table records each margin and what would change it.</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84"/>
        <w:gridCol w:w="1917"/>
        <w:gridCol w:w="940"/>
        <w:gridCol w:w="1420"/>
        <w:gridCol w:w="940"/>
        <w:gridCol w:w="2225"/>
      </w:tblGrid>
      <w:tr>
        <w:trPr>
          <w:cantSplit/>
          <w:tblHeader/>
        </w:trPr>
        <w:tc>
          <w:tcPr>
            <w:tcW w:w="1584"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Decision</w:t>
            </w:r>
          </w:p>
        </w:tc>
        <w:tc>
          <w:tcPr>
            <w:tcW w:w="1917"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Recommended option</w:t>
            </w:r>
          </w:p>
        </w:tc>
        <w:tc>
          <w:tcPr>
            <w:tcW w:w="94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Score</w:t>
            </w:r>
          </w:p>
        </w:tc>
        <w:tc>
          <w:tcPr>
            <w:tcW w:w="142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Runner-up</w:t>
            </w:r>
          </w:p>
        </w:tc>
        <w:tc>
          <w:tcPr>
            <w:tcW w:w="94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Score</w:t>
            </w:r>
          </w:p>
        </w:tc>
        <w:tc>
          <w:tcPr>
            <w:tcW w:w="2225"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Would change if</w:t>
            </w:r>
          </w:p>
        </w:tc>
      </w:tr>
      <w:tr>
        <w:trPr>
          <w:cantSplit/>
        </w:trPr>
        <w:tc>
          <w:tcPr>
            <w:tcW w:w="1584" w:type="dxa"/>
            <w:tcBorders>
              <w:top w:val="dotted" w:sz="4" w:space="0" w:color="auto"/>
              <w:left w:val="dotted" w:sz="4" w:space="0" w:color="auto"/>
              <w:bottom w:val="dotted" w:sz="4" w:space="0" w:color="auto"/>
              <w:right w:val="dotted" w:sz="4" w:space="0" w:color="auto"/>
            </w:tcBorders>
          </w:tcPr>
          <w:p>
            <w:pPr>
              <w:pStyle w:val="NoSpacing"/>
            </w:pPr>
            <w:r>
              <w:t>Messaging and event backbone</w:t>
            </w:r>
          </w:p>
        </w:tc>
        <w:tc>
          <w:tcPr>
            <w:tcW w:w="1917" w:type="dxa"/>
            <w:tcBorders>
              <w:top w:val="dotted" w:sz="4" w:space="0" w:color="auto"/>
              <w:left w:val="dotted" w:sz="4" w:space="0" w:color="auto"/>
              <w:bottom w:val="dotted" w:sz="4" w:space="0" w:color="auto"/>
              <w:right w:val="dotted" w:sz="4" w:space="0" w:color="auto"/>
            </w:tcBorders>
          </w:tcPr>
          <w:p>
            <w:pPr>
              <w:pStyle w:val="NoSpacing"/>
            </w:pPr>
            <w:r>
              <w:t>Amazon EventBridge with SQS and SNS</w:t>
            </w:r>
          </w:p>
        </w:tc>
        <w:tc>
          <w:tcPr>
            <w:tcW w:w="940" w:type="dxa"/>
            <w:tcBorders>
              <w:top w:val="dotted" w:sz="4" w:space="0" w:color="auto"/>
              <w:left w:val="dotted" w:sz="4" w:space="0" w:color="auto"/>
              <w:bottom w:val="dotted" w:sz="4" w:space="0" w:color="auto"/>
              <w:right w:val="dotted" w:sz="4" w:space="0" w:color="auto"/>
            </w:tcBorders>
          </w:tcPr>
          <w:p>
            <w:pPr>
              <w:pStyle w:val="NoSpacing"/>
            </w:pPr>
            <w:r>
              <w:t>4.60</w:t>
            </w:r>
          </w:p>
        </w:tc>
        <w:tc>
          <w:tcPr>
            <w:tcW w:w="1420" w:type="dxa"/>
            <w:tcBorders>
              <w:top w:val="dotted" w:sz="4" w:space="0" w:color="auto"/>
              <w:left w:val="dotted" w:sz="4" w:space="0" w:color="auto"/>
              <w:bottom w:val="dotted" w:sz="4" w:space="0" w:color="auto"/>
              <w:right w:val="dotted" w:sz="4" w:space="0" w:color="auto"/>
            </w:tcBorders>
          </w:tcPr>
          <w:p>
            <w:pPr>
              <w:pStyle w:val="NoSpacing"/>
            </w:pPr>
            <w:r>
              <w:t>SNS with SQS</w:t>
            </w:r>
          </w:p>
        </w:tc>
        <w:tc>
          <w:tcPr>
            <w:tcW w:w="940" w:type="dxa"/>
            <w:tcBorders>
              <w:top w:val="dotted" w:sz="4" w:space="0" w:color="auto"/>
              <w:left w:val="dotted" w:sz="4" w:space="0" w:color="auto"/>
              <w:bottom w:val="dotted" w:sz="4" w:space="0" w:color="auto"/>
              <w:right w:val="dotted" w:sz="4" w:space="0" w:color="auto"/>
            </w:tcBorders>
          </w:tcPr>
          <w:p>
            <w:pPr>
              <w:pStyle w:val="NoSpacing"/>
            </w:pPr>
            <w:r>
              <w:t>4.10</w:t>
            </w:r>
          </w:p>
        </w:tc>
        <w:tc>
          <w:tcPr>
            <w:tcW w:w="2225" w:type="dxa"/>
            <w:tcBorders>
              <w:top w:val="dotted" w:sz="4" w:space="0" w:color="auto"/>
              <w:left w:val="dotted" w:sz="4" w:space="0" w:color="auto"/>
              <w:bottom w:val="dotted" w:sz="4" w:space="0" w:color="auto"/>
              <w:right w:val="dotted" w:sz="4" w:space="0" w:color="auto"/>
            </w:tcBorders>
          </w:tcPr>
          <w:p>
            <w:pPr>
              <w:pStyle w:val="NoSpacing"/>
            </w:pPr>
            <w:r>
              <w:t>Replay and direct workflow targets were not needed; or eClaims adopted event sourcing (Amazon MSK)</w:t>
            </w:r>
          </w:p>
        </w:tc>
      </w:tr>
      <w:tr>
        <w:trPr>
          <w:cantSplit/>
        </w:trPr>
        <w:tc>
          <w:tcPr>
            <w:tcW w:w="1584" w:type="dxa"/>
            <w:tcBorders>
              <w:top w:val="dotted" w:sz="4" w:space="0" w:color="auto"/>
              <w:left w:val="dotted" w:sz="4" w:space="0" w:color="auto"/>
              <w:bottom w:val="dotted" w:sz="4" w:space="0" w:color="auto"/>
              <w:right w:val="dotted" w:sz="4" w:space="0" w:color="auto"/>
            </w:tcBorders>
          </w:tcPr>
          <w:p>
            <w:pPr>
              <w:pStyle w:val="NoSpacing"/>
            </w:pPr>
            <w:r>
              <w:t>Reporting and analytics store</w:t>
            </w:r>
          </w:p>
        </w:tc>
        <w:tc>
          <w:tcPr>
            <w:tcW w:w="1917" w:type="dxa"/>
            <w:tcBorders>
              <w:top w:val="dotted" w:sz="4" w:space="0" w:color="auto"/>
              <w:left w:val="dotted" w:sz="4" w:space="0" w:color="auto"/>
              <w:bottom w:val="dotted" w:sz="4" w:space="0" w:color="auto"/>
              <w:right w:val="dotted" w:sz="4" w:space="0" w:color="auto"/>
            </w:tcBorders>
          </w:tcPr>
          <w:p>
            <w:pPr>
              <w:pStyle w:val="NoSpacing"/>
            </w:pPr>
            <w:r>
              <w:t>Amazon Redshift, RA3 with zero-ETL</w:t>
            </w:r>
          </w:p>
        </w:tc>
        <w:tc>
          <w:tcPr>
            <w:tcW w:w="940" w:type="dxa"/>
            <w:tcBorders>
              <w:top w:val="dotted" w:sz="4" w:space="0" w:color="auto"/>
              <w:left w:val="dotted" w:sz="4" w:space="0" w:color="auto"/>
              <w:bottom w:val="dotted" w:sz="4" w:space="0" w:color="auto"/>
              <w:right w:val="dotted" w:sz="4" w:space="0" w:color="auto"/>
            </w:tcBorders>
          </w:tcPr>
          <w:p>
            <w:pPr>
              <w:pStyle w:val="NoSpacing"/>
            </w:pPr>
            <w:r>
              <w:t>4.50</w:t>
            </w:r>
          </w:p>
        </w:tc>
        <w:tc>
          <w:tcPr>
            <w:tcW w:w="1420" w:type="dxa"/>
            <w:tcBorders>
              <w:top w:val="dotted" w:sz="4" w:space="0" w:color="auto"/>
              <w:left w:val="dotted" w:sz="4" w:space="0" w:color="auto"/>
              <w:bottom w:val="dotted" w:sz="4" w:space="0" w:color="auto"/>
              <w:right w:val="dotted" w:sz="4" w:space="0" w:color="auto"/>
            </w:tcBorders>
          </w:tcPr>
          <w:p>
            <w:pPr>
              <w:pStyle w:val="NoSpacing"/>
            </w:pPr>
            <w:r>
              <w:t>Athena on S3</w:t>
            </w:r>
          </w:p>
        </w:tc>
        <w:tc>
          <w:tcPr>
            <w:tcW w:w="940" w:type="dxa"/>
            <w:tcBorders>
              <w:top w:val="dotted" w:sz="4" w:space="0" w:color="auto"/>
              <w:left w:val="dotted" w:sz="4" w:space="0" w:color="auto"/>
              <w:bottom w:val="dotted" w:sz="4" w:space="0" w:color="auto"/>
              <w:right w:val="dotted" w:sz="4" w:space="0" w:color="auto"/>
            </w:tcBorders>
          </w:tcPr>
          <w:p>
            <w:pPr>
              <w:pStyle w:val="NoSpacing"/>
            </w:pPr>
            <w:r>
              <w:t>4.20</w:t>
            </w:r>
          </w:p>
        </w:tc>
        <w:tc>
          <w:tcPr>
            <w:tcW w:w="2225" w:type="dxa"/>
            <w:tcBorders>
              <w:top w:val="dotted" w:sz="4" w:space="0" w:color="auto"/>
              <w:left w:val="dotted" w:sz="4" w:space="0" w:color="auto"/>
              <w:bottom w:val="dotted" w:sz="4" w:space="0" w:color="auto"/>
              <w:right w:val="dotted" w:sz="4" w:space="0" w:color="auto"/>
            </w:tcBorders>
          </w:tcPr>
          <w:p>
            <w:pPr>
              <w:pStyle w:val="NoSpacing"/>
            </w:pPr>
            <w:r>
              <w:t>The on-premise weight exceeded 15 or the cost weight 25; or an open data lake were shared across YCompany</w:t>
            </w:r>
          </w:p>
        </w:tc>
      </w:tr>
      <w:tr>
        <w:trPr>
          <w:cantSplit/>
        </w:trPr>
        <w:tc>
          <w:tcPr>
            <w:tcW w:w="1584" w:type="dxa"/>
            <w:tcBorders>
              <w:top w:val="dotted" w:sz="4" w:space="0" w:color="auto"/>
              <w:left w:val="dotted" w:sz="4" w:space="0" w:color="auto"/>
              <w:bottom w:val="dotted" w:sz="4" w:space="0" w:color="auto"/>
              <w:right w:val="dotted" w:sz="4" w:space="0" w:color="auto"/>
            </w:tcBorders>
          </w:tcPr>
          <w:p>
            <w:pPr>
              <w:pStyle w:val="NoSpacing"/>
            </w:pPr>
            <w:r>
              <w:t>Identity and access</w:t>
            </w:r>
          </w:p>
        </w:tc>
        <w:tc>
          <w:tcPr>
            <w:tcW w:w="1917" w:type="dxa"/>
            <w:tcBorders>
              <w:top w:val="dotted" w:sz="4" w:space="0" w:color="auto"/>
              <w:left w:val="dotted" w:sz="4" w:space="0" w:color="auto"/>
              <w:bottom w:val="dotted" w:sz="4" w:space="0" w:color="auto"/>
              <w:right w:val="dotted" w:sz="4" w:space="0" w:color="auto"/>
            </w:tcBorders>
          </w:tcPr>
          <w:p>
            <w:pPr>
              <w:pStyle w:val="NoSpacing"/>
            </w:pPr>
            <w:r>
              <w:t>eClaims Auth Service with Okta federation</w:t>
            </w:r>
          </w:p>
        </w:tc>
        <w:tc>
          <w:tcPr>
            <w:tcW w:w="940" w:type="dxa"/>
            <w:tcBorders>
              <w:top w:val="dotted" w:sz="4" w:space="0" w:color="auto"/>
              <w:left w:val="dotted" w:sz="4" w:space="0" w:color="auto"/>
              <w:bottom w:val="dotted" w:sz="4" w:space="0" w:color="auto"/>
              <w:right w:val="dotted" w:sz="4" w:space="0" w:color="auto"/>
            </w:tcBorders>
          </w:tcPr>
          <w:p>
            <w:pPr>
              <w:pStyle w:val="NoSpacing"/>
            </w:pPr>
            <w:r>
              <w:t>4.15</w:t>
            </w:r>
          </w:p>
        </w:tc>
        <w:tc>
          <w:tcPr>
            <w:tcW w:w="1420" w:type="dxa"/>
            <w:tcBorders>
              <w:top w:val="dotted" w:sz="4" w:space="0" w:color="auto"/>
              <w:left w:val="dotted" w:sz="4" w:space="0" w:color="auto"/>
              <w:bottom w:val="dotted" w:sz="4" w:space="0" w:color="auto"/>
              <w:right w:val="dotted" w:sz="4" w:space="0" w:color="auto"/>
            </w:tcBorders>
          </w:tcPr>
          <w:p>
            <w:pPr>
              <w:pStyle w:val="NoSpacing"/>
            </w:pPr>
            <w:r>
              <w:t>Auth0</w:t>
            </w:r>
          </w:p>
        </w:tc>
        <w:tc>
          <w:tcPr>
            <w:tcW w:w="940" w:type="dxa"/>
            <w:tcBorders>
              <w:top w:val="dotted" w:sz="4" w:space="0" w:color="auto"/>
              <w:left w:val="dotted" w:sz="4" w:space="0" w:color="auto"/>
              <w:bottom w:val="dotted" w:sz="4" w:space="0" w:color="auto"/>
              <w:right w:val="dotted" w:sz="4" w:space="0" w:color="auto"/>
            </w:tcBorders>
          </w:tcPr>
          <w:p>
            <w:pPr>
              <w:pStyle w:val="NoSpacing"/>
            </w:pPr>
            <w:r>
              <w:t>4.05</w:t>
            </w:r>
          </w:p>
        </w:tc>
        <w:tc>
          <w:tcPr>
            <w:tcW w:w="2225" w:type="dxa"/>
            <w:tcBorders>
              <w:top w:val="dotted" w:sz="4" w:space="0" w:color="auto"/>
              <w:left w:val="dotted" w:sz="4" w:space="0" w:color="auto"/>
              <w:bottom w:val="dotted" w:sz="4" w:space="0" w:color="auto"/>
              <w:right w:val="dotted" w:sz="4" w:space="0" w:color="auto"/>
            </w:tcBorders>
          </w:tcPr>
          <w:p>
            <w:pPr>
              <w:pStyle w:val="NoSpacing"/>
            </w:pPr>
            <w:r>
              <w:t>Auth0's quoted price scored 3 on cost; or the security weight exceeded 20</w:t>
            </w:r>
          </w:p>
        </w:tc>
      </w:tr>
    </w:tbl>
    <w:p/>
    <w:p>
      <w:r>
        <w:t>The analysis adds four details to the SAD's design without changing it: the event envelope with a claim version that provides ordering per claim; the zero-ETL integration as the named change-data-capture mechanism; AWS WAF account takeover prevention on the sign-in endpoints; and a review of Redshift Serverless after six months of measured use.</w:t>
      </w:r>
    </w:p>
    <w:p>
      <w:r>
        <w:br w:type="page"/>
      </w:r>
    </w:p>
    <w:p>
      <w:pPr>
        <w:pStyle w:val="Heading1"/>
      </w:pPr>
      <w:bookmarkStart w:id="143" w:name="_Toc300000044"/>
      <w:r>
        <w:t>Assumptions</w:t>
      </w:r>
      <w:bookmarkEnd w:id="143"/>
    </w:p>
    <w:p>
      <w:r>
        <w:t>The following assumptions underpin this evaluation and its recommendations. A material change to any of them should trigger a review.</w:t>
      </w:r>
    </w:p>
    <w:p>
      <w:pPr>
        <w:pStyle w:val="ListParagraph"/>
        <w:numPr>
          <w:ilvl w:val="0"/>
          <w:numId w:val="40"/>
        </w:numPr>
      </w:pPr>
      <w:r>
        <w:t>AWS as cloud provider — YCompany will adopt AWS (SAD Section 10, Assumption 1). The on-premise profile in SAD Section 4 names Kafka or RabbitMQ, a PostgreSQL-based warehouse or ClickHouse, and Keycloak or Okta with on-premise connectors as the equivalents.</w:t>
      </w:r>
    </w:p>
    <w:p>
      <w:pPr>
        <w:pStyle w:val="ListParagraph"/>
        <w:numPr>
          <w:ilvl w:val="0"/>
          <w:numId w:val="40"/>
        </w:numPr>
      </w:pPr>
      <w:r>
        <w:t>Okta is YCompany's workforce identity provider — staff accounts, staff MFA and joiner-mover-leaver processes stay in Okta; eClaims adds an application integration, not new licences. To be confirmed with YCompany.</w:t>
      </w:r>
    </w:p>
    <w:p>
      <w:pPr>
        <w:pStyle w:val="ListParagraph"/>
        <w:numPr>
          <w:ilvl w:val="0"/>
          <w:numId w:val="40"/>
        </w:numPr>
      </w:pPr>
      <w:r>
        <w:t>Workload basis — the volumes in Section 2.3. Messaging and analytics costs scale roughly linearly with events and data; identity costs with monthly active users.</w:t>
      </w:r>
    </w:p>
    <w:p>
      <w:pPr>
        <w:pStyle w:val="ListParagraph"/>
        <w:numPr>
          <w:ilvl w:val="0"/>
          <w:numId w:val="40"/>
        </w:numPr>
      </w:pPr>
      <w:r>
        <w:t>Monthly active users — about 2 million customers. At 10 million, per-MAU options cost about five times the figures in Section 5.5.</w:t>
      </w:r>
    </w:p>
    <w:p>
      <w:pPr>
        <w:pStyle w:val="ListParagraph"/>
        <w:numPr>
          <w:ilvl w:val="0"/>
          <w:numId w:val="40"/>
        </w:numPr>
      </w:pPr>
      <w:r>
        <w:t>PostgreSQL version — RDS for PostgreSQL 15.4 or later (SAD Section 8 names PostgreSQL 15), with a primary key on every table the zero-ETL integration replicates.</w:t>
      </w:r>
    </w:p>
    <w:p>
      <w:pPr>
        <w:pStyle w:val="ListParagraph"/>
        <w:numPr>
          <w:ilvl w:val="0"/>
          <w:numId w:val="40"/>
        </w:numPr>
      </w:pPr>
      <w:r>
        <w:t>Transactional outbox in the target — events are published from the outbox, so a committed claim change always produces its event, also after a Region failover.</w:t>
      </w:r>
    </w:p>
    <w:p>
      <w:pPr>
        <w:pStyle w:val="ListParagraph"/>
        <w:numPr>
          <w:ilvl w:val="0"/>
          <w:numId w:val="40"/>
        </w:numPr>
      </w:pPr>
      <w:r>
        <w:t>Small events — events carry identifiers, not documents, and stay under 64 KB.</w:t>
      </w:r>
    </w:p>
    <w:p>
      <w:pPr>
        <w:pStyle w:val="ListParagraph"/>
        <w:numPr>
          <w:ilvl w:val="0"/>
          <w:numId w:val="40"/>
        </w:numPr>
      </w:pPr>
      <w:r>
        <w:t>Common costs excluded — SMS and email delivery, and reporting-tool licences, are the same under every option.</w:t>
      </w:r>
    </w:p>
    <w:p>
      <w:pPr>
        <w:pStyle w:val="ListParagraph"/>
        <w:numPr>
          <w:ilvl w:val="0"/>
          <w:numId w:val="40"/>
        </w:numPr>
      </w:pPr>
      <w:r>
        <w:t>Pricing is indicative — public list prices for us-east-1 at the document date, before taxes, discounts and committed-use agreements; Auth0 and Snowflake enterprise pricing is quoted per customer.</w:t>
      </w:r>
    </w:p>
    <w:p>
      <w:pPr>
        <w:pStyle w:val="ListParagraph"/>
        <w:numPr>
          <w:ilvl w:val="0"/>
          <w:numId w:val="40"/>
        </w:numPr>
      </w:pPr>
      <w:r>
        <w:t>Team capability — the delivery team is competent in Python and AWS; no existing Kafka, Snowflake, Auth0 or Keycloak capability is assumed.</w:t>
      </w:r>
    </w:p>
    <w:p>
      <w:r>
        <w:br w:type="page"/>
      </w:r>
    </w:p>
    <w:p>
      <w:pPr>
        <w:pStyle w:val="Heading1"/>
      </w:pPr>
      <w:bookmarkStart w:id="144" w:name="_Toc300000045"/>
      <w:r>
        <w:t>Risks</w:t>
      </w:r>
      <w:bookmarkEnd w:id="144"/>
    </w:p>
    <w:p>
      <w:r>
        <w:t>The following risks arise from the recommended options, with the mitigation carried in the architecture rather than deferred to implementation.</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20"/>
        <w:gridCol w:w="1900"/>
        <w:gridCol w:w="2844"/>
        <w:gridCol w:w="3462"/>
      </w:tblGrid>
      <w:tr>
        <w:trPr>
          <w:cantSplit/>
          <w:tblHeader/>
        </w:trPr>
        <w:tc>
          <w:tcPr>
            <w:tcW w:w="82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Risk ID</w:t>
            </w:r>
          </w:p>
        </w:tc>
        <w:tc>
          <w:tcPr>
            <w:tcW w:w="190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Risk Area</w:t>
            </w:r>
          </w:p>
        </w:tc>
        <w:tc>
          <w:tcPr>
            <w:tcW w:w="2844"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Risk Description</w:t>
            </w:r>
          </w:p>
        </w:tc>
        <w:tc>
          <w:tcPr>
            <w:tcW w:w="3462"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Mitigation Strategy</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M1</w:t>
            </w:r>
          </w:p>
        </w:tc>
        <w:tc>
          <w:tcPr>
            <w:tcW w:w="1900" w:type="dxa"/>
            <w:tcBorders>
              <w:top w:val="dotted" w:sz="4" w:space="0" w:color="auto"/>
              <w:left w:val="dotted" w:sz="4" w:space="0" w:color="auto"/>
              <w:bottom w:val="dotted" w:sz="4" w:space="0" w:color="auto"/>
              <w:right w:val="dotted" w:sz="4" w:space="0" w:color="auto"/>
            </w:tcBorders>
          </w:tcPr>
          <w:p>
            <w:pPr>
              <w:pStyle w:val="NoSpacing"/>
            </w:pPr>
            <w:r>
              <w:t>Event ordering</w:t>
            </w:r>
          </w:p>
        </w:tc>
        <w:tc>
          <w:tcPr>
            <w:tcW w:w="2844" w:type="dxa"/>
            <w:tcBorders>
              <w:top w:val="dotted" w:sz="4" w:space="0" w:color="auto"/>
              <w:left w:val="dotted" w:sz="4" w:space="0" w:color="auto"/>
              <w:bottom w:val="dotted" w:sz="4" w:space="0" w:color="auto"/>
              <w:right w:val="dotted" w:sz="4" w:space="0" w:color="auto"/>
            </w:tcBorders>
          </w:tcPr>
          <w:p>
            <w:pPr>
              <w:pStyle w:val="NoSpacing"/>
            </w:pPr>
            <w:r>
              <w:t>EventBridge and standard SQS queues do not guarantee order, so a customer could be told "approved" before "under survey".</w:t>
            </w:r>
          </w:p>
        </w:tc>
        <w:tc>
          <w:tcPr>
            <w:tcW w:w="3462" w:type="dxa"/>
            <w:tcBorders>
              <w:top w:val="dotted" w:sz="4" w:space="0" w:color="auto"/>
              <w:left w:val="dotted" w:sz="4" w:space="0" w:color="auto"/>
              <w:bottom w:val="dotted" w:sz="4" w:space="0" w:color="auto"/>
              <w:right w:val="dotted" w:sz="4" w:space="0" w:color="auto"/>
            </w:tcBorders>
          </w:tcPr>
          <w:p>
            <w:pPr>
              <w:pStyle w:val="NoSpacing"/>
            </w:pPr>
            <w:r>
              <w:t>Every event carries the claim version, and consumers drop an event older than the version they hold. The notification queue can be FIFO with the claim ID as message group.</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M2</w:t>
            </w:r>
          </w:p>
        </w:tc>
        <w:tc>
          <w:tcPr>
            <w:tcW w:w="1900" w:type="dxa"/>
            <w:tcBorders>
              <w:top w:val="dotted" w:sz="4" w:space="0" w:color="auto"/>
              <w:left w:val="dotted" w:sz="4" w:space="0" w:color="auto"/>
              <w:bottom w:val="dotted" w:sz="4" w:space="0" w:color="auto"/>
              <w:right w:val="dotted" w:sz="4" w:space="0" w:color="auto"/>
            </w:tcBorders>
          </w:tcPr>
          <w:p>
            <w:pPr>
              <w:pStyle w:val="NoSpacing"/>
            </w:pPr>
            <w:r>
              <w:t>Duplicate delivery</w:t>
            </w:r>
          </w:p>
        </w:tc>
        <w:tc>
          <w:tcPr>
            <w:tcW w:w="2844" w:type="dxa"/>
            <w:tcBorders>
              <w:top w:val="dotted" w:sz="4" w:space="0" w:color="auto"/>
              <w:left w:val="dotted" w:sz="4" w:space="0" w:color="auto"/>
              <w:bottom w:val="dotted" w:sz="4" w:space="0" w:color="auto"/>
              <w:right w:val="dotted" w:sz="4" w:space="0" w:color="auto"/>
            </w:tcBorders>
          </w:tcPr>
          <w:p>
            <w:pPr>
              <w:pStyle w:val="NoSpacing"/>
            </w:pPr>
            <w:r>
              <w:t>Delivery is at least once, so a consumer can receive the same event twice and, for example, send two SMS.</w:t>
            </w:r>
          </w:p>
        </w:tc>
        <w:tc>
          <w:tcPr>
            <w:tcW w:w="3462" w:type="dxa"/>
            <w:tcBorders>
              <w:top w:val="dotted" w:sz="4" w:space="0" w:color="auto"/>
              <w:left w:val="dotted" w:sz="4" w:space="0" w:color="auto"/>
              <w:bottom w:val="dotted" w:sz="4" w:space="0" w:color="auto"/>
              <w:right w:val="dotted" w:sz="4" w:space="0" w:color="auto"/>
            </w:tcBorders>
          </w:tcPr>
          <w:p>
            <w:pPr>
              <w:pStyle w:val="NoSpacing"/>
            </w:pPr>
            <w:r>
              <w:t>Consumers record processed event IDs for the queue's retention period. The email Message-ID is the event ID, as in the proof of concept.</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M3</w:t>
            </w:r>
          </w:p>
        </w:tc>
        <w:tc>
          <w:tcPr>
            <w:tcW w:w="1900" w:type="dxa"/>
            <w:tcBorders>
              <w:top w:val="dotted" w:sz="4" w:space="0" w:color="auto"/>
              <w:left w:val="dotted" w:sz="4" w:space="0" w:color="auto"/>
              <w:bottom w:val="dotted" w:sz="4" w:space="0" w:color="auto"/>
              <w:right w:val="dotted" w:sz="4" w:space="0" w:color="auto"/>
            </w:tcBorders>
          </w:tcPr>
          <w:p>
            <w:pPr>
              <w:pStyle w:val="NoSpacing"/>
            </w:pPr>
            <w:r>
              <w:t>Poison messages and silent backlogs</w:t>
            </w:r>
          </w:p>
        </w:tc>
        <w:tc>
          <w:tcPr>
            <w:tcW w:w="2844" w:type="dxa"/>
            <w:tcBorders>
              <w:top w:val="dotted" w:sz="4" w:space="0" w:color="auto"/>
              <w:left w:val="dotted" w:sz="4" w:space="0" w:color="auto"/>
              <w:bottom w:val="dotted" w:sz="4" w:space="0" w:color="auto"/>
              <w:right w:val="dotted" w:sz="4" w:space="0" w:color="auto"/>
            </w:tcBorders>
          </w:tcPr>
          <w:p>
            <w:pPr>
              <w:pStyle w:val="NoSpacing"/>
            </w:pPr>
            <w:r>
              <w:t>A malformed event can fail repeatedly, and a stuck consumer can build a backlog unnoticed.</w:t>
            </w:r>
          </w:p>
        </w:tc>
        <w:tc>
          <w:tcPr>
            <w:tcW w:w="3462" w:type="dxa"/>
            <w:tcBorders>
              <w:top w:val="dotted" w:sz="4" w:space="0" w:color="auto"/>
              <w:left w:val="dotted" w:sz="4" w:space="0" w:color="auto"/>
              <w:bottom w:val="dotted" w:sz="4" w:space="0" w:color="auto"/>
              <w:right w:val="dotted" w:sz="4" w:space="0" w:color="auto"/>
            </w:tcBorders>
          </w:tcPr>
          <w:p>
            <w:pPr>
              <w:pStyle w:val="NoSpacing"/>
            </w:pPr>
            <w:r>
              <w:t>A dead-letter queue on every queue and on every EventBridge target, alarmed on its first message; an alarm on the age of the oldest message at 60 seconds (SAD Section 9.3); redrive after the fix.</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M4</w:t>
            </w:r>
          </w:p>
        </w:tc>
        <w:tc>
          <w:tcPr>
            <w:tcW w:w="1900" w:type="dxa"/>
            <w:tcBorders>
              <w:top w:val="dotted" w:sz="4" w:space="0" w:color="auto"/>
              <w:left w:val="dotted" w:sz="4" w:space="0" w:color="auto"/>
              <w:bottom w:val="dotted" w:sz="4" w:space="0" w:color="auto"/>
              <w:right w:val="dotted" w:sz="4" w:space="0" w:color="auto"/>
            </w:tcBorders>
          </w:tcPr>
          <w:p>
            <w:pPr>
              <w:pStyle w:val="NoSpacing"/>
            </w:pPr>
            <w:r>
              <w:t>Events in flight at a Region failure</w:t>
            </w:r>
          </w:p>
        </w:tc>
        <w:tc>
          <w:tcPr>
            <w:tcW w:w="2844" w:type="dxa"/>
            <w:tcBorders>
              <w:top w:val="dotted" w:sz="4" w:space="0" w:color="auto"/>
              <w:left w:val="dotted" w:sz="4" w:space="0" w:color="auto"/>
              <w:bottom w:val="dotted" w:sz="4" w:space="0" w:color="auto"/>
              <w:right w:val="dotted" w:sz="4" w:space="0" w:color="auto"/>
            </w:tcBorders>
          </w:tcPr>
          <w:p>
            <w:pPr>
              <w:pStyle w:val="NoSpacing"/>
            </w:pPr>
            <w:r>
              <w:t>Messages queued in us-east-1 are not replicated.</w:t>
            </w:r>
          </w:p>
        </w:tc>
        <w:tc>
          <w:tcPr>
            <w:tcW w:w="3462" w:type="dxa"/>
            <w:tcBorders>
              <w:top w:val="dotted" w:sz="4" w:space="0" w:color="auto"/>
              <w:left w:val="dotted" w:sz="4" w:space="0" w:color="auto"/>
              <w:bottom w:val="dotted" w:sz="4" w:space="0" w:color="auto"/>
              <w:right w:val="dotted" w:sz="4" w:space="0" w:color="auto"/>
            </w:tcBorders>
          </w:tcPr>
          <w:p>
            <w:pPr>
              <w:pStyle w:val="NoSpacing"/>
            </w:pPr>
            <w:r>
              <w:t>Events are published from the transactional outbox in the replicated database; the failover runbook re-drives unpublished and unprocessed events from the outbox and the claim status; the archive allows replay.</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M5</w:t>
            </w:r>
          </w:p>
        </w:tc>
        <w:tc>
          <w:tcPr>
            <w:tcW w:w="1900" w:type="dxa"/>
            <w:tcBorders>
              <w:top w:val="dotted" w:sz="4" w:space="0" w:color="auto"/>
              <w:left w:val="dotted" w:sz="4" w:space="0" w:color="auto"/>
              <w:bottom w:val="dotted" w:sz="4" w:space="0" w:color="auto"/>
              <w:right w:val="dotted" w:sz="4" w:space="0" w:color="auto"/>
            </w:tcBorders>
          </w:tcPr>
          <w:p>
            <w:pPr>
              <w:pStyle w:val="NoSpacing"/>
            </w:pPr>
            <w:r>
              <w:t>AWS lock-in of the backbone</w:t>
            </w:r>
          </w:p>
        </w:tc>
        <w:tc>
          <w:tcPr>
            <w:tcW w:w="2844" w:type="dxa"/>
            <w:tcBorders>
              <w:top w:val="dotted" w:sz="4" w:space="0" w:color="auto"/>
              <w:left w:val="dotted" w:sz="4" w:space="0" w:color="auto"/>
              <w:bottom w:val="dotted" w:sz="4" w:space="0" w:color="auto"/>
              <w:right w:val="dotted" w:sz="4" w:space="0" w:color="auto"/>
            </w:tcBorders>
          </w:tcPr>
          <w:p>
            <w:pPr>
              <w:pStyle w:val="NoSpacing"/>
            </w:pPr>
            <w:r>
              <w:t>EventBridge rules and SQS queues are AWS-only.</w:t>
            </w:r>
          </w:p>
        </w:tc>
        <w:tc>
          <w:tcPr>
            <w:tcW w:w="3462" w:type="dxa"/>
            <w:tcBorders>
              <w:top w:val="dotted" w:sz="4" w:space="0" w:color="auto"/>
              <w:left w:val="dotted" w:sz="4" w:space="0" w:color="auto"/>
              <w:bottom w:val="dotted" w:sz="4" w:space="0" w:color="auto"/>
              <w:right w:val="dotted" w:sz="4" w:space="0" w:color="auto"/>
            </w:tcBorders>
          </w:tcPr>
          <w:p>
            <w:pPr>
              <w:pStyle w:val="NoSpacing"/>
            </w:pPr>
            <w:r>
              <w:t>Services publish and consume through the messaging adapter; the event envelope is broker-neutral; Kafka or RabbitMQ is the named on-premise equivalent.</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A1</w:t>
            </w:r>
          </w:p>
        </w:tc>
        <w:tc>
          <w:tcPr>
            <w:tcW w:w="1900" w:type="dxa"/>
            <w:tcBorders>
              <w:top w:val="dotted" w:sz="4" w:space="0" w:color="auto"/>
              <w:left w:val="dotted" w:sz="4" w:space="0" w:color="auto"/>
              <w:bottom w:val="dotted" w:sz="4" w:space="0" w:color="auto"/>
              <w:right w:val="dotted" w:sz="4" w:space="0" w:color="auto"/>
            </w:tcBorders>
          </w:tcPr>
          <w:p>
            <w:pPr>
              <w:pStyle w:val="NoSpacing"/>
            </w:pPr>
            <w:r>
              <w:t>Zero-ETL constraints</w:t>
            </w:r>
          </w:p>
        </w:tc>
        <w:tc>
          <w:tcPr>
            <w:tcW w:w="2844" w:type="dxa"/>
            <w:tcBorders>
              <w:top w:val="dotted" w:sz="4" w:space="0" w:color="auto"/>
              <w:left w:val="dotted" w:sz="4" w:space="0" w:color="auto"/>
              <w:bottom w:val="dotted" w:sz="4" w:space="0" w:color="auto"/>
              <w:right w:val="dotted" w:sz="4" w:space="0" w:color="auto"/>
            </w:tcBorders>
          </w:tcPr>
          <w:p>
            <w:pPr>
              <w:pStyle w:val="NoSpacing"/>
            </w:pPr>
            <w:r>
              <w:t>Tables without primary keys, some data types and some schema changes are not replicated, or need the integration to resynchronise.</w:t>
            </w:r>
          </w:p>
        </w:tc>
        <w:tc>
          <w:tcPr>
            <w:tcW w:w="3462" w:type="dxa"/>
            <w:tcBorders>
              <w:top w:val="dotted" w:sz="4" w:space="0" w:color="auto"/>
              <w:left w:val="dotted" w:sz="4" w:space="0" w:color="auto"/>
              <w:bottom w:val="dotted" w:sz="4" w:space="0" w:color="auto"/>
              <w:right w:val="dotted" w:sz="4" w:space="0" w:color="auto"/>
            </w:tcBorders>
          </w:tcPr>
          <w:p>
            <w:pPr>
              <w:pStyle w:val="NoSpacing"/>
            </w:pPr>
            <w:r>
              <w:t>Every reporting table has a primary key; schema migrations are reviewed for zero-ETL impact; the integration's health is alarmed in CloudWatch.</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A2</w:t>
            </w:r>
          </w:p>
        </w:tc>
        <w:tc>
          <w:tcPr>
            <w:tcW w:w="1900" w:type="dxa"/>
            <w:tcBorders>
              <w:top w:val="dotted" w:sz="4" w:space="0" w:color="auto"/>
              <w:left w:val="dotted" w:sz="4" w:space="0" w:color="auto"/>
              <w:bottom w:val="dotted" w:sz="4" w:space="0" w:color="auto"/>
              <w:right w:val="dotted" w:sz="4" w:space="0" w:color="auto"/>
            </w:tcBorders>
          </w:tcPr>
          <w:p>
            <w:pPr>
              <w:pStyle w:val="NoSpacing"/>
            </w:pPr>
            <w:r>
              <w:t>Idle provisioned cluster</w:t>
            </w:r>
          </w:p>
        </w:tc>
        <w:tc>
          <w:tcPr>
            <w:tcW w:w="2844" w:type="dxa"/>
            <w:tcBorders>
              <w:top w:val="dotted" w:sz="4" w:space="0" w:color="auto"/>
              <w:left w:val="dotted" w:sz="4" w:space="0" w:color="auto"/>
              <w:bottom w:val="dotted" w:sz="4" w:space="0" w:color="auto"/>
              <w:right w:val="dotted" w:sz="4" w:space="0" w:color="auto"/>
            </w:tcBorders>
          </w:tcPr>
          <w:p>
            <w:pPr>
              <w:pStyle w:val="NoSpacing"/>
            </w:pPr>
            <w:r>
              <w:t>A provisioned cluster is billed around the clock while reporting is concentrated in business hours and at month-end.</w:t>
            </w:r>
          </w:p>
        </w:tc>
        <w:tc>
          <w:tcPr>
            <w:tcW w:w="3462" w:type="dxa"/>
            <w:tcBorders>
              <w:top w:val="dotted" w:sz="4" w:space="0" w:color="auto"/>
              <w:left w:val="dotted" w:sz="4" w:space="0" w:color="auto"/>
              <w:bottom w:val="dotted" w:sz="4" w:space="0" w:color="auto"/>
              <w:right w:val="dotted" w:sz="4" w:space="0" w:color="auto"/>
            </w:tcBorders>
          </w:tcPr>
          <w:p>
            <w:pPr>
              <w:pStyle w:val="NoSpacing"/>
            </w:pPr>
            <w:r>
              <w:t>Start at two ra3.large nodes; review Serverless after six months of measured use; pause non-production clusters out of hours; buy reserved nodes once use is stable.</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A3</w:t>
            </w:r>
          </w:p>
        </w:tc>
        <w:tc>
          <w:tcPr>
            <w:tcW w:w="1900" w:type="dxa"/>
            <w:tcBorders>
              <w:top w:val="dotted" w:sz="4" w:space="0" w:color="auto"/>
              <w:left w:val="dotted" w:sz="4" w:space="0" w:color="auto"/>
              <w:bottom w:val="dotted" w:sz="4" w:space="0" w:color="auto"/>
              <w:right w:val="dotted" w:sz="4" w:space="0" w:color="auto"/>
            </w:tcBorders>
          </w:tcPr>
          <w:p>
            <w:pPr>
              <w:pStyle w:val="NoSpacing"/>
            </w:pPr>
            <w:r>
              <w:t>Data exposure across regions</w:t>
            </w:r>
          </w:p>
        </w:tc>
        <w:tc>
          <w:tcPr>
            <w:tcW w:w="2844" w:type="dxa"/>
            <w:tcBorders>
              <w:top w:val="dotted" w:sz="4" w:space="0" w:color="auto"/>
              <w:left w:val="dotted" w:sz="4" w:space="0" w:color="auto"/>
              <w:bottom w:val="dotted" w:sz="4" w:space="0" w:color="auto"/>
              <w:right w:val="dotted" w:sz="4" w:space="0" w:color="auto"/>
            </w:tcBorders>
          </w:tcPr>
          <w:p>
            <w:pPr>
              <w:pStyle w:val="NoSpacing"/>
            </w:pPr>
            <w:r>
              <w:t>A Regional Manager could see another region's claims, or an analyst see personal data.</w:t>
            </w:r>
          </w:p>
        </w:tc>
        <w:tc>
          <w:tcPr>
            <w:tcW w:w="3462" w:type="dxa"/>
            <w:tcBorders>
              <w:top w:val="dotted" w:sz="4" w:space="0" w:color="auto"/>
              <w:left w:val="dotted" w:sz="4" w:space="0" w:color="auto"/>
              <w:bottom w:val="dotted" w:sz="4" w:space="0" w:color="auto"/>
              <w:right w:val="dotted" w:sz="4" w:space="0" w:color="auto"/>
            </w:tcBorders>
          </w:tcPr>
          <w:p>
            <w:pPr>
              <w:pStyle w:val="NoSpacing"/>
            </w:pPr>
            <w:r>
              <w:t>Row-level security by region and role; dynamic masking of personal fields; access only through roles mapped from eClaims roles; queries logged.</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A4</w:t>
            </w:r>
          </w:p>
        </w:tc>
        <w:tc>
          <w:tcPr>
            <w:tcW w:w="1900" w:type="dxa"/>
            <w:tcBorders>
              <w:top w:val="dotted" w:sz="4" w:space="0" w:color="auto"/>
              <w:left w:val="dotted" w:sz="4" w:space="0" w:color="auto"/>
              <w:bottom w:val="dotted" w:sz="4" w:space="0" w:color="auto"/>
              <w:right w:val="dotted" w:sz="4" w:space="0" w:color="auto"/>
            </w:tcBorders>
          </w:tcPr>
          <w:p>
            <w:pPr>
              <w:pStyle w:val="NoSpacing"/>
            </w:pPr>
            <w:r>
              <w:t>Reporting after a Region failure</w:t>
            </w:r>
          </w:p>
        </w:tc>
        <w:tc>
          <w:tcPr>
            <w:tcW w:w="2844" w:type="dxa"/>
            <w:tcBorders>
              <w:top w:val="dotted" w:sz="4" w:space="0" w:color="auto"/>
              <w:left w:val="dotted" w:sz="4" w:space="0" w:color="auto"/>
              <w:bottom w:val="dotted" w:sz="4" w:space="0" w:color="auto"/>
              <w:right w:val="dotted" w:sz="4" w:space="0" w:color="auto"/>
            </w:tcBorders>
          </w:tcPr>
          <w:p>
            <w:pPr>
              <w:pStyle w:val="NoSpacing"/>
            </w:pPr>
            <w:r>
              <w:t>Redshift is not replicated live, so reports are unavailable in us-east-2 until a snapshot is restored.</w:t>
            </w:r>
          </w:p>
        </w:tc>
        <w:tc>
          <w:tcPr>
            <w:tcW w:w="3462" w:type="dxa"/>
            <w:tcBorders>
              <w:top w:val="dotted" w:sz="4" w:space="0" w:color="auto"/>
              <w:left w:val="dotted" w:sz="4" w:space="0" w:color="auto"/>
              <w:bottom w:val="dotted" w:sz="4" w:space="0" w:color="auto"/>
              <w:right w:val="dotted" w:sz="4" w:space="0" w:color="auto"/>
            </w:tcBorders>
          </w:tcPr>
          <w:p>
            <w:pPr>
              <w:pStyle w:val="NoSpacing"/>
            </w:pPr>
            <w:r>
              <w:t>Cross-Region snapshot copy, restored by the runbook once claim processing is serving; reporting is not on the critical path of the Region recovery targets in SAD Section 7.</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I1</w:t>
            </w:r>
          </w:p>
        </w:tc>
        <w:tc>
          <w:tcPr>
            <w:tcW w:w="1900" w:type="dxa"/>
            <w:tcBorders>
              <w:top w:val="dotted" w:sz="4" w:space="0" w:color="auto"/>
              <w:left w:val="dotted" w:sz="4" w:space="0" w:color="auto"/>
              <w:bottom w:val="dotted" w:sz="4" w:space="0" w:color="auto"/>
              <w:right w:val="dotted" w:sz="4" w:space="0" w:color="auto"/>
            </w:tcBorders>
          </w:tcPr>
          <w:p>
            <w:pPr>
              <w:pStyle w:val="NoSpacing"/>
            </w:pPr>
            <w:r>
              <w:t>Security of a self-built identity service</w:t>
            </w:r>
          </w:p>
        </w:tc>
        <w:tc>
          <w:tcPr>
            <w:tcW w:w="2844" w:type="dxa"/>
            <w:tcBorders>
              <w:top w:val="dotted" w:sz="4" w:space="0" w:color="auto"/>
              <w:left w:val="dotted" w:sz="4" w:space="0" w:color="auto"/>
              <w:bottom w:val="dotted" w:sz="4" w:space="0" w:color="auto"/>
              <w:right w:val="dotted" w:sz="4" w:space="0" w:color="auto"/>
            </w:tcBorders>
          </w:tcPr>
          <w:p>
            <w:pPr>
              <w:pStyle w:val="NoSpacing"/>
            </w:pPr>
            <w:r>
              <w:t>The Auth Service owns password storage, MFA, reset, lockout and token handling; a flaw would expose customer accounts.</w:t>
            </w:r>
          </w:p>
        </w:tc>
        <w:tc>
          <w:tcPr>
            <w:tcW w:w="3462" w:type="dxa"/>
            <w:tcBorders>
              <w:top w:val="dotted" w:sz="4" w:space="0" w:color="auto"/>
              <w:left w:val="dotted" w:sz="4" w:space="0" w:color="auto"/>
              <w:bottom w:val="dotted" w:sz="4" w:space="0" w:color="auto"/>
              <w:right w:val="dotted" w:sz="4" w:space="0" w:color="auto"/>
            </w:tcBorders>
          </w:tcPr>
          <w:p>
            <w:pPr>
              <w:pStyle w:val="NoSpacing"/>
            </w:pPr>
            <w:r>
              <w:t>Proven libraries only and no custom cryptography; bcrypt hashing; OWASP ASVS Level 2 as the design checklist; WAF account takeover prevention and rate limits on sign-in; breached-password checks; an external penetration test before go-live and annually.</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I2</w:t>
            </w:r>
          </w:p>
        </w:tc>
        <w:tc>
          <w:tcPr>
            <w:tcW w:w="1900" w:type="dxa"/>
            <w:tcBorders>
              <w:top w:val="dotted" w:sz="4" w:space="0" w:color="auto"/>
              <w:left w:val="dotted" w:sz="4" w:space="0" w:color="auto"/>
              <w:bottom w:val="dotted" w:sz="4" w:space="0" w:color="auto"/>
              <w:right w:val="dotted" w:sz="4" w:space="0" w:color="auto"/>
            </w:tcBorders>
          </w:tcPr>
          <w:p>
            <w:pPr>
              <w:pStyle w:val="NoSpacing"/>
            </w:pPr>
            <w:r>
              <w:t>Feature lag behind managed platforms</w:t>
            </w:r>
          </w:p>
        </w:tc>
        <w:tc>
          <w:tcPr>
            <w:tcW w:w="2844" w:type="dxa"/>
            <w:tcBorders>
              <w:top w:val="dotted" w:sz="4" w:space="0" w:color="auto"/>
              <w:left w:val="dotted" w:sz="4" w:space="0" w:color="auto"/>
              <w:bottom w:val="dotted" w:sz="4" w:space="0" w:color="auto"/>
              <w:right w:val="dotted" w:sz="4" w:space="0" w:color="auto"/>
            </w:tcBorders>
          </w:tcPr>
          <w:p>
            <w:pPr>
              <w:pStyle w:val="NoSpacing"/>
            </w:pPr>
            <w:r>
              <w:t>Managed platforms add capabilities such as passkeys and adaptive MFA first.</w:t>
            </w:r>
          </w:p>
        </w:tc>
        <w:tc>
          <w:tcPr>
            <w:tcW w:w="3462" w:type="dxa"/>
            <w:tcBorders>
              <w:top w:val="dotted" w:sz="4" w:space="0" w:color="auto"/>
              <w:left w:val="dotted" w:sz="4" w:space="0" w:color="auto"/>
              <w:bottom w:val="dotted" w:sz="4" w:space="0" w:color="auto"/>
              <w:right w:val="dotted" w:sz="4" w:space="0" w:color="auto"/>
            </w:tcBorders>
          </w:tcPr>
          <w:p>
            <w:pPr>
              <w:pStyle w:val="NoSpacing"/>
            </w:pPr>
            <w:r>
              <w:t>A roadmap review twice a year. Because the Auth Service issues standard OpenID Connect tokens, Auth0 or Cognito can later take over customer credentials behind the same tokens.</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I3</w:t>
            </w:r>
          </w:p>
        </w:tc>
        <w:tc>
          <w:tcPr>
            <w:tcW w:w="1900" w:type="dxa"/>
            <w:tcBorders>
              <w:top w:val="dotted" w:sz="4" w:space="0" w:color="auto"/>
              <w:left w:val="dotted" w:sz="4" w:space="0" w:color="auto"/>
              <w:bottom w:val="dotted" w:sz="4" w:space="0" w:color="auto"/>
              <w:right w:val="dotted" w:sz="4" w:space="0" w:color="auto"/>
            </w:tcBorders>
          </w:tcPr>
          <w:p>
            <w:pPr>
              <w:pStyle w:val="NoSpacing"/>
            </w:pPr>
            <w:r>
              <w:t>A close decision</w:t>
            </w:r>
          </w:p>
        </w:tc>
        <w:tc>
          <w:tcPr>
            <w:tcW w:w="2844" w:type="dxa"/>
            <w:tcBorders>
              <w:top w:val="dotted" w:sz="4" w:space="0" w:color="auto"/>
              <w:left w:val="dotted" w:sz="4" w:space="0" w:color="auto"/>
              <w:bottom w:val="dotted" w:sz="4" w:space="0" w:color="auto"/>
              <w:right w:val="dotted" w:sz="4" w:space="0" w:color="auto"/>
            </w:tcBorders>
          </w:tcPr>
          <w:p>
            <w:pPr>
              <w:pStyle w:val="NoSpacing"/>
            </w:pPr>
            <w:r>
              <w:t>The identity result is 4.15 against 4.05, and a modest change in the cost or security weight reverses it (Section 5.6).</w:t>
            </w:r>
          </w:p>
        </w:tc>
        <w:tc>
          <w:tcPr>
            <w:tcW w:w="3462" w:type="dxa"/>
            <w:tcBorders>
              <w:top w:val="dotted" w:sz="4" w:space="0" w:color="auto"/>
              <w:left w:val="dotted" w:sz="4" w:space="0" w:color="auto"/>
              <w:bottom w:val="dotted" w:sz="4" w:space="0" w:color="auto"/>
              <w:right w:val="dotted" w:sz="4" w:space="0" w:color="auto"/>
            </w:tcBorders>
          </w:tcPr>
          <w:p>
            <w:pPr>
              <w:pStyle w:val="NoSpacing"/>
            </w:pPr>
            <w:r>
              <w:t>Obtain Auth0 and Cognito quotes at 2 million MAU before the security build starts, and re-score with the quoted prices.</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I4</w:t>
            </w:r>
          </w:p>
        </w:tc>
        <w:tc>
          <w:tcPr>
            <w:tcW w:w="1900" w:type="dxa"/>
            <w:tcBorders>
              <w:top w:val="dotted" w:sz="4" w:space="0" w:color="auto"/>
              <w:left w:val="dotted" w:sz="4" w:space="0" w:color="auto"/>
              <w:bottom w:val="dotted" w:sz="4" w:space="0" w:color="auto"/>
              <w:right w:val="dotted" w:sz="4" w:space="0" w:color="auto"/>
            </w:tcBorders>
          </w:tcPr>
          <w:p>
            <w:pPr>
              <w:pStyle w:val="NoSpacing"/>
            </w:pPr>
            <w:r>
              <w:t>Token-signing key compromise</w:t>
            </w:r>
          </w:p>
        </w:tc>
        <w:tc>
          <w:tcPr>
            <w:tcW w:w="2844" w:type="dxa"/>
            <w:tcBorders>
              <w:top w:val="dotted" w:sz="4" w:space="0" w:color="auto"/>
              <w:left w:val="dotted" w:sz="4" w:space="0" w:color="auto"/>
              <w:bottom w:val="dotted" w:sz="4" w:space="0" w:color="auto"/>
              <w:right w:val="dotted" w:sz="4" w:space="0" w:color="auto"/>
            </w:tcBorders>
          </w:tcPr>
          <w:p>
            <w:pPr>
              <w:pStyle w:val="NoSpacing"/>
            </w:pPr>
            <w:r>
              <w:t>A leaked signing key would let an attacker mint a token for any role.</w:t>
            </w:r>
          </w:p>
        </w:tc>
        <w:tc>
          <w:tcPr>
            <w:tcW w:w="3462" w:type="dxa"/>
            <w:tcBorders>
              <w:top w:val="dotted" w:sz="4" w:space="0" w:color="auto"/>
              <w:left w:val="dotted" w:sz="4" w:space="0" w:color="auto"/>
              <w:bottom w:val="dotted" w:sz="4" w:space="0" w:color="auto"/>
              <w:right w:val="dotted" w:sz="4" w:space="0" w:color="auto"/>
            </w:tcBorders>
          </w:tcPr>
          <w:p>
            <w:pPr>
              <w:pStyle w:val="NoSpacing"/>
            </w:pPr>
            <w:r>
              <w:t>Asymmetric signing keys held in AWS KMS and never exported; scheduled rotation; services cache the published key set; 15-minute access tokens; a rotation drill in the runbook.</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I5</w:t>
            </w:r>
          </w:p>
        </w:tc>
        <w:tc>
          <w:tcPr>
            <w:tcW w:w="1900" w:type="dxa"/>
            <w:tcBorders>
              <w:top w:val="dotted" w:sz="4" w:space="0" w:color="auto"/>
              <w:left w:val="dotted" w:sz="4" w:space="0" w:color="auto"/>
              <w:bottom w:val="dotted" w:sz="4" w:space="0" w:color="auto"/>
              <w:right w:val="dotted" w:sz="4" w:space="0" w:color="auto"/>
            </w:tcBorders>
          </w:tcPr>
          <w:p>
            <w:pPr>
              <w:pStyle w:val="NoSpacing"/>
            </w:pPr>
            <w:r>
              <w:t>Okta outage</w:t>
            </w:r>
          </w:p>
        </w:tc>
        <w:tc>
          <w:tcPr>
            <w:tcW w:w="2844" w:type="dxa"/>
            <w:tcBorders>
              <w:top w:val="dotted" w:sz="4" w:space="0" w:color="auto"/>
              <w:left w:val="dotted" w:sz="4" w:space="0" w:color="auto"/>
              <w:bottom w:val="dotted" w:sz="4" w:space="0" w:color="auto"/>
              <w:right w:val="dotted" w:sz="4" w:space="0" w:color="auto"/>
            </w:tcBorders>
          </w:tcPr>
          <w:p>
            <w:pPr>
              <w:pStyle w:val="NoSpacing"/>
            </w:pPr>
            <w:r>
              <w:t>An Okta outage stops new staff sign-ins.</w:t>
            </w:r>
          </w:p>
        </w:tc>
        <w:tc>
          <w:tcPr>
            <w:tcW w:w="3462" w:type="dxa"/>
            <w:tcBorders>
              <w:top w:val="dotted" w:sz="4" w:space="0" w:color="auto"/>
              <w:left w:val="dotted" w:sz="4" w:space="0" w:color="auto"/>
              <w:bottom w:val="dotted" w:sz="4" w:space="0" w:color="auto"/>
              <w:right w:val="dotted" w:sz="4" w:space="0" w:color="auto"/>
            </w:tcBorders>
          </w:tcPr>
          <w:p>
            <w:pPr>
              <w:pStyle w:val="NoSpacing"/>
            </w:pPr>
            <w:r>
              <w:t>Signed-in staff continue on their eClaims refresh tokens for up to 7 days; a break-glass administrator account in the Auth Service, alarmed whenever it is used.</w:t>
            </w:r>
          </w:p>
        </w:tc>
      </w:tr>
    </w:tbl>
    <w:p/>
    <w:p>
      <w:r>
        <w:br w:type="page"/>
      </w:r>
    </w:p>
    <w:p>
      <w:pPr>
        <w:pStyle w:val="Heading1"/>
      </w:pPr>
      <w:bookmarkStart w:id="145" w:name="_Toc300000046"/>
      <w:r>
        <w:t>Appendix</w:t>
      </w:r>
      <w:bookmarkEnd w:id="145"/>
    </w:p>
    <w:p>
      <w:pPr>
        <w:pStyle w:val="Heading2"/>
      </w:pPr>
      <w:bookmarkStart w:id="146" w:name="_Toc300000047"/>
      <w:r>
        <w:t>References</w:t>
      </w:r>
      <w:bookmarkEnd w:id="146"/>
    </w:p>
    <w:p>
      <w:r>
        <w:t>The following documents and external sources were referenced in preparing this Decision Analysis and Recommendation.</w:t>
      </w:r>
    </w:p>
    <w:p>
      <w:r>
        <w:rPr>
          <w:b/>
        </w:rPr>
        <w:t>eClaims documents</w:t>
      </w:r>
    </w:p>
    <w:p>
      <w:pPr>
        <w:pStyle w:val="ListParagraph"/>
        <w:numPr>
          <w:ilvl w:val="0"/>
          <w:numId w:val="40"/>
        </w:numPr>
      </w:pPr>
      <w:r>
        <w:t>eClaims Solution Approach Document (SAD) v2.0 — docs/sad/solution-approach-document.md</w:t>
      </w:r>
    </w:p>
    <w:p>
      <w:pPr>
        <w:pStyle w:val="ListParagraph"/>
        <w:numPr>
          <w:ilvl w:val="0"/>
          <w:numId w:val="40"/>
        </w:numPr>
      </w:pPr>
      <w:r>
        <w:t>eClaims Case Study — requirements/eClaims - Insurance -Senior Staff Engineer.pdf</w:t>
      </w:r>
    </w:p>
    <w:p>
      <w:pPr>
        <w:pStyle w:val="ListParagraph"/>
        <w:numPr>
          <w:ilvl w:val="0"/>
          <w:numId w:val="40"/>
        </w:numPr>
      </w:pPr>
      <w:r>
        <w:t>DAR — Workflow Orchestration Engine — docs/dar/Utsav_eClaims_DAR_Orchestration_Engine.docx</w:t>
      </w:r>
    </w:p>
    <w:p>
      <w:pPr>
        <w:pStyle w:val="ListParagraph"/>
        <w:numPr>
          <w:ilvl w:val="0"/>
          <w:numId w:val="40"/>
        </w:numPr>
      </w:pPr>
      <w:r>
        <w:t>DAR — Compute Platform — docs/dar/Utsav_eClaims_DAR_Compute.docx</w:t>
      </w:r>
    </w:p>
    <w:p>
      <w:pPr>
        <w:pStyle w:val="ListParagraph"/>
        <w:numPr>
          <w:ilvl w:val="0"/>
          <w:numId w:val="40"/>
        </w:numPr>
      </w:pPr>
      <w:r>
        <w:t>eClaims Proof-of-Concept implementation — src/backend (auth-service; claims-service workers/outbox_dispatcher.py and services/workflow_policy.py)</w:t>
      </w:r>
    </w:p>
    <w:p>
      <w:r>
        <w:rPr>
          <w:b/>
        </w:rPr>
        <w:t>AWS pricing and documentation (US East, N. Virginia)</w:t>
      </w:r>
    </w:p>
    <w:p>
      <w:pPr>
        <w:pStyle w:val="ListParagraph"/>
        <w:numPr>
          <w:ilvl w:val="0"/>
          <w:numId w:val="40"/>
        </w:numPr>
      </w:pPr>
      <w:r>
        <w:t>Amazon EventBridge Pricing — https://aws.amazon.com/eventbridge/pricing/</w:t>
      </w:r>
    </w:p>
    <w:p>
      <w:pPr>
        <w:pStyle w:val="ListParagraph"/>
        <w:numPr>
          <w:ilvl w:val="0"/>
          <w:numId w:val="40"/>
        </w:numPr>
      </w:pPr>
      <w:r>
        <w:t>Amazon SQS Pricing — https://aws.amazon.com/sqs/pricing/</w:t>
      </w:r>
    </w:p>
    <w:p>
      <w:pPr>
        <w:pStyle w:val="ListParagraph"/>
        <w:numPr>
          <w:ilvl w:val="0"/>
          <w:numId w:val="40"/>
        </w:numPr>
      </w:pPr>
      <w:r>
        <w:t>Amazon SNS Pricing — https://aws.amazon.com/sns/pricing/</w:t>
      </w:r>
    </w:p>
    <w:p>
      <w:pPr>
        <w:pStyle w:val="ListParagraph"/>
        <w:numPr>
          <w:ilvl w:val="0"/>
          <w:numId w:val="40"/>
        </w:numPr>
      </w:pPr>
      <w:r>
        <w:t>Amazon MSK Pricing — https://aws.amazon.com/msk/pricing/</w:t>
      </w:r>
    </w:p>
    <w:p>
      <w:pPr>
        <w:pStyle w:val="ListParagraph"/>
        <w:numPr>
          <w:ilvl w:val="0"/>
          <w:numId w:val="40"/>
        </w:numPr>
      </w:pPr>
      <w:r>
        <w:t>Amazon MQ Pricing — https://aws.amazon.com/amazon-mq/pricing/</w:t>
      </w:r>
    </w:p>
    <w:p>
      <w:pPr>
        <w:pStyle w:val="ListParagraph"/>
        <w:numPr>
          <w:ilvl w:val="0"/>
          <w:numId w:val="40"/>
        </w:numPr>
      </w:pPr>
      <w:r>
        <w:t>Amazon Redshift Pricing — https://aws.amazon.com/redshift/pricing/</w:t>
      </w:r>
    </w:p>
    <w:p>
      <w:pPr>
        <w:pStyle w:val="ListParagraph"/>
        <w:numPr>
          <w:ilvl w:val="0"/>
          <w:numId w:val="40"/>
        </w:numPr>
      </w:pPr>
      <w:r>
        <w:t>Amazon RDS for PostgreSQL zero-ETL integration with Amazon Redshift, general availability — https://aws.amazon.com/about-aws/whats-new/2025/07/amazon-rds-zero-etl-redshift-generally-available/</w:t>
      </w:r>
    </w:p>
    <w:p>
      <w:pPr>
        <w:pStyle w:val="ListParagraph"/>
        <w:numPr>
          <w:ilvl w:val="0"/>
          <w:numId w:val="40"/>
        </w:numPr>
      </w:pPr>
      <w:r>
        <w:t>Amazon Athena Pricing — https://aws.amazon.com/athena/pricing/</w:t>
      </w:r>
    </w:p>
    <w:p>
      <w:pPr>
        <w:pStyle w:val="ListParagraph"/>
        <w:numPr>
          <w:ilvl w:val="0"/>
          <w:numId w:val="40"/>
        </w:numPr>
      </w:pPr>
      <w:r>
        <w:t>Amazon Cognito Pricing — https://aws.amazon.com/cognito/pricing/</w:t>
      </w:r>
    </w:p>
    <w:p>
      <w:pPr>
        <w:pStyle w:val="ListParagraph"/>
        <w:numPr>
          <w:ilvl w:val="0"/>
          <w:numId w:val="40"/>
        </w:numPr>
      </w:pPr>
      <w:r>
        <w:t>AWS WAF Pricing — https://aws.amazon.com/waf/pricing/</w:t>
      </w:r>
    </w:p>
    <w:p>
      <w:pPr>
        <w:pStyle w:val="ListParagraph"/>
        <w:numPr>
          <w:ilvl w:val="0"/>
          <w:numId w:val="40"/>
        </w:numPr>
      </w:pPr>
      <w:r>
        <w:t>AWS Well-Architected Framework — https://aws.amazon.com/architecture/well-architected/</w:t>
      </w:r>
    </w:p>
    <w:p>
      <w:r>
        <w:rPr>
          <w:b/>
        </w:rPr>
        <w:t>Vendor and industry sources</w:t>
      </w:r>
    </w:p>
    <w:p>
      <w:pPr>
        <w:pStyle w:val="ListParagraph"/>
        <w:numPr>
          <w:ilvl w:val="0"/>
          <w:numId w:val="40"/>
        </w:numPr>
      </w:pPr>
      <w:r>
        <w:t>Snowflake Pricing — https://www.snowflake.com/en/pricing-options/</w:t>
      </w:r>
    </w:p>
    <w:p>
      <w:pPr>
        <w:pStyle w:val="ListParagraph"/>
        <w:numPr>
          <w:ilvl w:val="0"/>
          <w:numId w:val="40"/>
        </w:numPr>
      </w:pPr>
      <w:r>
        <w:t>Okta Pricing — https://www.okta.com/pricing/</w:t>
      </w:r>
    </w:p>
    <w:p>
      <w:pPr>
        <w:pStyle w:val="ListParagraph"/>
        <w:numPr>
          <w:ilvl w:val="0"/>
          <w:numId w:val="40"/>
        </w:numPr>
      </w:pPr>
      <w:r>
        <w:t>Auth0 Pricing — https://auth0.com/pricing</w:t>
      </w:r>
    </w:p>
    <w:p>
      <w:pPr>
        <w:pStyle w:val="ListParagraph"/>
        <w:numPr>
          <w:ilvl w:val="0"/>
          <w:numId w:val="40"/>
        </w:numPr>
      </w:pPr>
      <w:r>
        <w:t>Keycloak Documentation — https://www.keycloak.org/documentation</w:t>
      </w:r>
    </w:p>
    <w:p>
      <w:pPr>
        <w:pStyle w:val="ListParagraph"/>
        <w:numPr>
          <w:ilvl w:val="0"/>
          <w:numId w:val="40"/>
        </w:numPr>
      </w:pPr>
      <w:r>
        <w:t>OWASP Application Security Verification Standard — https://owasp.org/www-project-application-security-verification-standard/</w:t>
      </w:r>
    </w:p>
    <w:p>
      <w:pPr>
        <w:pStyle w:val="ListParagraph"/>
        <w:numPr>
          <w:ilvl w:val="0"/>
          <w:numId w:val="40"/>
        </w:numPr>
      </w:pPr>
      <w:r>
        <w:t>OWASP Top 10 — https://owasp.org/www-project-top-ten/</w:t>
      </w:r>
    </w:p>
    <w:p>
      <w:pPr>
        <w:pStyle w:val="Heading2"/>
      </w:pPr>
      <w:bookmarkStart w:id="147" w:name="_Toc300000048"/>
      <w:r>
        <w:t>Scoring Methodology</w:t>
      </w:r>
      <w:bookmarkEnd w:id="147"/>
    </w:p>
    <w:p>
      <w:r>
        <w:t>The method was fixed before scoring, in this order, so that the weighting could not be chosen to favour a conclusion:</w:t>
      </w:r>
    </w:p>
    <w:p>
      <w:pPr>
        <w:pStyle w:val="ListParagraph"/>
        <w:numPr>
          <w:ilvl w:val="0"/>
          <w:numId w:val="40"/>
        </w:numPr>
      </w:pPr>
      <w:r>
        <w:t>Evaluation attributes were derived from the eClaims functional and non-functional requirements summarised in Section 2, and each attribute was traced back to the requirement that justifies it in Sections 3.2, 4.2 and 5.2.</w:t>
      </w:r>
    </w:p>
    <w:p>
      <w:pPr>
        <w:pStyle w:val="ListParagraph"/>
        <w:numPr>
          <w:ilvl w:val="0"/>
          <w:numId w:val="40"/>
        </w:numPr>
      </w:pPr>
      <w:r>
        <w:t>Weights totalling 100 were assigned for each decision on the basis of consequence of failure: an attribute whose absence would defeat the purpose of the component carries 15, one whose absence would degrade operation carries 10, and one bounded by an accepted assumption, or met by every option at baseline, carries 5.</w:t>
      </w:r>
    </w:p>
    <w:p>
      <w:pPr>
        <w:pStyle w:val="ListParagraph"/>
        <w:numPr>
          <w:ilvl w:val="0"/>
          <w:numId w:val="40"/>
        </w:numPr>
      </w:pPr>
      <w:r>
        <w:t>Each option was then scored 1 to 5 against every attribute on native capability relative to the eClaims requirement — not absolute product quality — with 5 denoting the lowest operational overhead where that attribute is concerned.</w:t>
      </w:r>
    </w:p>
    <w:p>
      <w:pPr>
        <w:pStyle w:val="ListParagraph"/>
        <w:numPr>
          <w:ilvl w:val="0"/>
          <w:numId w:val="40"/>
        </w:numPr>
      </w:pPr>
      <w:r>
        <w:t>The weighted total is the sum of weight multiplied by score, divided by 100, giving a comparable result on the same 1 to 5 scale.</w:t>
      </w:r>
    </w:p>
    <w:p>
      <w:pPr>
        <w:pStyle w:val="ListParagraph"/>
        <w:numPr>
          <w:ilvl w:val="0"/>
          <w:numId w:val="40"/>
        </w:numPr>
      </w:pPr>
      <w:r>
        <w:t>For each decision, the attribute most likely to be challenged was varied while the other weights were held constant, and the weight at which the runner-up overtakes is reported (Sections 3.6, 4.6 and 5.6).</w:t>
      </w:r>
    </w:p>
    <w:p>
      <w:r>
        <w:t>Worked example, Amazon EventBridge with SQS and SNS: (15×5 + 15×5 + 15×5 + 10×5 + 10×4 + 10×5 + 10×5 + 5×3 + 5×5 + 5×1) ÷ 100 = 460 ÷ 100 = 4.60.</w:t>
      </w:r>
    </w:p>
    <w:p>
      <w:r>
        <w:t>Worked example, Amazon Redshift: (15×5 + 15×5 + 10×5 + 10×5 + 10×5 + 10×4 + 10×5 + 10×3 + 5×5 + 5×1) ÷ 100 = 450 ÷ 100 = 4.50.</w:t>
      </w:r>
    </w:p>
    <w:p>
      <w:r>
        <w:t>Worked example, eClaims Auth Service with Okta federation: (15×3 + 15×5 + 10×5 + 10×4 + 10×4 + 10×3 + 10×5 + 5×5 + 5×5 + 5×4 + 5×3) ÷ 100 = 415 ÷ 100 = 4.15.</w:t>
      </w:r>
    </w:p>
    <w:p>
      <w:r>
        <w:t>Two limitations should be read alongside the results. A weighted average compresses capability differences, so Sections 3.4, 4.4 and 5.4 record native support separately — a score of 3 for a capability that is absent but buildable is not the same as a 3 for one that is present but awkward. And the scores are informed engineering judgement against documented product capability, not measurements from a benchmark or a pilot implementation.</w:t>
      </w:r>
    </w:p>
    <w:sectPr w:rsidR="00932AC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DFF9A" w14:textId="77777777" w:rsidR="00F304AC" w:rsidRDefault="00F304AC" w:rsidP="002938CA">
      <w:pPr>
        <w:spacing w:after="0" w:line="240" w:lineRule="auto"/>
      </w:pPr>
      <w:r>
        <w:separator/>
      </w:r>
    </w:p>
  </w:endnote>
  <w:endnote w:type="continuationSeparator" w:id="0">
    <w:p w14:paraId="0ADE5546" w14:textId="77777777" w:rsidR="00F304AC" w:rsidRDefault="00F304AC" w:rsidP="00293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utura">
    <w:altName w:val="Futur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F5BF" w14:textId="77777777" w:rsidR="00B94E82" w:rsidRDefault="00B94E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58D7" w14:textId="131EBA96" w:rsidR="00395B23" w:rsidRDefault="00395B23" w:rsidP="00756E07">
    <w:pPr>
      <w:pStyle w:val="Footer"/>
    </w:pPr>
    <w:r>
      <w:rPr>
        <w:rFonts w:asciiTheme="majorHAnsi" w:hAnsiTheme="majorHAnsi" w:cstheme="majorHAnsi"/>
      </w:rPr>
      <w:ptab w:relativeTo="margin" w:alignment="right" w:leader="none"/>
    </w:r>
    <w:r>
      <w:rPr>
        <w:rFonts w:asciiTheme="majorHAnsi" w:hAnsiTheme="majorHAnsi" w:cs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832D94" w:rsidRPr="00832D94">
      <w:rPr>
        <w:rFonts w:asciiTheme="majorHAnsi" w:hAnsiTheme="majorHAnsi" w:cstheme="majorHAnsi"/>
        <w:noProof/>
      </w:rPr>
      <w:t>11</w:t>
    </w:r>
    <w:r>
      <w:rPr>
        <w:rFonts w:asciiTheme="majorHAnsi" w:hAnsiTheme="majorHAnsi" w:cstheme="majorHAnsi"/>
        <w:noProof/>
      </w:rPr>
      <w:fldChar w:fldCharType="end"/>
    </w:r>
    <w:r>
      <w:rPr>
        <w:noProof/>
      </w:rPr>
      <mc:AlternateContent>
        <mc:Choice Requires="wpg">
          <w:drawing>
            <wp:anchor distT="0" distB="0" distL="114300" distR="114300" simplePos="0" relativeHeight="251664384" behindDoc="0" locked="0" layoutInCell="0" allowOverlap="1" wp14:anchorId="027A6150" wp14:editId="2BF3F1F6">
              <wp:simplePos x="0" y="0"/>
              <wp:positionH relativeFrom="page">
                <wp:align>center</wp:align>
              </wp:positionH>
              <wp:positionV relativeFrom="page">
                <wp:align>bottom</wp:align>
              </wp:positionV>
              <wp:extent cx="7752080" cy="822960"/>
              <wp:effectExtent l="9525" t="0" r="10795" b="0"/>
              <wp:wrapNone/>
              <wp:docPr id="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7"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8"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xmlns:w16cei="http://schemas.microsoft.com/office/word/2026/wordml/cei">
          <w:pict>
            <v:group w14:anchorId="5A2F42B2" id="Group 8" o:spid="_x0000_s1026" style="position:absolute;margin-left:0;margin-top:0;width:610.4pt;height:64.8pt;flip:y;z-index:251664384;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N0oIDjEAwAA6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" strokecolor="#2f5496 [2408]"/>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" filled="f" stroked="f"/>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4896312D" wp14:editId="44E96EC7">
              <wp:simplePos x="0" y="0"/>
              <wp:positionH relativeFrom="leftMargin">
                <wp:align>center</wp:align>
              </wp:positionH>
              <wp:positionV relativeFrom="page">
                <wp:align>bottom</wp:align>
              </wp:positionV>
              <wp:extent cx="90805" cy="808355"/>
              <wp:effectExtent l="9525" t="13335" r="13970" b="698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xmlns:w16cei="http://schemas.microsoft.com/office/word/2026/wordml/cei">
          <w:pict>
            <v:rect w14:anchorId="30013B94" id="Rectangle 7" o:spid="_x0000_s1026" style="position:absolute;margin-left:0;margin-top:0;width:7.15pt;height:63.65pt;z-index:251663360;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Dkc/ju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r>
      <w:rPr>
        <w:noProof/>
      </w:rPr>
      <mc:AlternateContent>
        <mc:Choice Requires="wps">
          <w:drawing>
            <wp:anchor distT="0" distB="0" distL="114300" distR="114300" simplePos="0" relativeHeight="251662336" behindDoc="0" locked="0" layoutInCell="1" allowOverlap="1" wp14:anchorId="4A4BA38E" wp14:editId="52CE6191">
              <wp:simplePos x="0" y="0"/>
              <wp:positionH relativeFrom="rightMargin">
                <wp:align>center</wp:align>
              </wp:positionH>
              <wp:positionV relativeFrom="page">
                <wp:align>bottom</wp:align>
              </wp:positionV>
              <wp:extent cx="90805" cy="808355"/>
              <wp:effectExtent l="9525" t="13335" r="13970" b="6985"/>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xmlns:w16cei="http://schemas.microsoft.com/office/word/2026/wordml/cei">
          <w:pict>
            <v:rect w14:anchorId="6AC750AE" id="Rectangle 6" o:spid="_x0000_s1026" style="position:absolute;margin-left:0;margin-top:0;width:7.15pt;height:63.65pt;z-index:251662336;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Bln357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p>
  <w:p w14:paraId="756723B8" w14:textId="77777777" w:rsidR="00395B23" w:rsidRDefault="00395B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0BDB" w14:textId="77777777" w:rsidR="00B94E82" w:rsidRDefault="00B94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B6957" w14:textId="77777777" w:rsidR="00F304AC" w:rsidRDefault="00F304AC" w:rsidP="002938CA">
      <w:pPr>
        <w:spacing w:after="0" w:line="240" w:lineRule="auto"/>
      </w:pPr>
      <w:r>
        <w:separator/>
      </w:r>
    </w:p>
  </w:footnote>
  <w:footnote w:type="continuationSeparator" w:id="0">
    <w:p w14:paraId="2D51F472" w14:textId="77777777" w:rsidR="00F304AC" w:rsidRDefault="00F304AC" w:rsidP="00293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C08E" w14:textId="77777777" w:rsidR="00B94E82" w:rsidRDefault="00B94E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14:paraId="718A8366" w14:textId="48DA2C4A" w:rsidR="00395B23" w:rsidRPr="00CB769B" w:rsidRDefault="00F304AC" w:rsidP="00D6531A">
    <w:pPr>
      <w:pStyle w:val="Header"/>
      <w:tabs>
        <w:tab w:val="clear" w:pos="4513"/>
        <w:tab w:val="clear" w:pos="9026"/>
        <w:tab w:val="center" w:pos="3686"/>
        <w:tab w:val="right" w:pos="8931"/>
      </w:tabs>
      <w:jc w:val="center"/>
      <w:rPr>
        <w:rFonts w:asciiTheme="majorHAnsi" w:eastAsiaTheme="majorEastAsia" w:hAnsiTheme="majorHAnsi" w:cstheme="majorBidi"/>
        <w:i/>
        <w:sz w:val="20"/>
        <w:szCs w:val="20"/>
      </w:rPr>
    </w:pPr>
    <w:sdt>
      <w:sdtPr>
        <w:rPr>
          <w:rFonts w:asciiTheme="majorHAnsi" w:hAnsiTheme="majorHAnsi"/>
        </w:rPr>
        <w:alias w:val="Title"/>
        <w:id w:val="-1512212354"/>
        <w:dataBinding w:prefixMappings="xmlns:ns0='http://schemas.openxmlformats.org/package/2006/metadata/core-properties' xmlns:ns1='http://purl.org/dc/elements/1.1/'" w:xpath="/ns0:coreProperties[1]/ns1:title[1]" w:storeItemID="{6C3C8BC8-F283-45AE-878A-BAB7291924A1}"/>
        <w:text/>
      </w:sdtPr>
      <w:sdtEndPr/>
      <w:sdtContent>
        <w:proofErr w:type="spellStart"/>
        <w:r w:rsidR="00BC4794">
          <w:rPr>
            <w:rFonts w:asciiTheme="majorHAnsi" w:hAnsiTheme="majorHAnsi"/>
          </w:rPr>
          <w:t>YCompany – eClaims</w:t>
        </w:r>
        <w:proofErr w:type="spellEnd"/>
        <w:r w:rsidR="00BC4794">
          <w:rPr>
            <w:rFonts w:asciiTheme="majorHAnsi" w:hAnsiTheme="majorHAnsi"/>
          </w:rPr>
          <w:t xml:space="preserve"/>
        </w:r>
        <w:proofErr w:type="spellStart"/>
        <w:r w:rsidR="00BC4794">
          <w:rPr>
            <w:rFonts w:asciiTheme="majorHAnsi" w:hAnsiTheme="majorHAnsi"/>
          </w:rPr>
          <w:t/>
        </w:r>
        <w:proofErr w:type="spellEnd"/>
      </w:sdtContent>
    </w:sdt>
    <w:r w:rsidR="00395B23" w:rsidRPr="0071462D">
      <w:rPr>
        <w:rFonts w:asciiTheme="majorHAnsi" w:hAnsiTheme="majorHAnsi"/>
      </w:rPr>
      <w:t xml:space="preserve"> - </w:t>
    </w:r>
    <w:sdt>
      <w:sdtPr>
        <w:rPr>
          <w:rFonts w:asciiTheme="majorHAnsi" w:eastAsiaTheme="majorEastAsia" w:hAnsiTheme="majorHAnsi" w:cstheme="majorBidi"/>
          <w:i/>
          <w:sz w:val="20"/>
          <w:szCs w:val="20"/>
        </w:rPr>
        <w:alias w:val="Subtitle"/>
        <w:id w:val="-359975752"/>
        <w:dataBinding w:prefixMappings="xmlns:ns0='http://schemas.openxmlformats.org/package/2006/metadata/core-properties' xmlns:ns1='http://purl.org/dc/elements/1.1/'" w:xpath="/ns0:coreProperties[1]/ns1:subject[1]" w:storeItemID="{6C3C8BC8-F283-45AE-878A-BAB7291924A1}"/>
        <w:text/>
      </w:sdtPr>
      <w:sdtEndPr/>
      <w:sdtContent>
        <w:r w:rsidR="00EF3CA0">
          <w:rPr>
            <w:rFonts w:asciiTheme="majorHAnsi" w:eastAsiaTheme="majorEastAsia" w:hAnsiTheme="majorHAnsi" w:cstheme="majorBidi"/>
            <w:i/>
            <w:sz w:val="20"/>
            <w:szCs w:val="20"/>
          </w:rPr>
          <w:t>DAR Document – Messaging, Analytics and Identity Selection</w:t>
        </w:r>
      </w:sdtContent>
    </w:sdt>
    <w:r w:rsidR="00395B23">
      <w:rPr>
        <w:rFonts w:asciiTheme="majorHAnsi" w:eastAsiaTheme="majorEastAsia" w:hAnsiTheme="majorHAnsi" w:cstheme="majorBidi"/>
        <w:noProof/>
      </w:rPr>
      <mc:AlternateContent>
        <mc:Choice Requires="wpg">
          <w:drawing>
            <wp:anchor distT="0" distB="0" distL="114300" distR="114300" simplePos="0" relativeHeight="251661312" behindDoc="0" locked="0" layoutInCell="1" allowOverlap="1" wp14:anchorId="19FD02D3" wp14:editId="1A6205FD">
              <wp:simplePos x="0" y="0"/>
              <wp:positionH relativeFrom="page">
                <wp:align>center</wp:align>
              </wp:positionH>
              <wp:positionV relativeFrom="page">
                <wp:align>top</wp:align>
              </wp:positionV>
              <wp:extent cx="7752080" cy="822960"/>
              <wp:effectExtent l="9525" t="0" r="10795" b="0"/>
              <wp:wrapNone/>
              <wp:docPr id="11" name="Group 3"/>
              <wp:cNvGraphicFramePr>
                <a:graphicFrameLocks/>
              </wp:cNvGraphicFramePr>
              <a:graphic>
                <a:graphicData uri="http://schemas.microsoft.com/office/word/2010/wordprocessingGroup">
                  <wpg:wgp>
                    <wpg:cNvGrpSpPr>
                      <a:grpSpLocks/>
                    </wpg:cNvGrpSpPr>
                    <wpg:grpSpPr bwMode="auto">
                      <a:xfrm>
                        <a:off x="0" y="0"/>
                        <a:ext cx="7752080" cy="822960"/>
                        <a:chOff x="8" y="9"/>
                        <a:chExt cx="15823" cy="1439"/>
                      </a:xfrm>
                    </wpg:grpSpPr>
                    <wps:wsp>
                      <wps:cNvPr id="12" name="AutoShape 4"/>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a:noFill/>
                            </a14:hiddenFill>
                          </a:ext>
                        </a:extLst>
                      </wps:spPr>
                      <wps:bodyPr/>
                    </wps:wsp>
                    <wps:wsp>
                      <wps:cNvPr id="13" name="Rectangle 5"/>
                      <wps:cNvSpPr>
                        <a:spLocks noChangeArrowheads="1"/>
                      </wps:cNvSpPr>
                      <wps:spPr bwMode="auto">
                        <a:xfrm>
                          <a:off x="8" y="9"/>
                          <a:ext cx="4031" cy="1439"/>
                        </a:xfrm>
                        <a:prstGeom prst="rect">
                          <a:avLst/>
                        </a:prstGeom>
                        <a:noFill/>
                        <a:ln>
                          <a:noFill/>
                        </a:ln>
                        <a:extLst>
                          <a:ext uri="{909E8E84-426E-40DD-AFC4-6F175D3DCCD1}">
                            <a14:hiddenFill>
                              <a:solidFill>
                                <a:srgbClr val="FFFFFF"/>
                              </a:solidFill>
                            </a14:hiddenFill>
                          </a:ext>
                          <a:ext uri="{91240B29-F687-4F45-9708-019B960494DF}">
                            <a14:hiddenLine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E66157F" id="Group 3" o:spid="_x0000_s1026" style="position:absolute;margin-left:0;margin-top:0;width:610.4pt;height:64.8pt;z-index:251661312;mso-width-percent:1000;mso-height-percent:900;mso-position-horizontal:center;mso-position-horizontal-relative:page;mso-position-vertical:top;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" strokecolor="#2f5496 [2408]"/>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60288" behindDoc="0" locked="0" layoutInCell="1" allowOverlap="1" wp14:anchorId="3D8C6A44" wp14:editId="4ED584C0">
              <wp:simplePos x="0" y="0"/>
              <wp:positionH relativeFrom="rightMargin">
                <wp:align>center</wp:align>
              </wp:positionH>
              <wp:positionV relativeFrom="page">
                <wp:align>top</wp:align>
              </wp:positionV>
              <wp:extent cx="90805" cy="799465"/>
              <wp:effectExtent l="9525" t="9525" r="13970" b="10160"/>
              <wp:wrapNone/>
              <wp:docPr id="10" name="Rectangle 2"/>
              <wp:cNvGraphicFramePr>
                <a:graphicFrameLocks/>
              </wp:cNvGraphicFramePr>
              <a:graphic>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0ECB8EDB" id="Rectangle 2" o:spid="_x0000_s1026" style="position:absolute;margin-left:0;margin-top:0;width:7.15pt;height:62.95pt;z-index:251660288;visibility:visible;mso-wrap-style:square;mso-width-percent:0;mso-height-percent:900;mso-wrap-distance-left:9pt;mso-wrap-distance-top:0;mso-wrap-distance-right:9pt;mso-wrap-distance-bottom:0;mso-position-horizontal:center;mso-position-horizontal-relative:righ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" fillcolor="#4472c4 [3208]" strokecolor="#1f3763 [1608]">
              <w10:wrap anchorx="margin" anchory="page"/>
            </v:rect>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70528F9D" wp14:editId="2A5C8062">
              <wp:simplePos x="0" y="0"/>
              <wp:positionH relativeFrom="leftMargin">
                <wp:align>center</wp:align>
              </wp:positionH>
              <wp:positionV relativeFrom="page">
                <wp:align>top</wp:align>
              </wp:positionV>
              <wp:extent cx="90805" cy="799465"/>
              <wp:effectExtent l="9525" t="9525" r="13970" b="10160"/>
              <wp:wrapNone/>
              <wp:docPr id="9" name="Rectangle 1"/>
              <wp:cNvGraphicFramePr>
                <a:graphicFrameLocks/>
              </wp:cNvGraphicFramePr>
              <a:graphic>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70E789E4" id="Rectangle 1" o:spid="_x0000_s1026" style="position:absolute;margin-left:0;margin-top:0;width:7.15pt;height:62.95pt;z-index:251659264;visibility:visible;mso-wrap-style:square;mso-width-percent:0;mso-height-percent:900;mso-wrap-distance-left:9pt;mso-wrap-distance-top:0;mso-wrap-distance-right:9pt;mso-wrap-distance-bottom:0;mso-position-horizontal:center;mso-position-horizontal-relative:lef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" fillcolor="#4472c4 [3208]" strokecolor="#1f3763 [1608]">
              <w10:wrap anchorx="margin" anchory="page"/>
            </v:rect>
          </w:pict>
        </mc:Fallback>
      </mc:AlternateContent>
    </w:r>
  </w:p>
  <w:p w14:paraId="69DFD936" w14:textId="77777777" w:rsidR="00395B23" w:rsidRDefault="00395B23" w:rsidP="00756E07">
    <w:pPr>
      <w:pStyle w:val="Header"/>
      <w:tabs>
        <w:tab w:val="clear" w:pos="4513"/>
        <w:tab w:val="clear" w:pos="9026"/>
        <w:tab w:val="left" w:pos="29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6AFD" w14:textId="77777777" w:rsidR="00B94E82" w:rsidRDefault="00B94E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BB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5E37457"/>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99F54C3"/>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 w15:restartNumberingAfterBreak="0">
    <w:nsid w:val="0FB13F09"/>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9357C"/>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5" w15:restartNumberingAfterBreak="0">
    <w:nsid w:val="140A707D"/>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6" w15:restartNumberingAfterBreak="0">
    <w:nsid w:val="147A3C04"/>
    <w:multiLevelType w:val="hybridMultilevel"/>
    <w:tmpl w:val="2C96E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954950"/>
    <w:multiLevelType w:val="hybridMultilevel"/>
    <w:tmpl w:val="B17A42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157915"/>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5434FFF"/>
    <w:multiLevelType w:val="multilevel"/>
    <w:tmpl w:val="88F49280"/>
    <w:lvl w:ilvl="0">
      <w:start w:val="1"/>
      <w:numFmt w:val="bullet"/>
      <w:lvlText w:val=""/>
      <w:lvlJc w:val="left"/>
      <w:pPr>
        <w:ind w:left="654" w:hanging="360"/>
      </w:pPr>
      <w:rPr>
        <w:rFonts w:ascii="Symbol" w:hAnsi="Symbol" w:hint="default"/>
        <w:b/>
      </w:rPr>
    </w:lvl>
    <w:lvl w:ilvl="1">
      <w:start w:val="1"/>
      <w:numFmt w:val="decimal"/>
      <w:isLgl/>
      <w:lvlText w:val="%1.%2."/>
      <w:lvlJc w:val="left"/>
      <w:pPr>
        <w:ind w:left="1014" w:hanging="720"/>
      </w:pPr>
      <w:rPr>
        <w:rFonts w:hint="default"/>
      </w:rPr>
    </w:lvl>
    <w:lvl w:ilvl="2">
      <w:start w:val="1"/>
      <w:numFmt w:val="decimal"/>
      <w:isLgl/>
      <w:lvlText w:val="%1.%2.%3."/>
      <w:lvlJc w:val="left"/>
      <w:pPr>
        <w:ind w:left="1014" w:hanging="720"/>
      </w:pPr>
      <w:rPr>
        <w:rFonts w:hint="default"/>
      </w:rPr>
    </w:lvl>
    <w:lvl w:ilvl="3">
      <w:start w:val="1"/>
      <w:numFmt w:val="decimal"/>
      <w:isLgl/>
      <w:lvlText w:val="%1.%2.%3.%4."/>
      <w:lvlJc w:val="left"/>
      <w:pPr>
        <w:ind w:left="1374" w:hanging="1080"/>
      </w:pPr>
      <w:rPr>
        <w:rFonts w:hint="default"/>
      </w:rPr>
    </w:lvl>
    <w:lvl w:ilvl="4">
      <w:start w:val="1"/>
      <w:numFmt w:val="decimal"/>
      <w:isLgl/>
      <w:lvlText w:val="%1.%2.%3.%4.%5."/>
      <w:lvlJc w:val="left"/>
      <w:pPr>
        <w:ind w:left="1734" w:hanging="1440"/>
      </w:pPr>
      <w:rPr>
        <w:rFonts w:hint="default"/>
      </w:rPr>
    </w:lvl>
    <w:lvl w:ilvl="5">
      <w:start w:val="1"/>
      <w:numFmt w:val="decimal"/>
      <w:isLgl/>
      <w:lvlText w:val="%1.%2.%3.%4.%5.%6."/>
      <w:lvlJc w:val="left"/>
      <w:pPr>
        <w:ind w:left="1734" w:hanging="1440"/>
      </w:pPr>
      <w:rPr>
        <w:rFonts w:hint="default"/>
      </w:rPr>
    </w:lvl>
    <w:lvl w:ilvl="6">
      <w:start w:val="1"/>
      <w:numFmt w:val="decimal"/>
      <w:isLgl/>
      <w:lvlText w:val="%1.%2.%3.%4.%5.%6.%7."/>
      <w:lvlJc w:val="left"/>
      <w:pPr>
        <w:ind w:left="2094" w:hanging="1800"/>
      </w:pPr>
      <w:rPr>
        <w:rFonts w:hint="default"/>
      </w:rPr>
    </w:lvl>
    <w:lvl w:ilvl="7">
      <w:start w:val="1"/>
      <w:numFmt w:val="decimal"/>
      <w:isLgl/>
      <w:lvlText w:val="%1.%2.%3.%4.%5.%6.%7.%8."/>
      <w:lvlJc w:val="left"/>
      <w:pPr>
        <w:ind w:left="2094" w:hanging="1800"/>
      </w:pPr>
      <w:rPr>
        <w:rFonts w:hint="default"/>
      </w:rPr>
    </w:lvl>
    <w:lvl w:ilvl="8">
      <w:start w:val="1"/>
      <w:numFmt w:val="decimal"/>
      <w:isLgl/>
      <w:lvlText w:val="%1.%2.%3.%4.%5.%6.%7.%8.%9."/>
      <w:lvlJc w:val="left"/>
      <w:pPr>
        <w:ind w:left="2454" w:hanging="2160"/>
      </w:pPr>
      <w:rPr>
        <w:rFonts w:hint="default"/>
      </w:rPr>
    </w:lvl>
  </w:abstractNum>
  <w:abstractNum w:abstractNumId="10" w15:restartNumberingAfterBreak="0">
    <w:nsid w:val="15744460"/>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6526FF1"/>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2" w15:restartNumberingAfterBreak="0">
    <w:nsid w:val="21B30B42"/>
    <w:multiLevelType w:val="hybridMultilevel"/>
    <w:tmpl w:val="427A97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3D6017"/>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4" w15:restartNumberingAfterBreak="0">
    <w:nsid w:val="266350B8"/>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5" w15:restartNumberingAfterBreak="0">
    <w:nsid w:val="27134E07"/>
    <w:multiLevelType w:val="hybridMultilevel"/>
    <w:tmpl w:val="2D36F4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7454683"/>
    <w:multiLevelType w:val="hybridMultilevel"/>
    <w:tmpl w:val="C98CA908"/>
    <w:lvl w:ilvl="0" w:tplc="40090001">
      <w:start w:val="1"/>
      <w:numFmt w:val="bullet"/>
      <w:lvlText w:val=""/>
      <w:lvlJc w:val="left"/>
      <w:pPr>
        <w:ind w:left="2589" w:hanging="360"/>
      </w:pPr>
      <w:rPr>
        <w:rFonts w:ascii="Symbol" w:hAnsi="Symbol" w:hint="default"/>
      </w:rPr>
    </w:lvl>
    <w:lvl w:ilvl="1" w:tplc="40090003">
      <w:start w:val="1"/>
      <w:numFmt w:val="bullet"/>
      <w:lvlText w:val="o"/>
      <w:lvlJc w:val="left"/>
      <w:pPr>
        <w:ind w:left="3309" w:hanging="360"/>
      </w:pPr>
      <w:rPr>
        <w:rFonts w:ascii="Courier New" w:hAnsi="Courier New" w:cs="Courier New" w:hint="default"/>
      </w:rPr>
    </w:lvl>
    <w:lvl w:ilvl="2" w:tplc="40090005" w:tentative="1">
      <w:start w:val="1"/>
      <w:numFmt w:val="bullet"/>
      <w:lvlText w:val=""/>
      <w:lvlJc w:val="left"/>
      <w:pPr>
        <w:ind w:left="4029" w:hanging="360"/>
      </w:pPr>
      <w:rPr>
        <w:rFonts w:ascii="Wingdings" w:hAnsi="Wingdings" w:hint="default"/>
      </w:rPr>
    </w:lvl>
    <w:lvl w:ilvl="3" w:tplc="40090001" w:tentative="1">
      <w:start w:val="1"/>
      <w:numFmt w:val="bullet"/>
      <w:lvlText w:val=""/>
      <w:lvlJc w:val="left"/>
      <w:pPr>
        <w:ind w:left="4749" w:hanging="360"/>
      </w:pPr>
      <w:rPr>
        <w:rFonts w:ascii="Symbol" w:hAnsi="Symbol" w:hint="default"/>
      </w:rPr>
    </w:lvl>
    <w:lvl w:ilvl="4" w:tplc="40090003" w:tentative="1">
      <w:start w:val="1"/>
      <w:numFmt w:val="bullet"/>
      <w:lvlText w:val="o"/>
      <w:lvlJc w:val="left"/>
      <w:pPr>
        <w:ind w:left="5469" w:hanging="360"/>
      </w:pPr>
      <w:rPr>
        <w:rFonts w:ascii="Courier New" w:hAnsi="Courier New" w:cs="Courier New" w:hint="default"/>
      </w:rPr>
    </w:lvl>
    <w:lvl w:ilvl="5" w:tplc="40090005" w:tentative="1">
      <w:start w:val="1"/>
      <w:numFmt w:val="bullet"/>
      <w:lvlText w:val=""/>
      <w:lvlJc w:val="left"/>
      <w:pPr>
        <w:ind w:left="6189" w:hanging="360"/>
      </w:pPr>
      <w:rPr>
        <w:rFonts w:ascii="Wingdings" w:hAnsi="Wingdings" w:hint="default"/>
      </w:rPr>
    </w:lvl>
    <w:lvl w:ilvl="6" w:tplc="40090001" w:tentative="1">
      <w:start w:val="1"/>
      <w:numFmt w:val="bullet"/>
      <w:lvlText w:val=""/>
      <w:lvlJc w:val="left"/>
      <w:pPr>
        <w:ind w:left="6909" w:hanging="360"/>
      </w:pPr>
      <w:rPr>
        <w:rFonts w:ascii="Symbol" w:hAnsi="Symbol" w:hint="default"/>
      </w:rPr>
    </w:lvl>
    <w:lvl w:ilvl="7" w:tplc="40090003" w:tentative="1">
      <w:start w:val="1"/>
      <w:numFmt w:val="bullet"/>
      <w:lvlText w:val="o"/>
      <w:lvlJc w:val="left"/>
      <w:pPr>
        <w:ind w:left="7629" w:hanging="360"/>
      </w:pPr>
      <w:rPr>
        <w:rFonts w:ascii="Courier New" w:hAnsi="Courier New" w:cs="Courier New" w:hint="default"/>
      </w:rPr>
    </w:lvl>
    <w:lvl w:ilvl="8" w:tplc="40090005" w:tentative="1">
      <w:start w:val="1"/>
      <w:numFmt w:val="bullet"/>
      <w:lvlText w:val=""/>
      <w:lvlJc w:val="left"/>
      <w:pPr>
        <w:ind w:left="8349" w:hanging="360"/>
      </w:pPr>
      <w:rPr>
        <w:rFonts w:ascii="Wingdings" w:hAnsi="Wingdings" w:hint="default"/>
      </w:rPr>
    </w:lvl>
  </w:abstractNum>
  <w:abstractNum w:abstractNumId="17" w15:restartNumberingAfterBreak="0">
    <w:nsid w:val="3393499E"/>
    <w:multiLevelType w:val="hybridMultilevel"/>
    <w:tmpl w:val="10A6EF7E"/>
    <w:lvl w:ilvl="0" w:tplc="40090001">
      <w:start w:val="1"/>
      <w:numFmt w:val="bullet"/>
      <w:lvlText w:val=""/>
      <w:lvlJc w:val="left"/>
      <w:pPr>
        <w:ind w:left="1824" w:hanging="360"/>
      </w:pPr>
      <w:rPr>
        <w:rFonts w:ascii="Symbol" w:hAnsi="Symbol" w:hint="default"/>
      </w:rPr>
    </w:lvl>
    <w:lvl w:ilvl="1" w:tplc="40090003">
      <w:start w:val="1"/>
      <w:numFmt w:val="bullet"/>
      <w:lvlText w:val="o"/>
      <w:lvlJc w:val="left"/>
      <w:pPr>
        <w:ind w:left="2544" w:hanging="360"/>
      </w:pPr>
      <w:rPr>
        <w:rFonts w:ascii="Courier New" w:hAnsi="Courier New" w:cs="Courier New" w:hint="default"/>
      </w:rPr>
    </w:lvl>
    <w:lvl w:ilvl="2" w:tplc="40090005" w:tentative="1">
      <w:start w:val="1"/>
      <w:numFmt w:val="bullet"/>
      <w:lvlText w:val=""/>
      <w:lvlJc w:val="left"/>
      <w:pPr>
        <w:ind w:left="3264" w:hanging="360"/>
      </w:pPr>
      <w:rPr>
        <w:rFonts w:ascii="Wingdings" w:hAnsi="Wingdings" w:hint="default"/>
      </w:rPr>
    </w:lvl>
    <w:lvl w:ilvl="3" w:tplc="40090001" w:tentative="1">
      <w:start w:val="1"/>
      <w:numFmt w:val="bullet"/>
      <w:lvlText w:val=""/>
      <w:lvlJc w:val="left"/>
      <w:pPr>
        <w:ind w:left="3984" w:hanging="360"/>
      </w:pPr>
      <w:rPr>
        <w:rFonts w:ascii="Symbol" w:hAnsi="Symbol" w:hint="default"/>
      </w:rPr>
    </w:lvl>
    <w:lvl w:ilvl="4" w:tplc="40090003" w:tentative="1">
      <w:start w:val="1"/>
      <w:numFmt w:val="bullet"/>
      <w:lvlText w:val="o"/>
      <w:lvlJc w:val="left"/>
      <w:pPr>
        <w:ind w:left="4704" w:hanging="360"/>
      </w:pPr>
      <w:rPr>
        <w:rFonts w:ascii="Courier New" w:hAnsi="Courier New" w:cs="Courier New" w:hint="default"/>
      </w:rPr>
    </w:lvl>
    <w:lvl w:ilvl="5" w:tplc="40090005" w:tentative="1">
      <w:start w:val="1"/>
      <w:numFmt w:val="bullet"/>
      <w:lvlText w:val=""/>
      <w:lvlJc w:val="left"/>
      <w:pPr>
        <w:ind w:left="5424" w:hanging="360"/>
      </w:pPr>
      <w:rPr>
        <w:rFonts w:ascii="Wingdings" w:hAnsi="Wingdings" w:hint="default"/>
      </w:rPr>
    </w:lvl>
    <w:lvl w:ilvl="6" w:tplc="40090001" w:tentative="1">
      <w:start w:val="1"/>
      <w:numFmt w:val="bullet"/>
      <w:lvlText w:val=""/>
      <w:lvlJc w:val="left"/>
      <w:pPr>
        <w:ind w:left="6144" w:hanging="360"/>
      </w:pPr>
      <w:rPr>
        <w:rFonts w:ascii="Symbol" w:hAnsi="Symbol" w:hint="default"/>
      </w:rPr>
    </w:lvl>
    <w:lvl w:ilvl="7" w:tplc="40090003" w:tentative="1">
      <w:start w:val="1"/>
      <w:numFmt w:val="bullet"/>
      <w:lvlText w:val="o"/>
      <w:lvlJc w:val="left"/>
      <w:pPr>
        <w:ind w:left="6864" w:hanging="360"/>
      </w:pPr>
      <w:rPr>
        <w:rFonts w:ascii="Courier New" w:hAnsi="Courier New" w:cs="Courier New" w:hint="default"/>
      </w:rPr>
    </w:lvl>
    <w:lvl w:ilvl="8" w:tplc="40090005" w:tentative="1">
      <w:start w:val="1"/>
      <w:numFmt w:val="bullet"/>
      <w:lvlText w:val=""/>
      <w:lvlJc w:val="left"/>
      <w:pPr>
        <w:ind w:left="7584" w:hanging="360"/>
      </w:pPr>
      <w:rPr>
        <w:rFonts w:ascii="Wingdings" w:hAnsi="Wingdings" w:hint="default"/>
      </w:rPr>
    </w:lvl>
  </w:abstractNum>
  <w:abstractNum w:abstractNumId="18" w15:restartNumberingAfterBreak="0">
    <w:nsid w:val="38030C44"/>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9" w15:restartNumberingAfterBreak="0">
    <w:nsid w:val="431411BD"/>
    <w:multiLevelType w:val="hybridMultilevel"/>
    <w:tmpl w:val="88A2434C"/>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20" w15:restartNumberingAfterBreak="0">
    <w:nsid w:val="4CE2475B"/>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1" w15:restartNumberingAfterBreak="0">
    <w:nsid w:val="4D0047E7"/>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50C30925"/>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23" w15:restartNumberingAfterBreak="0">
    <w:nsid w:val="51877E4B"/>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24" w15:restartNumberingAfterBreak="0">
    <w:nsid w:val="53F06508"/>
    <w:multiLevelType w:val="hybridMultilevel"/>
    <w:tmpl w:val="7C4CFCE0"/>
    <w:lvl w:ilvl="0" w:tplc="40090011">
      <w:start w:val="1"/>
      <w:numFmt w:val="decimal"/>
      <w:lvlText w:val="%1)"/>
      <w:lvlJc w:val="left"/>
      <w:pPr>
        <w:ind w:left="2592" w:hanging="360"/>
      </w:pPr>
    </w:lvl>
    <w:lvl w:ilvl="1" w:tplc="40090019" w:tentative="1">
      <w:start w:val="1"/>
      <w:numFmt w:val="lowerLetter"/>
      <w:lvlText w:val="%2."/>
      <w:lvlJc w:val="left"/>
      <w:pPr>
        <w:ind w:left="3312" w:hanging="360"/>
      </w:pPr>
    </w:lvl>
    <w:lvl w:ilvl="2" w:tplc="4009001B" w:tentative="1">
      <w:start w:val="1"/>
      <w:numFmt w:val="lowerRoman"/>
      <w:lvlText w:val="%3."/>
      <w:lvlJc w:val="right"/>
      <w:pPr>
        <w:ind w:left="4032" w:hanging="180"/>
      </w:pPr>
    </w:lvl>
    <w:lvl w:ilvl="3" w:tplc="4009000F" w:tentative="1">
      <w:start w:val="1"/>
      <w:numFmt w:val="decimal"/>
      <w:lvlText w:val="%4."/>
      <w:lvlJc w:val="left"/>
      <w:pPr>
        <w:ind w:left="4752" w:hanging="360"/>
      </w:pPr>
    </w:lvl>
    <w:lvl w:ilvl="4" w:tplc="40090019" w:tentative="1">
      <w:start w:val="1"/>
      <w:numFmt w:val="lowerLetter"/>
      <w:lvlText w:val="%5."/>
      <w:lvlJc w:val="left"/>
      <w:pPr>
        <w:ind w:left="5472" w:hanging="360"/>
      </w:pPr>
    </w:lvl>
    <w:lvl w:ilvl="5" w:tplc="4009001B" w:tentative="1">
      <w:start w:val="1"/>
      <w:numFmt w:val="lowerRoman"/>
      <w:lvlText w:val="%6."/>
      <w:lvlJc w:val="right"/>
      <w:pPr>
        <w:ind w:left="6192" w:hanging="180"/>
      </w:pPr>
    </w:lvl>
    <w:lvl w:ilvl="6" w:tplc="4009000F" w:tentative="1">
      <w:start w:val="1"/>
      <w:numFmt w:val="decimal"/>
      <w:lvlText w:val="%7."/>
      <w:lvlJc w:val="left"/>
      <w:pPr>
        <w:ind w:left="6912" w:hanging="360"/>
      </w:pPr>
    </w:lvl>
    <w:lvl w:ilvl="7" w:tplc="40090019" w:tentative="1">
      <w:start w:val="1"/>
      <w:numFmt w:val="lowerLetter"/>
      <w:lvlText w:val="%8."/>
      <w:lvlJc w:val="left"/>
      <w:pPr>
        <w:ind w:left="7632" w:hanging="360"/>
      </w:pPr>
    </w:lvl>
    <w:lvl w:ilvl="8" w:tplc="4009001B" w:tentative="1">
      <w:start w:val="1"/>
      <w:numFmt w:val="lowerRoman"/>
      <w:lvlText w:val="%9."/>
      <w:lvlJc w:val="right"/>
      <w:pPr>
        <w:ind w:left="8352" w:hanging="180"/>
      </w:pPr>
    </w:lvl>
  </w:abstractNum>
  <w:abstractNum w:abstractNumId="25" w15:restartNumberingAfterBreak="0">
    <w:nsid w:val="540C095F"/>
    <w:multiLevelType w:val="hybridMultilevel"/>
    <w:tmpl w:val="EBEE9E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6511B4B"/>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C64193"/>
    <w:multiLevelType w:val="hybridMultilevel"/>
    <w:tmpl w:val="B9047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91F3DFC"/>
    <w:multiLevelType w:val="multilevel"/>
    <w:tmpl w:val="322069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5A151527"/>
    <w:multiLevelType w:val="hybridMultilevel"/>
    <w:tmpl w:val="42788B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5C2A0211"/>
    <w:multiLevelType w:val="hybridMultilevel"/>
    <w:tmpl w:val="E62E2BE0"/>
    <w:lvl w:ilvl="0" w:tplc="40090011">
      <w:start w:val="1"/>
      <w:numFmt w:val="decimal"/>
      <w:lvlText w:val="%1)"/>
      <w:lvlJc w:val="left"/>
      <w:pPr>
        <w:ind w:left="1152" w:hanging="360"/>
      </w:pPr>
    </w:lvl>
    <w:lvl w:ilvl="1" w:tplc="40090019">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31" w15:restartNumberingAfterBreak="0">
    <w:nsid w:val="620B00BE"/>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32" w15:restartNumberingAfterBreak="0">
    <w:nsid w:val="62BD359F"/>
    <w:multiLevelType w:val="hybridMultilevel"/>
    <w:tmpl w:val="79808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C7516A7"/>
    <w:multiLevelType w:val="multilevel"/>
    <w:tmpl w:val="99582D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72D53054"/>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5" w15:restartNumberingAfterBreak="0">
    <w:nsid w:val="7A421636"/>
    <w:multiLevelType w:val="hybridMultilevel"/>
    <w:tmpl w:val="9AAE9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1256884">
    <w:abstractNumId w:val="9"/>
  </w:num>
  <w:num w:numId="2" w16cid:durableId="2119833253">
    <w:abstractNumId w:val="17"/>
  </w:num>
  <w:num w:numId="3" w16cid:durableId="1986005398">
    <w:abstractNumId w:val="11"/>
  </w:num>
  <w:num w:numId="4" w16cid:durableId="4346374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9657930">
    <w:abstractNumId w:val="29"/>
  </w:num>
  <w:num w:numId="6" w16cid:durableId="952127718">
    <w:abstractNumId w:val="23"/>
  </w:num>
  <w:num w:numId="7" w16cid:durableId="688871541">
    <w:abstractNumId w:val="30"/>
  </w:num>
  <w:num w:numId="8" w16cid:durableId="643508282">
    <w:abstractNumId w:val="19"/>
  </w:num>
  <w:num w:numId="9" w16cid:durableId="179248125">
    <w:abstractNumId w:val="2"/>
  </w:num>
  <w:num w:numId="10" w16cid:durableId="1401634397">
    <w:abstractNumId w:val="24"/>
  </w:num>
  <w:num w:numId="11" w16cid:durableId="1152795347">
    <w:abstractNumId w:val="4"/>
  </w:num>
  <w:num w:numId="12" w16cid:durableId="732311982">
    <w:abstractNumId w:val="1"/>
  </w:num>
  <w:num w:numId="13" w16cid:durableId="2144423319">
    <w:abstractNumId w:val="20"/>
  </w:num>
  <w:num w:numId="14" w16cid:durableId="576670135">
    <w:abstractNumId w:val="18"/>
  </w:num>
  <w:num w:numId="15" w16cid:durableId="681933949">
    <w:abstractNumId w:val="5"/>
  </w:num>
  <w:num w:numId="16" w16cid:durableId="1525628089">
    <w:abstractNumId w:val="9"/>
  </w:num>
  <w:num w:numId="17" w16cid:durableId="625433064">
    <w:abstractNumId w:val="9"/>
  </w:num>
  <w:num w:numId="18" w16cid:durableId="19114956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36270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64257105">
    <w:abstractNumId w:val="9"/>
  </w:num>
  <w:num w:numId="21" w16cid:durableId="779640862">
    <w:abstractNumId w:val="31"/>
  </w:num>
  <w:num w:numId="22" w16cid:durableId="1998534045">
    <w:abstractNumId w:val="13"/>
  </w:num>
  <w:num w:numId="23" w16cid:durableId="1343239811">
    <w:abstractNumId w:val="22"/>
  </w:num>
  <w:num w:numId="24" w16cid:durableId="1799910954">
    <w:abstractNumId w:val="14"/>
  </w:num>
  <w:num w:numId="25" w16cid:durableId="14386041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09139079">
    <w:abstractNumId w:val="34"/>
  </w:num>
  <w:num w:numId="27" w16cid:durableId="6154069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74334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87169366">
    <w:abstractNumId w:val="8"/>
  </w:num>
  <w:num w:numId="30" w16cid:durableId="1747416444">
    <w:abstractNumId w:val="21"/>
  </w:num>
  <w:num w:numId="31" w16cid:durableId="1404571440">
    <w:abstractNumId w:val="16"/>
  </w:num>
  <w:num w:numId="32" w16cid:durableId="2000110238">
    <w:abstractNumId w:val="9"/>
  </w:num>
  <w:num w:numId="33" w16cid:durableId="1001356059">
    <w:abstractNumId w:val="28"/>
  </w:num>
  <w:num w:numId="34" w16cid:durableId="1396196277">
    <w:abstractNumId w:val="10"/>
  </w:num>
  <w:num w:numId="35" w16cid:durableId="18108897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26364908">
    <w:abstractNumId w:val="33"/>
  </w:num>
  <w:num w:numId="37" w16cid:durableId="1928807113">
    <w:abstractNumId w:val="0"/>
  </w:num>
  <w:num w:numId="38" w16cid:durableId="510683550">
    <w:abstractNumId w:val="26"/>
  </w:num>
  <w:num w:numId="39" w16cid:durableId="364260374">
    <w:abstractNumId w:val="3"/>
  </w:num>
  <w:num w:numId="40" w16cid:durableId="1601832176">
    <w:abstractNumId w:val="12"/>
  </w:num>
  <w:num w:numId="41" w16cid:durableId="1393576243">
    <w:abstractNumId w:val="35"/>
  </w:num>
  <w:num w:numId="42" w16cid:durableId="1605261960">
    <w:abstractNumId w:val="25"/>
  </w:num>
  <w:num w:numId="43" w16cid:durableId="846210254">
    <w:abstractNumId w:val="15"/>
  </w:num>
  <w:num w:numId="44" w16cid:durableId="706757079">
    <w:abstractNumId w:val="7"/>
  </w:num>
  <w:num w:numId="45" w16cid:durableId="1024021084">
    <w:abstractNumId w:val="32"/>
  </w:num>
  <w:num w:numId="46" w16cid:durableId="1939829899">
    <w:abstractNumId w:val="27"/>
  </w:num>
  <w:num w:numId="47" w16cid:durableId="1872495939">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1A"/>
    <w:rsid w:val="00006E71"/>
    <w:rsid w:val="00007CEA"/>
    <w:rsid w:val="00010536"/>
    <w:rsid w:val="00013528"/>
    <w:rsid w:val="000153B6"/>
    <w:rsid w:val="000331F4"/>
    <w:rsid w:val="00033E23"/>
    <w:rsid w:val="0003727E"/>
    <w:rsid w:val="00040AE2"/>
    <w:rsid w:val="0005066D"/>
    <w:rsid w:val="00050A10"/>
    <w:rsid w:val="00051F9E"/>
    <w:rsid w:val="00065E2C"/>
    <w:rsid w:val="00084000"/>
    <w:rsid w:val="000861FF"/>
    <w:rsid w:val="000906C0"/>
    <w:rsid w:val="0009124C"/>
    <w:rsid w:val="00092932"/>
    <w:rsid w:val="000A18D5"/>
    <w:rsid w:val="000A1F7A"/>
    <w:rsid w:val="000A7235"/>
    <w:rsid w:val="000A7290"/>
    <w:rsid w:val="000B4398"/>
    <w:rsid w:val="000C02C9"/>
    <w:rsid w:val="000D2F11"/>
    <w:rsid w:val="000D36D5"/>
    <w:rsid w:val="000D782B"/>
    <w:rsid w:val="000E192A"/>
    <w:rsid w:val="000F7DD4"/>
    <w:rsid w:val="0010043C"/>
    <w:rsid w:val="00103C75"/>
    <w:rsid w:val="00106C46"/>
    <w:rsid w:val="00117860"/>
    <w:rsid w:val="00122550"/>
    <w:rsid w:val="00122EA3"/>
    <w:rsid w:val="001268F9"/>
    <w:rsid w:val="0013000A"/>
    <w:rsid w:val="00130216"/>
    <w:rsid w:val="00130247"/>
    <w:rsid w:val="001305C6"/>
    <w:rsid w:val="00130A7C"/>
    <w:rsid w:val="00131EF3"/>
    <w:rsid w:val="00133677"/>
    <w:rsid w:val="001503FF"/>
    <w:rsid w:val="001603EA"/>
    <w:rsid w:val="001731B1"/>
    <w:rsid w:val="00174CE5"/>
    <w:rsid w:val="001756F8"/>
    <w:rsid w:val="00180D7C"/>
    <w:rsid w:val="00182668"/>
    <w:rsid w:val="00183D24"/>
    <w:rsid w:val="001869CB"/>
    <w:rsid w:val="00190740"/>
    <w:rsid w:val="0019502C"/>
    <w:rsid w:val="001A3699"/>
    <w:rsid w:val="001A5578"/>
    <w:rsid w:val="001A7C6C"/>
    <w:rsid w:val="001C038B"/>
    <w:rsid w:val="001D655B"/>
    <w:rsid w:val="001D6A7E"/>
    <w:rsid w:val="001D7A6B"/>
    <w:rsid w:val="001E777E"/>
    <w:rsid w:val="00200904"/>
    <w:rsid w:val="00202D86"/>
    <w:rsid w:val="00215262"/>
    <w:rsid w:val="0022692D"/>
    <w:rsid w:val="00226DDE"/>
    <w:rsid w:val="00227022"/>
    <w:rsid w:val="00235D29"/>
    <w:rsid w:val="002375AB"/>
    <w:rsid w:val="002408CD"/>
    <w:rsid w:val="00241303"/>
    <w:rsid w:val="00244C43"/>
    <w:rsid w:val="00245717"/>
    <w:rsid w:val="00246BA5"/>
    <w:rsid w:val="00246F77"/>
    <w:rsid w:val="00250386"/>
    <w:rsid w:val="0025148A"/>
    <w:rsid w:val="00253D3D"/>
    <w:rsid w:val="00255871"/>
    <w:rsid w:val="002565E1"/>
    <w:rsid w:val="002648CB"/>
    <w:rsid w:val="00265543"/>
    <w:rsid w:val="00273550"/>
    <w:rsid w:val="00275EA1"/>
    <w:rsid w:val="00280A5F"/>
    <w:rsid w:val="00281ED2"/>
    <w:rsid w:val="00285A43"/>
    <w:rsid w:val="002938CA"/>
    <w:rsid w:val="00294868"/>
    <w:rsid w:val="002A4330"/>
    <w:rsid w:val="002B125B"/>
    <w:rsid w:val="002B6A48"/>
    <w:rsid w:val="002D0EA3"/>
    <w:rsid w:val="002D4FFB"/>
    <w:rsid w:val="002F373E"/>
    <w:rsid w:val="00302ECF"/>
    <w:rsid w:val="0030454A"/>
    <w:rsid w:val="00311EEB"/>
    <w:rsid w:val="003179F8"/>
    <w:rsid w:val="003261AB"/>
    <w:rsid w:val="00327FC4"/>
    <w:rsid w:val="00337E88"/>
    <w:rsid w:val="00343CFC"/>
    <w:rsid w:val="00346EEF"/>
    <w:rsid w:val="00357FA0"/>
    <w:rsid w:val="003634D3"/>
    <w:rsid w:val="00363A7E"/>
    <w:rsid w:val="0037098A"/>
    <w:rsid w:val="00376CAC"/>
    <w:rsid w:val="0037788C"/>
    <w:rsid w:val="00377D49"/>
    <w:rsid w:val="00387000"/>
    <w:rsid w:val="00391741"/>
    <w:rsid w:val="003945F2"/>
    <w:rsid w:val="00395A9A"/>
    <w:rsid w:val="00395B23"/>
    <w:rsid w:val="003A235C"/>
    <w:rsid w:val="003A2B3F"/>
    <w:rsid w:val="003A4981"/>
    <w:rsid w:val="003C065B"/>
    <w:rsid w:val="003C4076"/>
    <w:rsid w:val="003D0B70"/>
    <w:rsid w:val="003D2559"/>
    <w:rsid w:val="003D393B"/>
    <w:rsid w:val="003E5BEB"/>
    <w:rsid w:val="00400639"/>
    <w:rsid w:val="00401D0F"/>
    <w:rsid w:val="0041450E"/>
    <w:rsid w:val="00434AFD"/>
    <w:rsid w:val="00436046"/>
    <w:rsid w:val="00446536"/>
    <w:rsid w:val="004509A4"/>
    <w:rsid w:val="00455198"/>
    <w:rsid w:val="00462690"/>
    <w:rsid w:val="00463769"/>
    <w:rsid w:val="004711F6"/>
    <w:rsid w:val="00472F02"/>
    <w:rsid w:val="00483B15"/>
    <w:rsid w:val="004B26E9"/>
    <w:rsid w:val="004B7924"/>
    <w:rsid w:val="004E39E9"/>
    <w:rsid w:val="004F3BC7"/>
    <w:rsid w:val="004F5C59"/>
    <w:rsid w:val="0050185F"/>
    <w:rsid w:val="00503CB2"/>
    <w:rsid w:val="005055ED"/>
    <w:rsid w:val="00520E45"/>
    <w:rsid w:val="00521A2F"/>
    <w:rsid w:val="00525815"/>
    <w:rsid w:val="00537391"/>
    <w:rsid w:val="00540C9C"/>
    <w:rsid w:val="00540D28"/>
    <w:rsid w:val="005458A0"/>
    <w:rsid w:val="00546AA9"/>
    <w:rsid w:val="00546B06"/>
    <w:rsid w:val="00547F0B"/>
    <w:rsid w:val="00550190"/>
    <w:rsid w:val="00552FE9"/>
    <w:rsid w:val="005532C2"/>
    <w:rsid w:val="00555275"/>
    <w:rsid w:val="00561D82"/>
    <w:rsid w:val="0056288A"/>
    <w:rsid w:val="0057306D"/>
    <w:rsid w:val="00573C7E"/>
    <w:rsid w:val="00573DFC"/>
    <w:rsid w:val="00587455"/>
    <w:rsid w:val="005A6236"/>
    <w:rsid w:val="005A74CA"/>
    <w:rsid w:val="005B24CF"/>
    <w:rsid w:val="005B2595"/>
    <w:rsid w:val="005B71BD"/>
    <w:rsid w:val="005C03A9"/>
    <w:rsid w:val="005C3247"/>
    <w:rsid w:val="005E2EA4"/>
    <w:rsid w:val="005F1E5C"/>
    <w:rsid w:val="006061F1"/>
    <w:rsid w:val="0061005D"/>
    <w:rsid w:val="0061690A"/>
    <w:rsid w:val="00617867"/>
    <w:rsid w:val="00623E77"/>
    <w:rsid w:val="00626CC8"/>
    <w:rsid w:val="00633BD6"/>
    <w:rsid w:val="006438B6"/>
    <w:rsid w:val="00643A1C"/>
    <w:rsid w:val="00644CE7"/>
    <w:rsid w:val="00645BEA"/>
    <w:rsid w:val="00646527"/>
    <w:rsid w:val="00647A16"/>
    <w:rsid w:val="00653601"/>
    <w:rsid w:val="00654DD5"/>
    <w:rsid w:val="00670807"/>
    <w:rsid w:val="00671FE9"/>
    <w:rsid w:val="00675EB0"/>
    <w:rsid w:val="00682104"/>
    <w:rsid w:val="00682A40"/>
    <w:rsid w:val="006855EC"/>
    <w:rsid w:val="00687061"/>
    <w:rsid w:val="00693C0E"/>
    <w:rsid w:val="006A0323"/>
    <w:rsid w:val="006A2050"/>
    <w:rsid w:val="006C496F"/>
    <w:rsid w:val="006C5684"/>
    <w:rsid w:val="006C7D07"/>
    <w:rsid w:val="006D47BF"/>
    <w:rsid w:val="006E0428"/>
    <w:rsid w:val="006E212E"/>
    <w:rsid w:val="006E24E9"/>
    <w:rsid w:val="006E4F40"/>
    <w:rsid w:val="00702A6B"/>
    <w:rsid w:val="00704DAA"/>
    <w:rsid w:val="0070561D"/>
    <w:rsid w:val="0071083B"/>
    <w:rsid w:val="00710BF7"/>
    <w:rsid w:val="0071415A"/>
    <w:rsid w:val="007169A9"/>
    <w:rsid w:val="007271CA"/>
    <w:rsid w:val="007310FB"/>
    <w:rsid w:val="00731530"/>
    <w:rsid w:val="00733C9A"/>
    <w:rsid w:val="00744354"/>
    <w:rsid w:val="00744F16"/>
    <w:rsid w:val="00750019"/>
    <w:rsid w:val="007516F9"/>
    <w:rsid w:val="00755035"/>
    <w:rsid w:val="00755657"/>
    <w:rsid w:val="00756E07"/>
    <w:rsid w:val="00762666"/>
    <w:rsid w:val="007661EC"/>
    <w:rsid w:val="00771FD6"/>
    <w:rsid w:val="007800EC"/>
    <w:rsid w:val="00784433"/>
    <w:rsid w:val="00786D60"/>
    <w:rsid w:val="007968B1"/>
    <w:rsid w:val="007969AC"/>
    <w:rsid w:val="007A30B6"/>
    <w:rsid w:val="007A6BAF"/>
    <w:rsid w:val="007A6DC9"/>
    <w:rsid w:val="007B3A31"/>
    <w:rsid w:val="007B74CB"/>
    <w:rsid w:val="007C248D"/>
    <w:rsid w:val="007C33F6"/>
    <w:rsid w:val="007F0B79"/>
    <w:rsid w:val="008056B7"/>
    <w:rsid w:val="00805BC0"/>
    <w:rsid w:val="00813808"/>
    <w:rsid w:val="008144E9"/>
    <w:rsid w:val="00814A5F"/>
    <w:rsid w:val="008161DC"/>
    <w:rsid w:val="008226DC"/>
    <w:rsid w:val="008269F0"/>
    <w:rsid w:val="00832D94"/>
    <w:rsid w:val="00833977"/>
    <w:rsid w:val="00836943"/>
    <w:rsid w:val="00840D07"/>
    <w:rsid w:val="00843611"/>
    <w:rsid w:val="00850229"/>
    <w:rsid w:val="008573BC"/>
    <w:rsid w:val="00860E3B"/>
    <w:rsid w:val="00861D4D"/>
    <w:rsid w:val="00865883"/>
    <w:rsid w:val="008724E8"/>
    <w:rsid w:val="008848D6"/>
    <w:rsid w:val="00891DBC"/>
    <w:rsid w:val="00893CF7"/>
    <w:rsid w:val="008A276E"/>
    <w:rsid w:val="008A7F7F"/>
    <w:rsid w:val="008B17F8"/>
    <w:rsid w:val="008B7040"/>
    <w:rsid w:val="008C0BDA"/>
    <w:rsid w:val="008C59B3"/>
    <w:rsid w:val="008D0795"/>
    <w:rsid w:val="008D6046"/>
    <w:rsid w:val="008E0608"/>
    <w:rsid w:val="008E45C4"/>
    <w:rsid w:val="008E637D"/>
    <w:rsid w:val="008E67E2"/>
    <w:rsid w:val="008E7B17"/>
    <w:rsid w:val="008F5AC1"/>
    <w:rsid w:val="00901988"/>
    <w:rsid w:val="00901FAF"/>
    <w:rsid w:val="00903DD3"/>
    <w:rsid w:val="0091521C"/>
    <w:rsid w:val="009228F6"/>
    <w:rsid w:val="0093042E"/>
    <w:rsid w:val="00932AC5"/>
    <w:rsid w:val="00937B84"/>
    <w:rsid w:val="0094082E"/>
    <w:rsid w:val="009413D0"/>
    <w:rsid w:val="0094478A"/>
    <w:rsid w:val="009451EB"/>
    <w:rsid w:val="00946055"/>
    <w:rsid w:val="00947D05"/>
    <w:rsid w:val="00952103"/>
    <w:rsid w:val="00956814"/>
    <w:rsid w:val="00962D93"/>
    <w:rsid w:val="009710F0"/>
    <w:rsid w:val="00971166"/>
    <w:rsid w:val="009765C3"/>
    <w:rsid w:val="00976EF0"/>
    <w:rsid w:val="00977192"/>
    <w:rsid w:val="009879DB"/>
    <w:rsid w:val="009923DF"/>
    <w:rsid w:val="00994713"/>
    <w:rsid w:val="009C1A6C"/>
    <w:rsid w:val="009C5891"/>
    <w:rsid w:val="009D01B7"/>
    <w:rsid w:val="009D48D4"/>
    <w:rsid w:val="009E06D0"/>
    <w:rsid w:val="009E19DB"/>
    <w:rsid w:val="009E51DF"/>
    <w:rsid w:val="009E6812"/>
    <w:rsid w:val="009F276E"/>
    <w:rsid w:val="00A01322"/>
    <w:rsid w:val="00A11A91"/>
    <w:rsid w:val="00A1252F"/>
    <w:rsid w:val="00A15A7E"/>
    <w:rsid w:val="00A245E8"/>
    <w:rsid w:val="00A27D17"/>
    <w:rsid w:val="00A40BA1"/>
    <w:rsid w:val="00A47877"/>
    <w:rsid w:val="00A61992"/>
    <w:rsid w:val="00A62857"/>
    <w:rsid w:val="00A73172"/>
    <w:rsid w:val="00A7607F"/>
    <w:rsid w:val="00A77C6D"/>
    <w:rsid w:val="00A93DDB"/>
    <w:rsid w:val="00A95153"/>
    <w:rsid w:val="00AA0218"/>
    <w:rsid w:val="00AA3979"/>
    <w:rsid w:val="00AA5AEE"/>
    <w:rsid w:val="00AA6C15"/>
    <w:rsid w:val="00AA7D35"/>
    <w:rsid w:val="00AB477E"/>
    <w:rsid w:val="00AB4870"/>
    <w:rsid w:val="00AB5E38"/>
    <w:rsid w:val="00AD5A73"/>
    <w:rsid w:val="00AE0696"/>
    <w:rsid w:val="00AE37D0"/>
    <w:rsid w:val="00AE4E22"/>
    <w:rsid w:val="00AF0091"/>
    <w:rsid w:val="00AF64DA"/>
    <w:rsid w:val="00B020DC"/>
    <w:rsid w:val="00B030BB"/>
    <w:rsid w:val="00B2107D"/>
    <w:rsid w:val="00B23607"/>
    <w:rsid w:val="00B35F69"/>
    <w:rsid w:val="00B36485"/>
    <w:rsid w:val="00B367C4"/>
    <w:rsid w:val="00B452E5"/>
    <w:rsid w:val="00B47C7C"/>
    <w:rsid w:val="00B55E63"/>
    <w:rsid w:val="00B657F5"/>
    <w:rsid w:val="00B71B4A"/>
    <w:rsid w:val="00B72BC2"/>
    <w:rsid w:val="00B74051"/>
    <w:rsid w:val="00B7736D"/>
    <w:rsid w:val="00B87AE0"/>
    <w:rsid w:val="00B92488"/>
    <w:rsid w:val="00B94E82"/>
    <w:rsid w:val="00B9788A"/>
    <w:rsid w:val="00BA0596"/>
    <w:rsid w:val="00BA57C5"/>
    <w:rsid w:val="00BA5984"/>
    <w:rsid w:val="00BB000F"/>
    <w:rsid w:val="00BB003A"/>
    <w:rsid w:val="00BB1AFA"/>
    <w:rsid w:val="00BB42D0"/>
    <w:rsid w:val="00BB52C1"/>
    <w:rsid w:val="00BC4794"/>
    <w:rsid w:val="00BC6E8A"/>
    <w:rsid w:val="00BD2422"/>
    <w:rsid w:val="00BE02CA"/>
    <w:rsid w:val="00BE0511"/>
    <w:rsid w:val="00BF58F6"/>
    <w:rsid w:val="00C10188"/>
    <w:rsid w:val="00C109CF"/>
    <w:rsid w:val="00C10E2A"/>
    <w:rsid w:val="00C15D73"/>
    <w:rsid w:val="00C22C69"/>
    <w:rsid w:val="00C411FF"/>
    <w:rsid w:val="00C424B3"/>
    <w:rsid w:val="00C45BF0"/>
    <w:rsid w:val="00C537AD"/>
    <w:rsid w:val="00C57835"/>
    <w:rsid w:val="00C6379E"/>
    <w:rsid w:val="00C65529"/>
    <w:rsid w:val="00CA1D4A"/>
    <w:rsid w:val="00CB0DC3"/>
    <w:rsid w:val="00CB769B"/>
    <w:rsid w:val="00CB78C5"/>
    <w:rsid w:val="00CC7A8E"/>
    <w:rsid w:val="00CD78BD"/>
    <w:rsid w:val="00CE1BA3"/>
    <w:rsid w:val="00CE27D9"/>
    <w:rsid w:val="00CE4F0A"/>
    <w:rsid w:val="00CE5753"/>
    <w:rsid w:val="00CE7DE2"/>
    <w:rsid w:val="00CF1E57"/>
    <w:rsid w:val="00CF21DA"/>
    <w:rsid w:val="00D03173"/>
    <w:rsid w:val="00D04E7D"/>
    <w:rsid w:val="00D107FF"/>
    <w:rsid w:val="00D11313"/>
    <w:rsid w:val="00D1384D"/>
    <w:rsid w:val="00D243BE"/>
    <w:rsid w:val="00D26EE7"/>
    <w:rsid w:val="00D32581"/>
    <w:rsid w:val="00D32867"/>
    <w:rsid w:val="00D35C8C"/>
    <w:rsid w:val="00D42F49"/>
    <w:rsid w:val="00D4726C"/>
    <w:rsid w:val="00D51929"/>
    <w:rsid w:val="00D55734"/>
    <w:rsid w:val="00D6531A"/>
    <w:rsid w:val="00D772B9"/>
    <w:rsid w:val="00D8438B"/>
    <w:rsid w:val="00D87E63"/>
    <w:rsid w:val="00D93314"/>
    <w:rsid w:val="00D93AF1"/>
    <w:rsid w:val="00D94944"/>
    <w:rsid w:val="00DA1603"/>
    <w:rsid w:val="00DA4E1F"/>
    <w:rsid w:val="00DB5C14"/>
    <w:rsid w:val="00DB77E8"/>
    <w:rsid w:val="00DC310F"/>
    <w:rsid w:val="00DC5611"/>
    <w:rsid w:val="00DC63F4"/>
    <w:rsid w:val="00DC75B8"/>
    <w:rsid w:val="00DD116F"/>
    <w:rsid w:val="00DD741A"/>
    <w:rsid w:val="00DE20B5"/>
    <w:rsid w:val="00DE42AC"/>
    <w:rsid w:val="00DF2F38"/>
    <w:rsid w:val="00DF57DB"/>
    <w:rsid w:val="00E00041"/>
    <w:rsid w:val="00E016A2"/>
    <w:rsid w:val="00E01B62"/>
    <w:rsid w:val="00E03149"/>
    <w:rsid w:val="00E05C36"/>
    <w:rsid w:val="00E16C24"/>
    <w:rsid w:val="00E2313C"/>
    <w:rsid w:val="00E32869"/>
    <w:rsid w:val="00E41615"/>
    <w:rsid w:val="00E44F4A"/>
    <w:rsid w:val="00E460AF"/>
    <w:rsid w:val="00E5541A"/>
    <w:rsid w:val="00E665C3"/>
    <w:rsid w:val="00E674B0"/>
    <w:rsid w:val="00E676E6"/>
    <w:rsid w:val="00E74BC5"/>
    <w:rsid w:val="00E8222F"/>
    <w:rsid w:val="00E823A1"/>
    <w:rsid w:val="00E83B72"/>
    <w:rsid w:val="00E957DA"/>
    <w:rsid w:val="00EA66F7"/>
    <w:rsid w:val="00EA785F"/>
    <w:rsid w:val="00EB3409"/>
    <w:rsid w:val="00EC0B4E"/>
    <w:rsid w:val="00EC5518"/>
    <w:rsid w:val="00EC6D9F"/>
    <w:rsid w:val="00EC72AB"/>
    <w:rsid w:val="00ED33D9"/>
    <w:rsid w:val="00ED5326"/>
    <w:rsid w:val="00EE1567"/>
    <w:rsid w:val="00EE4276"/>
    <w:rsid w:val="00EE63C2"/>
    <w:rsid w:val="00EF35E8"/>
    <w:rsid w:val="00EF3CA0"/>
    <w:rsid w:val="00F033E9"/>
    <w:rsid w:val="00F034A2"/>
    <w:rsid w:val="00F043F3"/>
    <w:rsid w:val="00F20A71"/>
    <w:rsid w:val="00F20BAC"/>
    <w:rsid w:val="00F23CB6"/>
    <w:rsid w:val="00F304AC"/>
    <w:rsid w:val="00F318A3"/>
    <w:rsid w:val="00F318F1"/>
    <w:rsid w:val="00F3614D"/>
    <w:rsid w:val="00F44D68"/>
    <w:rsid w:val="00F45B98"/>
    <w:rsid w:val="00F57D34"/>
    <w:rsid w:val="00F60430"/>
    <w:rsid w:val="00F63796"/>
    <w:rsid w:val="00F73C49"/>
    <w:rsid w:val="00F80974"/>
    <w:rsid w:val="00F90AE7"/>
    <w:rsid w:val="00F965D3"/>
    <w:rsid w:val="00FC122D"/>
    <w:rsid w:val="00FC5193"/>
    <w:rsid w:val="00FD018C"/>
    <w:rsid w:val="00FD4F97"/>
    <w:rsid w:val="00FE0E78"/>
    <w:rsid w:val="00FE1F73"/>
    <w:rsid w:val="00FE23E8"/>
    <w:rsid w:val="00FF51EC"/>
    <w:rsid w:val="00FF5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01EA1E"/>
  <w15:docId w15:val="{A8303FD9-39E1-430B-ADED-15B32883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85"/>
    <w:rPr>
      <w:rFonts w:ascii="Calibri Light" w:hAnsi="Calibri Light"/>
      <w:lang w:val="en-US"/>
    </w:rPr>
  </w:style>
  <w:style w:type="paragraph" w:styleId="Heading1">
    <w:name w:val="heading 1"/>
    <w:basedOn w:val="Normal"/>
    <w:next w:val="Normal"/>
    <w:link w:val="Heading1Char"/>
    <w:uiPriority w:val="9"/>
    <w:qFormat/>
    <w:rsid w:val="00B71B4A"/>
    <w:pPr>
      <w:keepNext/>
      <w:keepLines/>
      <w:numPr>
        <w:numId w:val="37"/>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4E1F"/>
    <w:pPr>
      <w:keepNext/>
      <w:keepLines/>
      <w:numPr>
        <w:ilvl w:val="1"/>
        <w:numId w:val="37"/>
      </w:numPr>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71B4A"/>
    <w:pPr>
      <w:keepNext/>
      <w:keepLines/>
      <w:numPr>
        <w:ilvl w:val="2"/>
        <w:numId w:val="37"/>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A7235"/>
    <w:pPr>
      <w:keepNext/>
      <w:keepLines/>
      <w:numPr>
        <w:ilvl w:val="3"/>
        <w:numId w:val="3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56E07"/>
    <w:pPr>
      <w:keepNext/>
      <w:keepLines/>
      <w:numPr>
        <w:ilvl w:val="4"/>
        <w:numId w:val="37"/>
      </w:numPr>
      <w:spacing w:before="40" w:after="0" w:line="27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190740"/>
    <w:pPr>
      <w:keepNext/>
      <w:keepLines/>
      <w:numPr>
        <w:ilvl w:val="5"/>
        <w:numId w:val="3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BF58F6"/>
    <w:pPr>
      <w:keepNext/>
      <w:keepLines/>
      <w:numPr>
        <w:ilvl w:val="6"/>
        <w:numId w:val="3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58F6"/>
    <w:pPr>
      <w:keepNext/>
      <w:keepLines/>
      <w:numPr>
        <w:ilvl w:val="7"/>
        <w:numId w:val="3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58F6"/>
    <w:pPr>
      <w:keepNext/>
      <w:keepLines/>
      <w:numPr>
        <w:ilvl w:val="8"/>
        <w:numId w:val="3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4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A4E1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71B4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0A723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56E07"/>
    <w:rPr>
      <w:rFonts w:asciiTheme="majorHAnsi" w:eastAsiaTheme="majorEastAsia" w:hAnsiTheme="majorHAnsi" w:cstheme="majorBidi"/>
      <w:color w:val="2E74B5" w:themeColor="accent1" w:themeShade="BF"/>
      <w:lang w:val="en-US"/>
    </w:rPr>
  </w:style>
  <w:style w:type="paragraph" w:styleId="NoSpacing">
    <w:name w:val="No Spacing"/>
    <w:link w:val="NoSpacingChar"/>
    <w:uiPriority w:val="1"/>
    <w:qFormat/>
    <w:rsid w:val="00756E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56E07"/>
    <w:rPr>
      <w:rFonts w:eastAsiaTheme="minorEastAsia"/>
      <w:lang w:val="en-US"/>
    </w:rPr>
  </w:style>
  <w:style w:type="character" w:styleId="Hyperlink">
    <w:name w:val="Hyperlink"/>
    <w:uiPriority w:val="99"/>
    <w:rsid w:val="00756E07"/>
    <w:rPr>
      <w:rFonts w:cs="Futura"/>
      <w:color w:val="000000"/>
    </w:rPr>
  </w:style>
  <w:style w:type="paragraph" w:styleId="TOCHeading">
    <w:name w:val="TOC Heading"/>
    <w:basedOn w:val="Heading1"/>
    <w:next w:val="Normal"/>
    <w:uiPriority w:val="39"/>
    <w:unhideWhenUsed/>
    <w:qFormat/>
    <w:rsid w:val="00756E07"/>
    <w:pPr>
      <w:numPr>
        <w:numId w:val="0"/>
      </w:numPr>
      <w:spacing w:before="480" w:line="276" w:lineRule="auto"/>
      <w:outlineLvl w:val="9"/>
    </w:pPr>
    <w:rPr>
      <w:b/>
      <w:bCs/>
      <w:sz w:val="28"/>
      <w:szCs w:val="28"/>
    </w:rPr>
  </w:style>
  <w:style w:type="paragraph" w:styleId="TOC1">
    <w:name w:val="toc 1"/>
    <w:basedOn w:val="Normal"/>
    <w:next w:val="Normal"/>
    <w:autoRedefine/>
    <w:uiPriority w:val="39"/>
    <w:unhideWhenUsed/>
    <w:qFormat/>
    <w:rsid w:val="0041450E"/>
    <w:pPr>
      <w:tabs>
        <w:tab w:val="left" w:pos="440"/>
        <w:tab w:val="right" w:leader="dot" w:pos="9016"/>
      </w:tabs>
      <w:spacing w:after="100" w:line="276" w:lineRule="auto"/>
    </w:pPr>
    <w:rPr>
      <w:rFonts w:eastAsiaTheme="minorEastAsia"/>
    </w:rPr>
  </w:style>
  <w:style w:type="paragraph" w:styleId="TOC2">
    <w:name w:val="toc 2"/>
    <w:basedOn w:val="Normal"/>
    <w:next w:val="Normal"/>
    <w:autoRedefine/>
    <w:uiPriority w:val="39"/>
    <w:unhideWhenUsed/>
    <w:qFormat/>
    <w:rsid w:val="00756E07"/>
    <w:pPr>
      <w:spacing w:after="100" w:line="276" w:lineRule="auto"/>
      <w:ind w:left="220"/>
    </w:pPr>
    <w:rPr>
      <w:rFonts w:eastAsiaTheme="minorEastAsia"/>
    </w:rPr>
  </w:style>
  <w:style w:type="paragraph" w:styleId="TOC3">
    <w:name w:val="toc 3"/>
    <w:basedOn w:val="Normal"/>
    <w:next w:val="Normal"/>
    <w:autoRedefine/>
    <w:uiPriority w:val="39"/>
    <w:unhideWhenUsed/>
    <w:qFormat/>
    <w:rsid w:val="00756E07"/>
    <w:pPr>
      <w:spacing w:after="100" w:line="276" w:lineRule="auto"/>
      <w:ind w:left="440"/>
    </w:pPr>
    <w:rPr>
      <w:rFonts w:eastAsiaTheme="minorEastAsia"/>
    </w:rPr>
  </w:style>
  <w:style w:type="table" w:styleId="TableGrid">
    <w:name w:val="Table Grid"/>
    <w:basedOn w:val="TableNormal"/>
    <w:uiPriority w:val="59"/>
    <w:rsid w:val="00756E07"/>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6E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E0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56E07"/>
    <w:pPr>
      <w:numPr>
        <w:ilvl w:val="1"/>
      </w:numPr>
      <w:spacing w:line="27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56E07"/>
    <w:rPr>
      <w:rFonts w:ascii="Calibri Light" w:eastAsiaTheme="minorEastAsia" w:hAnsi="Calibri Light"/>
      <w:color w:val="5A5A5A" w:themeColor="text1" w:themeTint="A5"/>
      <w:spacing w:val="15"/>
      <w:lang w:val="en-US"/>
    </w:rPr>
  </w:style>
  <w:style w:type="paragraph" w:styleId="Header">
    <w:name w:val="header"/>
    <w:basedOn w:val="Normal"/>
    <w:link w:val="HeaderChar"/>
    <w:uiPriority w:val="99"/>
    <w:unhideWhenUsed/>
    <w:rsid w:val="00756E07"/>
    <w:pPr>
      <w:tabs>
        <w:tab w:val="center" w:pos="4513"/>
        <w:tab w:val="right" w:pos="9026"/>
      </w:tabs>
      <w:spacing w:after="0" w:line="240" w:lineRule="auto"/>
    </w:pPr>
    <w:rPr>
      <w:rFonts w:eastAsiaTheme="minorEastAsia"/>
    </w:rPr>
  </w:style>
  <w:style w:type="character" w:customStyle="1" w:styleId="HeaderChar">
    <w:name w:val="Header Char"/>
    <w:basedOn w:val="DefaultParagraphFont"/>
    <w:link w:val="Header"/>
    <w:uiPriority w:val="99"/>
    <w:rsid w:val="00756E07"/>
    <w:rPr>
      <w:rFonts w:ascii="Calibri Light" w:eastAsiaTheme="minorEastAsia" w:hAnsi="Calibri Light"/>
      <w:lang w:val="en-US"/>
    </w:rPr>
  </w:style>
  <w:style w:type="paragraph" w:styleId="Footer">
    <w:name w:val="footer"/>
    <w:basedOn w:val="Normal"/>
    <w:link w:val="FooterChar"/>
    <w:uiPriority w:val="99"/>
    <w:unhideWhenUsed/>
    <w:rsid w:val="00756E07"/>
    <w:pPr>
      <w:tabs>
        <w:tab w:val="center" w:pos="4513"/>
        <w:tab w:val="right" w:pos="9026"/>
      </w:tabs>
      <w:spacing w:after="0" w:line="240" w:lineRule="auto"/>
    </w:pPr>
    <w:rPr>
      <w:rFonts w:eastAsiaTheme="minorEastAsia"/>
    </w:rPr>
  </w:style>
  <w:style w:type="character" w:customStyle="1" w:styleId="FooterChar">
    <w:name w:val="Footer Char"/>
    <w:basedOn w:val="DefaultParagraphFont"/>
    <w:link w:val="Footer"/>
    <w:uiPriority w:val="99"/>
    <w:rsid w:val="00756E07"/>
    <w:rPr>
      <w:rFonts w:ascii="Calibri Light" w:eastAsiaTheme="minorEastAsia" w:hAnsi="Calibri Light"/>
      <w:lang w:val="en-US"/>
    </w:rPr>
  </w:style>
  <w:style w:type="paragraph" w:customStyle="1" w:styleId="Body">
    <w:name w:val="Body"/>
    <w:basedOn w:val="Normal"/>
    <w:link w:val="BodyChar"/>
    <w:qFormat/>
    <w:rsid w:val="00756E07"/>
    <w:pPr>
      <w:spacing w:after="200" w:line="276" w:lineRule="auto"/>
      <w:ind w:left="360"/>
    </w:pPr>
    <w:rPr>
      <w:rFonts w:asciiTheme="majorHAnsi" w:eastAsiaTheme="minorEastAsia" w:hAnsiTheme="majorHAnsi"/>
    </w:rPr>
  </w:style>
  <w:style w:type="character" w:customStyle="1" w:styleId="BodyChar">
    <w:name w:val="Body Char"/>
    <w:basedOn w:val="DefaultParagraphFont"/>
    <w:link w:val="Body"/>
    <w:rsid w:val="00756E07"/>
    <w:rPr>
      <w:rFonts w:asciiTheme="majorHAnsi" w:eastAsiaTheme="minorEastAsia" w:hAnsiTheme="majorHAnsi"/>
      <w:lang w:val="en-US"/>
    </w:rPr>
  </w:style>
  <w:style w:type="paragraph" w:styleId="ListParagraph">
    <w:name w:val="List Paragraph"/>
    <w:aliases w:val="List Bulletized,B1 paragraph"/>
    <w:basedOn w:val="Normal"/>
    <w:link w:val="ListParagraphChar"/>
    <w:uiPriority w:val="34"/>
    <w:qFormat/>
    <w:rsid w:val="00756E07"/>
    <w:pPr>
      <w:spacing w:after="200" w:line="276" w:lineRule="auto"/>
      <w:ind w:left="720"/>
      <w:contextualSpacing/>
    </w:pPr>
    <w:rPr>
      <w:rFonts w:eastAsiaTheme="minorEastAsia"/>
    </w:rPr>
  </w:style>
  <w:style w:type="character" w:customStyle="1" w:styleId="ListParagraphChar">
    <w:name w:val="List Paragraph Char"/>
    <w:aliases w:val="List Bulletized Char,B1 paragraph Char"/>
    <w:basedOn w:val="DefaultParagraphFont"/>
    <w:link w:val="ListParagraph"/>
    <w:uiPriority w:val="34"/>
    <w:locked/>
    <w:rsid w:val="00756E07"/>
    <w:rPr>
      <w:rFonts w:ascii="Calibri Light" w:eastAsiaTheme="minorEastAsia" w:hAnsi="Calibri Light"/>
      <w:lang w:val="en-US"/>
    </w:rPr>
  </w:style>
  <w:style w:type="character" w:styleId="BookTitle">
    <w:name w:val="Book Title"/>
    <w:basedOn w:val="DefaultParagraphFont"/>
    <w:uiPriority w:val="33"/>
    <w:qFormat/>
    <w:rsid w:val="00756E07"/>
    <w:rPr>
      <w:b/>
      <w:bCs/>
      <w:i/>
      <w:iCs/>
      <w:spacing w:val="5"/>
    </w:rPr>
  </w:style>
  <w:style w:type="paragraph" w:customStyle="1" w:styleId="Standard">
    <w:name w:val="Standard"/>
    <w:rsid w:val="00756E07"/>
    <w:pPr>
      <w:suppressAutoHyphens/>
      <w:autoSpaceDN w:val="0"/>
      <w:spacing w:after="0" w:line="240" w:lineRule="auto"/>
      <w:textAlignment w:val="baseline"/>
    </w:pPr>
    <w:rPr>
      <w:rFonts w:ascii="Arial" w:eastAsia="Times New Roman" w:hAnsi="Arial" w:cs="Times New Roman"/>
      <w:kern w:val="3"/>
      <w:szCs w:val="24"/>
      <w:lang w:val="pl-PL" w:eastAsia="ar-SA"/>
    </w:rPr>
  </w:style>
  <w:style w:type="paragraph" w:styleId="IntenseQuote">
    <w:name w:val="Intense Quote"/>
    <w:basedOn w:val="Normal"/>
    <w:next w:val="Normal"/>
    <w:link w:val="IntenseQuoteChar"/>
    <w:uiPriority w:val="30"/>
    <w:qFormat/>
    <w:rsid w:val="00756E07"/>
    <w:pPr>
      <w:pBdr>
        <w:top w:val="single" w:sz="4" w:space="10" w:color="5B9BD5" w:themeColor="accent1"/>
        <w:bottom w:val="single" w:sz="4" w:space="10" w:color="5B9BD5" w:themeColor="accent1"/>
      </w:pBdr>
      <w:spacing w:before="360" w:after="360" w:line="276" w:lineRule="auto"/>
      <w:ind w:left="864" w:right="864"/>
      <w:jc w:val="center"/>
    </w:pPr>
    <w:rPr>
      <w:rFonts w:eastAsiaTheme="minorEastAsia"/>
      <w:i/>
      <w:iCs/>
      <w:color w:val="5B9BD5" w:themeColor="accent1"/>
    </w:rPr>
  </w:style>
  <w:style w:type="character" w:customStyle="1" w:styleId="IntenseQuoteChar">
    <w:name w:val="Intense Quote Char"/>
    <w:basedOn w:val="DefaultParagraphFont"/>
    <w:link w:val="IntenseQuote"/>
    <w:uiPriority w:val="30"/>
    <w:rsid w:val="00756E07"/>
    <w:rPr>
      <w:rFonts w:ascii="Calibri Light" w:eastAsiaTheme="minorEastAsia" w:hAnsi="Calibri Light"/>
      <w:i/>
      <w:iCs/>
      <w:color w:val="5B9BD5" w:themeColor="accent1"/>
      <w:lang w:val="en-US"/>
    </w:rPr>
  </w:style>
  <w:style w:type="character" w:styleId="Strong">
    <w:name w:val="Strong"/>
    <w:basedOn w:val="DefaultParagraphFont"/>
    <w:uiPriority w:val="22"/>
    <w:qFormat/>
    <w:rsid w:val="00756E07"/>
    <w:rPr>
      <w:b/>
      <w:bCs/>
    </w:rPr>
  </w:style>
  <w:style w:type="character" w:customStyle="1" w:styleId="Heading6Char">
    <w:name w:val="Heading 6 Char"/>
    <w:basedOn w:val="DefaultParagraphFont"/>
    <w:link w:val="Heading6"/>
    <w:uiPriority w:val="9"/>
    <w:rsid w:val="00190740"/>
    <w:rPr>
      <w:rFonts w:asciiTheme="majorHAnsi" w:eastAsiaTheme="majorEastAsia" w:hAnsiTheme="majorHAnsi" w:cstheme="majorBidi"/>
      <w:color w:val="1F4D78" w:themeColor="accent1" w:themeShade="7F"/>
    </w:rPr>
  </w:style>
  <w:style w:type="table" w:customStyle="1" w:styleId="GridTable5Dark-Accent11">
    <w:name w:val="Grid Table 5 Dark - Accent 11"/>
    <w:basedOn w:val="TableNormal"/>
    <w:uiPriority w:val="50"/>
    <w:rsid w:val="00860E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4-Accent51">
    <w:name w:val="Grid Table 4 - Accent 51"/>
    <w:basedOn w:val="TableNormal"/>
    <w:uiPriority w:val="49"/>
    <w:rsid w:val="00860E3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AF0091"/>
    <w:rPr>
      <w:sz w:val="16"/>
      <w:szCs w:val="16"/>
    </w:rPr>
  </w:style>
  <w:style w:type="paragraph" w:styleId="CommentText">
    <w:name w:val="annotation text"/>
    <w:basedOn w:val="Normal"/>
    <w:link w:val="CommentTextChar"/>
    <w:uiPriority w:val="99"/>
    <w:semiHidden/>
    <w:unhideWhenUsed/>
    <w:rsid w:val="00AF0091"/>
    <w:pPr>
      <w:spacing w:line="240" w:lineRule="auto"/>
    </w:pPr>
    <w:rPr>
      <w:sz w:val="20"/>
      <w:szCs w:val="20"/>
    </w:rPr>
  </w:style>
  <w:style w:type="character" w:customStyle="1" w:styleId="CommentTextChar">
    <w:name w:val="Comment Text Char"/>
    <w:basedOn w:val="DefaultParagraphFont"/>
    <w:link w:val="CommentText"/>
    <w:uiPriority w:val="99"/>
    <w:semiHidden/>
    <w:rsid w:val="00AF0091"/>
    <w:rPr>
      <w:sz w:val="20"/>
      <w:szCs w:val="20"/>
    </w:rPr>
  </w:style>
  <w:style w:type="paragraph" w:styleId="CommentSubject">
    <w:name w:val="annotation subject"/>
    <w:basedOn w:val="CommentText"/>
    <w:next w:val="CommentText"/>
    <w:link w:val="CommentSubjectChar"/>
    <w:uiPriority w:val="99"/>
    <w:semiHidden/>
    <w:unhideWhenUsed/>
    <w:rsid w:val="00AF0091"/>
    <w:rPr>
      <w:b/>
      <w:bCs/>
    </w:rPr>
  </w:style>
  <w:style w:type="character" w:customStyle="1" w:styleId="CommentSubjectChar">
    <w:name w:val="Comment Subject Char"/>
    <w:basedOn w:val="CommentTextChar"/>
    <w:link w:val="CommentSubject"/>
    <w:uiPriority w:val="99"/>
    <w:semiHidden/>
    <w:rsid w:val="00AF0091"/>
    <w:rPr>
      <w:b/>
      <w:bCs/>
      <w:sz w:val="20"/>
      <w:szCs w:val="20"/>
    </w:rPr>
  </w:style>
  <w:style w:type="paragraph" w:styleId="BalloonText">
    <w:name w:val="Balloon Text"/>
    <w:basedOn w:val="Normal"/>
    <w:link w:val="BalloonTextChar"/>
    <w:uiPriority w:val="99"/>
    <w:semiHidden/>
    <w:unhideWhenUsed/>
    <w:rsid w:val="00AF00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091"/>
    <w:rPr>
      <w:rFonts w:ascii="Segoe UI" w:hAnsi="Segoe UI" w:cs="Segoe UI"/>
      <w:sz w:val="18"/>
      <w:szCs w:val="18"/>
    </w:rPr>
  </w:style>
  <w:style w:type="paragraph" w:styleId="Revision">
    <w:name w:val="Revision"/>
    <w:hidden/>
    <w:uiPriority w:val="99"/>
    <w:semiHidden/>
    <w:rsid w:val="0019502C"/>
    <w:pPr>
      <w:spacing w:after="0" w:line="240" w:lineRule="auto"/>
    </w:pPr>
  </w:style>
  <w:style w:type="character" w:customStyle="1" w:styleId="Heading7Char">
    <w:name w:val="Heading 7 Char"/>
    <w:basedOn w:val="DefaultParagraphFont"/>
    <w:link w:val="Heading7"/>
    <w:uiPriority w:val="9"/>
    <w:semiHidden/>
    <w:rsid w:val="00BF58F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F58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58F6"/>
    <w:rPr>
      <w:rFonts w:asciiTheme="majorHAnsi" w:eastAsiaTheme="majorEastAsia" w:hAnsiTheme="majorHAnsi" w:cstheme="majorBidi"/>
      <w:i/>
      <w:iCs/>
      <w:color w:val="272727" w:themeColor="text1" w:themeTint="D8"/>
      <w:sz w:val="21"/>
      <w:szCs w:val="21"/>
    </w:rPr>
  </w:style>
  <w:style w:type="paragraph" w:customStyle="1" w:styleId="Recommend">
    <w:name w:val="Recommend"/>
    <w:basedOn w:val="IntenseQuote"/>
    <w:link w:val="RecommendChar"/>
    <w:qFormat/>
    <w:rsid w:val="00A77C6D"/>
    <w:pPr>
      <w:shd w:val="pct5" w:color="auto" w:fill="auto"/>
      <w:spacing w:before="120" w:after="120" w:line="240" w:lineRule="auto"/>
      <w:ind w:left="0" w:right="567"/>
      <w:jc w:val="left"/>
    </w:pPr>
    <w:rPr>
      <w:i w:val="0"/>
      <w:color w:val="auto"/>
    </w:rPr>
  </w:style>
  <w:style w:type="character" w:customStyle="1" w:styleId="RecommendChar">
    <w:name w:val="Recommend Char"/>
    <w:basedOn w:val="DefaultParagraphFont"/>
    <w:link w:val="Recommend"/>
    <w:rsid w:val="00A77C6D"/>
    <w:rPr>
      <w:rFonts w:ascii="Calibri Light" w:eastAsiaTheme="minorEastAsia" w:hAnsi="Calibri Light"/>
      <w:iCs/>
      <w:shd w:val="pct5" w:color="auto" w:fill="auto"/>
      <w:lang w:val="en-US"/>
    </w:rPr>
  </w:style>
  <w:style w:type="table" w:styleId="GridTable5Dark-Accent3">
    <w:name w:val="Grid Table 5 Dark Accent 3"/>
    <w:basedOn w:val="TableNormal"/>
    <w:uiPriority w:val="50"/>
    <w:rsid w:val="001D6A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654DD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7C33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6560">
      <w:bodyDiv w:val="1"/>
      <w:marLeft w:val="0"/>
      <w:marRight w:val="0"/>
      <w:marTop w:val="0"/>
      <w:marBottom w:val="0"/>
      <w:divBdr>
        <w:top w:val="none" w:sz="0" w:space="0" w:color="auto"/>
        <w:left w:val="none" w:sz="0" w:space="0" w:color="auto"/>
        <w:bottom w:val="none" w:sz="0" w:space="0" w:color="auto"/>
        <w:right w:val="none" w:sz="0" w:space="0" w:color="auto"/>
      </w:divBdr>
    </w:div>
    <w:div w:id="46879820">
      <w:bodyDiv w:val="1"/>
      <w:marLeft w:val="0"/>
      <w:marRight w:val="0"/>
      <w:marTop w:val="0"/>
      <w:marBottom w:val="0"/>
      <w:divBdr>
        <w:top w:val="none" w:sz="0" w:space="0" w:color="auto"/>
        <w:left w:val="none" w:sz="0" w:space="0" w:color="auto"/>
        <w:bottom w:val="none" w:sz="0" w:space="0" w:color="auto"/>
        <w:right w:val="none" w:sz="0" w:space="0" w:color="auto"/>
      </w:divBdr>
    </w:div>
    <w:div w:id="52389072">
      <w:bodyDiv w:val="1"/>
      <w:marLeft w:val="0"/>
      <w:marRight w:val="0"/>
      <w:marTop w:val="0"/>
      <w:marBottom w:val="0"/>
      <w:divBdr>
        <w:top w:val="none" w:sz="0" w:space="0" w:color="auto"/>
        <w:left w:val="none" w:sz="0" w:space="0" w:color="auto"/>
        <w:bottom w:val="none" w:sz="0" w:space="0" w:color="auto"/>
        <w:right w:val="none" w:sz="0" w:space="0" w:color="auto"/>
      </w:divBdr>
    </w:div>
    <w:div w:id="132413185">
      <w:bodyDiv w:val="1"/>
      <w:marLeft w:val="0"/>
      <w:marRight w:val="0"/>
      <w:marTop w:val="0"/>
      <w:marBottom w:val="0"/>
      <w:divBdr>
        <w:top w:val="none" w:sz="0" w:space="0" w:color="auto"/>
        <w:left w:val="none" w:sz="0" w:space="0" w:color="auto"/>
        <w:bottom w:val="none" w:sz="0" w:space="0" w:color="auto"/>
        <w:right w:val="none" w:sz="0" w:space="0" w:color="auto"/>
      </w:divBdr>
    </w:div>
    <w:div w:id="137039066">
      <w:bodyDiv w:val="1"/>
      <w:marLeft w:val="0"/>
      <w:marRight w:val="0"/>
      <w:marTop w:val="0"/>
      <w:marBottom w:val="0"/>
      <w:divBdr>
        <w:top w:val="none" w:sz="0" w:space="0" w:color="auto"/>
        <w:left w:val="none" w:sz="0" w:space="0" w:color="auto"/>
        <w:bottom w:val="none" w:sz="0" w:space="0" w:color="auto"/>
        <w:right w:val="none" w:sz="0" w:space="0" w:color="auto"/>
      </w:divBdr>
    </w:div>
    <w:div w:id="140512122">
      <w:bodyDiv w:val="1"/>
      <w:marLeft w:val="0"/>
      <w:marRight w:val="0"/>
      <w:marTop w:val="0"/>
      <w:marBottom w:val="0"/>
      <w:divBdr>
        <w:top w:val="none" w:sz="0" w:space="0" w:color="auto"/>
        <w:left w:val="none" w:sz="0" w:space="0" w:color="auto"/>
        <w:bottom w:val="none" w:sz="0" w:space="0" w:color="auto"/>
        <w:right w:val="none" w:sz="0" w:space="0" w:color="auto"/>
      </w:divBdr>
    </w:div>
    <w:div w:id="155921602">
      <w:bodyDiv w:val="1"/>
      <w:marLeft w:val="0"/>
      <w:marRight w:val="0"/>
      <w:marTop w:val="0"/>
      <w:marBottom w:val="0"/>
      <w:divBdr>
        <w:top w:val="none" w:sz="0" w:space="0" w:color="auto"/>
        <w:left w:val="none" w:sz="0" w:space="0" w:color="auto"/>
        <w:bottom w:val="none" w:sz="0" w:space="0" w:color="auto"/>
        <w:right w:val="none" w:sz="0" w:space="0" w:color="auto"/>
      </w:divBdr>
    </w:div>
    <w:div w:id="214513997">
      <w:bodyDiv w:val="1"/>
      <w:marLeft w:val="0"/>
      <w:marRight w:val="0"/>
      <w:marTop w:val="0"/>
      <w:marBottom w:val="0"/>
      <w:divBdr>
        <w:top w:val="none" w:sz="0" w:space="0" w:color="auto"/>
        <w:left w:val="none" w:sz="0" w:space="0" w:color="auto"/>
        <w:bottom w:val="none" w:sz="0" w:space="0" w:color="auto"/>
        <w:right w:val="none" w:sz="0" w:space="0" w:color="auto"/>
      </w:divBdr>
    </w:div>
    <w:div w:id="244072245">
      <w:bodyDiv w:val="1"/>
      <w:marLeft w:val="0"/>
      <w:marRight w:val="0"/>
      <w:marTop w:val="0"/>
      <w:marBottom w:val="0"/>
      <w:divBdr>
        <w:top w:val="none" w:sz="0" w:space="0" w:color="auto"/>
        <w:left w:val="none" w:sz="0" w:space="0" w:color="auto"/>
        <w:bottom w:val="none" w:sz="0" w:space="0" w:color="auto"/>
        <w:right w:val="none" w:sz="0" w:space="0" w:color="auto"/>
      </w:divBdr>
    </w:div>
    <w:div w:id="331377973">
      <w:bodyDiv w:val="1"/>
      <w:marLeft w:val="0"/>
      <w:marRight w:val="0"/>
      <w:marTop w:val="0"/>
      <w:marBottom w:val="0"/>
      <w:divBdr>
        <w:top w:val="none" w:sz="0" w:space="0" w:color="auto"/>
        <w:left w:val="none" w:sz="0" w:space="0" w:color="auto"/>
        <w:bottom w:val="none" w:sz="0" w:space="0" w:color="auto"/>
        <w:right w:val="none" w:sz="0" w:space="0" w:color="auto"/>
      </w:divBdr>
    </w:div>
    <w:div w:id="333529086">
      <w:bodyDiv w:val="1"/>
      <w:marLeft w:val="0"/>
      <w:marRight w:val="0"/>
      <w:marTop w:val="0"/>
      <w:marBottom w:val="0"/>
      <w:divBdr>
        <w:top w:val="none" w:sz="0" w:space="0" w:color="auto"/>
        <w:left w:val="none" w:sz="0" w:space="0" w:color="auto"/>
        <w:bottom w:val="none" w:sz="0" w:space="0" w:color="auto"/>
        <w:right w:val="none" w:sz="0" w:space="0" w:color="auto"/>
      </w:divBdr>
    </w:div>
    <w:div w:id="362874544">
      <w:bodyDiv w:val="1"/>
      <w:marLeft w:val="0"/>
      <w:marRight w:val="0"/>
      <w:marTop w:val="0"/>
      <w:marBottom w:val="0"/>
      <w:divBdr>
        <w:top w:val="none" w:sz="0" w:space="0" w:color="auto"/>
        <w:left w:val="none" w:sz="0" w:space="0" w:color="auto"/>
        <w:bottom w:val="none" w:sz="0" w:space="0" w:color="auto"/>
        <w:right w:val="none" w:sz="0" w:space="0" w:color="auto"/>
      </w:divBdr>
    </w:div>
    <w:div w:id="442379047">
      <w:bodyDiv w:val="1"/>
      <w:marLeft w:val="0"/>
      <w:marRight w:val="0"/>
      <w:marTop w:val="0"/>
      <w:marBottom w:val="0"/>
      <w:divBdr>
        <w:top w:val="none" w:sz="0" w:space="0" w:color="auto"/>
        <w:left w:val="none" w:sz="0" w:space="0" w:color="auto"/>
        <w:bottom w:val="none" w:sz="0" w:space="0" w:color="auto"/>
        <w:right w:val="none" w:sz="0" w:space="0" w:color="auto"/>
      </w:divBdr>
    </w:div>
    <w:div w:id="551771822">
      <w:bodyDiv w:val="1"/>
      <w:marLeft w:val="0"/>
      <w:marRight w:val="0"/>
      <w:marTop w:val="0"/>
      <w:marBottom w:val="0"/>
      <w:divBdr>
        <w:top w:val="none" w:sz="0" w:space="0" w:color="auto"/>
        <w:left w:val="none" w:sz="0" w:space="0" w:color="auto"/>
        <w:bottom w:val="none" w:sz="0" w:space="0" w:color="auto"/>
        <w:right w:val="none" w:sz="0" w:space="0" w:color="auto"/>
      </w:divBdr>
    </w:div>
    <w:div w:id="607081187">
      <w:bodyDiv w:val="1"/>
      <w:marLeft w:val="0"/>
      <w:marRight w:val="0"/>
      <w:marTop w:val="0"/>
      <w:marBottom w:val="0"/>
      <w:divBdr>
        <w:top w:val="none" w:sz="0" w:space="0" w:color="auto"/>
        <w:left w:val="none" w:sz="0" w:space="0" w:color="auto"/>
        <w:bottom w:val="none" w:sz="0" w:space="0" w:color="auto"/>
        <w:right w:val="none" w:sz="0" w:space="0" w:color="auto"/>
      </w:divBdr>
    </w:div>
    <w:div w:id="781001596">
      <w:bodyDiv w:val="1"/>
      <w:marLeft w:val="0"/>
      <w:marRight w:val="0"/>
      <w:marTop w:val="0"/>
      <w:marBottom w:val="0"/>
      <w:divBdr>
        <w:top w:val="none" w:sz="0" w:space="0" w:color="auto"/>
        <w:left w:val="none" w:sz="0" w:space="0" w:color="auto"/>
        <w:bottom w:val="none" w:sz="0" w:space="0" w:color="auto"/>
        <w:right w:val="none" w:sz="0" w:space="0" w:color="auto"/>
      </w:divBdr>
    </w:div>
    <w:div w:id="803432070">
      <w:bodyDiv w:val="1"/>
      <w:marLeft w:val="0"/>
      <w:marRight w:val="0"/>
      <w:marTop w:val="0"/>
      <w:marBottom w:val="0"/>
      <w:divBdr>
        <w:top w:val="none" w:sz="0" w:space="0" w:color="auto"/>
        <w:left w:val="none" w:sz="0" w:space="0" w:color="auto"/>
        <w:bottom w:val="none" w:sz="0" w:space="0" w:color="auto"/>
        <w:right w:val="none" w:sz="0" w:space="0" w:color="auto"/>
      </w:divBdr>
    </w:div>
    <w:div w:id="804198546">
      <w:bodyDiv w:val="1"/>
      <w:marLeft w:val="0"/>
      <w:marRight w:val="0"/>
      <w:marTop w:val="0"/>
      <w:marBottom w:val="0"/>
      <w:divBdr>
        <w:top w:val="none" w:sz="0" w:space="0" w:color="auto"/>
        <w:left w:val="none" w:sz="0" w:space="0" w:color="auto"/>
        <w:bottom w:val="none" w:sz="0" w:space="0" w:color="auto"/>
        <w:right w:val="none" w:sz="0" w:space="0" w:color="auto"/>
      </w:divBdr>
    </w:div>
    <w:div w:id="832377909">
      <w:bodyDiv w:val="1"/>
      <w:marLeft w:val="0"/>
      <w:marRight w:val="0"/>
      <w:marTop w:val="0"/>
      <w:marBottom w:val="0"/>
      <w:divBdr>
        <w:top w:val="none" w:sz="0" w:space="0" w:color="auto"/>
        <w:left w:val="none" w:sz="0" w:space="0" w:color="auto"/>
        <w:bottom w:val="none" w:sz="0" w:space="0" w:color="auto"/>
        <w:right w:val="none" w:sz="0" w:space="0" w:color="auto"/>
      </w:divBdr>
    </w:div>
    <w:div w:id="853155511">
      <w:bodyDiv w:val="1"/>
      <w:marLeft w:val="0"/>
      <w:marRight w:val="0"/>
      <w:marTop w:val="0"/>
      <w:marBottom w:val="0"/>
      <w:divBdr>
        <w:top w:val="none" w:sz="0" w:space="0" w:color="auto"/>
        <w:left w:val="none" w:sz="0" w:space="0" w:color="auto"/>
        <w:bottom w:val="none" w:sz="0" w:space="0" w:color="auto"/>
        <w:right w:val="none" w:sz="0" w:space="0" w:color="auto"/>
      </w:divBdr>
    </w:div>
    <w:div w:id="895359445">
      <w:bodyDiv w:val="1"/>
      <w:marLeft w:val="0"/>
      <w:marRight w:val="0"/>
      <w:marTop w:val="0"/>
      <w:marBottom w:val="0"/>
      <w:divBdr>
        <w:top w:val="none" w:sz="0" w:space="0" w:color="auto"/>
        <w:left w:val="none" w:sz="0" w:space="0" w:color="auto"/>
        <w:bottom w:val="none" w:sz="0" w:space="0" w:color="auto"/>
        <w:right w:val="none" w:sz="0" w:space="0" w:color="auto"/>
      </w:divBdr>
    </w:div>
    <w:div w:id="965349394">
      <w:bodyDiv w:val="1"/>
      <w:marLeft w:val="0"/>
      <w:marRight w:val="0"/>
      <w:marTop w:val="0"/>
      <w:marBottom w:val="0"/>
      <w:divBdr>
        <w:top w:val="none" w:sz="0" w:space="0" w:color="auto"/>
        <w:left w:val="none" w:sz="0" w:space="0" w:color="auto"/>
        <w:bottom w:val="none" w:sz="0" w:space="0" w:color="auto"/>
        <w:right w:val="none" w:sz="0" w:space="0" w:color="auto"/>
      </w:divBdr>
    </w:div>
    <w:div w:id="966205287">
      <w:bodyDiv w:val="1"/>
      <w:marLeft w:val="0"/>
      <w:marRight w:val="0"/>
      <w:marTop w:val="0"/>
      <w:marBottom w:val="0"/>
      <w:divBdr>
        <w:top w:val="none" w:sz="0" w:space="0" w:color="auto"/>
        <w:left w:val="none" w:sz="0" w:space="0" w:color="auto"/>
        <w:bottom w:val="none" w:sz="0" w:space="0" w:color="auto"/>
        <w:right w:val="none" w:sz="0" w:space="0" w:color="auto"/>
      </w:divBdr>
    </w:div>
    <w:div w:id="997001877">
      <w:bodyDiv w:val="1"/>
      <w:marLeft w:val="0"/>
      <w:marRight w:val="0"/>
      <w:marTop w:val="0"/>
      <w:marBottom w:val="0"/>
      <w:divBdr>
        <w:top w:val="none" w:sz="0" w:space="0" w:color="auto"/>
        <w:left w:val="none" w:sz="0" w:space="0" w:color="auto"/>
        <w:bottom w:val="none" w:sz="0" w:space="0" w:color="auto"/>
        <w:right w:val="none" w:sz="0" w:space="0" w:color="auto"/>
      </w:divBdr>
    </w:div>
    <w:div w:id="1005867648">
      <w:bodyDiv w:val="1"/>
      <w:marLeft w:val="0"/>
      <w:marRight w:val="0"/>
      <w:marTop w:val="0"/>
      <w:marBottom w:val="0"/>
      <w:divBdr>
        <w:top w:val="none" w:sz="0" w:space="0" w:color="auto"/>
        <w:left w:val="none" w:sz="0" w:space="0" w:color="auto"/>
        <w:bottom w:val="none" w:sz="0" w:space="0" w:color="auto"/>
        <w:right w:val="none" w:sz="0" w:space="0" w:color="auto"/>
      </w:divBdr>
    </w:div>
    <w:div w:id="1061906640">
      <w:bodyDiv w:val="1"/>
      <w:marLeft w:val="0"/>
      <w:marRight w:val="0"/>
      <w:marTop w:val="0"/>
      <w:marBottom w:val="0"/>
      <w:divBdr>
        <w:top w:val="none" w:sz="0" w:space="0" w:color="auto"/>
        <w:left w:val="none" w:sz="0" w:space="0" w:color="auto"/>
        <w:bottom w:val="none" w:sz="0" w:space="0" w:color="auto"/>
        <w:right w:val="none" w:sz="0" w:space="0" w:color="auto"/>
      </w:divBdr>
    </w:div>
    <w:div w:id="1086616191">
      <w:bodyDiv w:val="1"/>
      <w:marLeft w:val="0"/>
      <w:marRight w:val="0"/>
      <w:marTop w:val="0"/>
      <w:marBottom w:val="0"/>
      <w:divBdr>
        <w:top w:val="none" w:sz="0" w:space="0" w:color="auto"/>
        <w:left w:val="none" w:sz="0" w:space="0" w:color="auto"/>
        <w:bottom w:val="none" w:sz="0" w:space="0" w:color="auto"/>
        <w:right w:val="none" w:sz="0" w:space="0" w:color="auto"/>
      </w:divBdr>
    </w:div>
    <w:div w:id="1100220142">
      <w:bodyDiv w:val="1"/>
      <w:marLeft w:val="0"/>
      <w:marRight w:val="0"/>
      <w:marTop w:val="0"/>
      <w:marBottom w:val="0"/>
      <w:divBdr>
        <w:top w:val="none" w:sz="0" w:space="0" w:color="auto"/>
        <w:left w:val="none" w:sz="0" w:space="0" w:color="auto"/>
        <w:bottom w:val="none" w:sz="0" w:space="0" w:color="auto"/>
        <w:right w:val="none" w:sz="0" w:space="0" w:color="auto"/>
      </w:divBdr>
    </w:div>
    <w:div w:id="1105033963">
      <w:bodyDiv w:val="1"/>
      <w:marLeft w:val="0"/>
      <w:marRight w:val="0"/>
      <w:marTop w:val="0"/>
      <w:marBottom w:val="0"/>
      <w:divBdr>
        <w:top w:val="none" w:sz="0" w:space="0" w:color="auto"/>
        <w:left w:val="none" w:sz="0" w:space="0" w:color="auto"/>
        <w:bottom w:val="none" w:sz="0" w:space="0" w:color="auto"/>
        <w:right w:val="none" w:sz="0" w:space="0" w:color="auto"/>
      </w:divBdr>
      <w:divsChild>
        <w:div w:id="2132433247">
          <w:marLeft w:val="0"/>
          <w:marRight w:val="0"/>
          <w:marTop w:val="450"/>
          <w:marBottom w:val="0"/>
          <w:divBdr>
            <w:top w:val="none" w:sz="0" w:space="0" w:color="auto"/>
            <w:left w:val="none" w:sz="0" w:space="0" w:color="auto"/>
            <w:bottom w:val="none" w:sz="0" w:space="0" w:color="auto"/>
            <w:right w:val="none" w:sz="0" w:space="0" w:color="auto"/>
          </w:divBdr>
          <w:divsChild>
            <w:div w:id="1838576841">
              <w:marLeft w:val="0"/>
              <w:marRight w:val="0"/>
              <w:marTop w:val="0"/>
              <w:marBottom w:val="0"/>
              <w:divBdr>
                <w:top w:val="none" w:sz="0" w:space="0" w:color="auto"/>
                <w:left w:val="none" w:sz="0" w:space="0" w:color="auto"/>
                <w:bottom w:val="none" w:sz="0" w:space="0" w:color="auto"/>
                <w:right w:val="none" w:sz="0" w:space="0" w:color="auto"/>
              </w:divBdr>
              <w:divsChild>
                <w:div w:id="2070496667">
                  <w:marLeft w:val="0"/>
                  <w:marRight w:val="0"/>
                  <w:marTop w:val="0"/>
                  <w:marBottom w:val="0"/>
                  <w:divBdr>
                    <w:top w:val="none" w:sz="0" w:space="0" w:color="auto"/>
                    <w:left w:val="none" w:sz="0" w:space="0" w:color="auto"/>
                    <w:bottom w:val="none" w:sz="0" w:space="0" w:color="auto"/>
                    <w:right w:val="none" w:sz="0" w:space="0" w:color="auto"/>
                  </w:divBdr>
                  <w:divsChild>
                    <w:div w:id="1500805070">
                      <w:marLeft w:val="0"/>
                      <w:marRight w:val="0"/>
                      <w:marTop w:val="225"/>
                      <w:marBottom w:val="225"/>
                      <w:divBdr>
                        <w:top w:val="none" w:sz="0" w:space="0" w:color="auto"/>
                        <w:left w:val="none" w:sz="0" w:space="0" w:color="auto"/>
                        <w:bottom w:val="none" w:sz="0" w:space="0" w:color="auto"/>
                        <w:right w:val="none" w:sz="0" w:space="0" w:color="auto"/>
                      </w:divBdr>
                    </w:div>
                    <w:div w:id="1019820984">
                      <w:marLeft w:val="0"/>
                      <w:marRight w:val="0"/>
                      <w:marTop w:val="225"/>
                      <w:marBottom w:val="0"/>
                      <w:divBdr>
                        <w:top w:val="none" w:sz="0" w:space="0" w:color="auto"/>
                        <w:left w:val="none" w:sz="0" w:space="0" w:color="auto"/>
                        <w:bottom w:val="none" w:sz="0" w:space="0" w:color="auto"/>
                        <w:right w:val="none" w:sz="0" w:space="0" w:color="auto"/>
                      </w:divBdr>
                    </w:div>
                    <w:div w:id="234827685">
                      <w:marLeft w:val="0"/>
                      <w:marRight w:val="0"/>
                      <w:marTop w:val="225"/>
                      <w:marBottom w:val="0"/>
                      <w:divBdr>
                        <w:top w:val="none" w:sz="0" w:space="0" w:color="auto"/>
                        <w:left w:val="none" w:sz="0" w:space="0" w:color="auto"/>
                        <w:bottom w:val="none" w:sz="0" w:space="0" w:color="auto"/>
                        <w:right w:val="none" w:sz="0" w:space="0" w:color="auto"/>
                      </w:divBdr>
                    </w:div>
                    <w:div w:id="1758359379">
                      <w:marLeft w:val="0"/>
                      <w:marRight w:val="0"/>
                      <w:marTop w:val="225"/>
                      <w:marBottom w:val="225"/>
                      <w:divBdr>
                        <w:top w:val="none" w:sz="0" w:space="0" w:color="auto"/>
                        <w:left w:val="none" w:sz="0" w:space="0" w:color="auto"/>
                        <w:bottom w:val="none" w:sz="0" w:space="0" w:color="auto"/>
                        <w:right w:val="none" w:sz="0" w:space="0" w:color="auto"/>
                      </w:divBdr>
                    </w:div>
                    <w:div w:id="1861385848">
                      <w:marLeft w:val="0"/>
                      <w:marRight w:val="0"/>
                      <w:marTop w:val="225"/>
                      <w:marBottom w:val="225"/>
                      <w:divBdr>
                        <w:top w:val="none" w:sz="0" w:space="0" w:color="auto"/>
                        <w:left w:val="none" w:sz="0" w:space="0" w:color="auto"/>
                        <w:bottom w:val="none" w:sz="0" w:space="0" w:color="auto"/>
                        <w:right w:val="none" w:sz="0" w:space="0" w:color="auto"/>
                      </w:divBdr>
                    </w:div>
                    <w:div w:id="2040273739">
                      <w:marLeft w:val="0"/>
                      <w:marRight w:val="0"/>
                      <w:marTop w:val="225"/>
                      <w:marBottom w:val="225"/>
                      <w:divBdr>
                        <w:top w:val="none" w:sz="0" w:space="0" w:color="auto"/>
                        <w:left w:val="none" w:sz="0" w:space="0" w:color="auto"/>
                        <w:bottom w:val="none" w:sz="0" w:space="0" w:color="auto"/>
                        <w:right w:val="none" w:sz="0" w:space="0" w:color="auto"/>
                      </w:divBdr>
                    </w:div>
                    <w:div w:id="300615233">
                      <w:marLeft w:val="0"/>
                      <w:marRight w:val="0"/>
                      <w:marTop w:val="225"/>
                      <w:marBottom w:val="225"/>
                      <w:divBdr>
                        <w:top w:val="none" w:sz="0" w:space="0" w:color="auto"/>
                        <w:left w:val="none" w:sz="0" w:space="0" w:color="auto"/>
                        <w:bottom w:val="none" w:sz="0" w:space="0" w:color="auto"/>
                        <w:right w:val="none" w:sz="0" w:space="0" w:color="auto"/>
                      </w:divBdr>
                    </w:div>
                    <w:div w:id="2051949779">
                      <w:marLeft w:val="0"/>
                      <w:marRight w:val="0"/>
                      <w:marTop w:val="225"/>
                      <w:marBottom w:val="225"/>
                      <w:divBdr>
                        <w:top w:val="none" w:sz="0" w:space="0" w:color="auto"/>
                        <w:left w:val="none" w:sz="0" w:space="0" w:color="auto"/>
                        <w:bottom w:val="none" w:sz="0" w:space="0" w:color="auto"/>
                        <w:right w:val="none" w:sz="0" w:space="0" w:color="auto"/>
                      </w:divBdr>
                    </w:div>
                    <w:div w:id="1607344610">
                      <w:marLeft w:val="0"/>
                      <w:marRight w:val="0"/>
                      <w:marTop w:val="225"/>
                      <w:marBottom w:val="225"/>
                      <w:divBdr>
                        <w:top w:val="none" w:sz="0" w:space="0" w:color="auto"/>
                        <w:left w:val="none" w:sz="0" w:space="0" w:color="auto"/>
                        <w:bottom w:val="none" w:sz="0" w:space="0" w:color="auto"/>
                        <w:right w:val="none" w:sz="0" w:space="0" w:color="auto"/>
                      </w:divBdr>
                    </w:div>
                    <w:div w:id="168598307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217784495">
          <w:marLeft w:val="0"/>
          <w:marRight w:val="0"/>
          <w:marTop w:val="0"/>
          <w:marBottom w:val="0"/>
          <w:divBdr>
            <w:top w:val="none" w:sz="0" w:space="0" w:color="auto"/>
            <w:left w:val="none" w:sz="0" w:space="0" w:color="auto"/>
            <w:bottom w:val="none" w:sz="0" w:space="0" w:color="auto"/>
            <w:right w:val="none" w:sz="0" w:space="0" w:color="auto"/>
          </w:divBdr>
          <w:divsChild>
            <w:div w:id="1931427945">
              <w:marLeft w:val="0"/>
              <w:marRight w:val="0"/>
              <w:marTop w:val="0"/>
              <w:marBottom w:val="0"/>
              <w:divBdr>
                <w:top w:val="none" w:sz="0" w:space="0" w:color="auto"/>
                <w:left w:val="none" w:sz="0" w:space="0" w:color="auto"/>
                <w:bottom w:val="none" w:sz="0" w:space="0" w:color="auto"/>
                <w:right w:val="none" w:sz="0" w:space="0" w:color="auto"/>
              </w:divBdr>
              <w:divsChild>
                <w:div w:id="1037123361">
                  <w:marLeft w:val="0"/>
                  <w:marRight w:val="0"/>
                  <w:marTop w:val="0"/>
                  <w:marBottom w:val="0"/>
                  <w:divBdr>
                    <w:top w:val="none" w:sz="0" w:space="0" w:color="auto"/>
                    <w:left w:val="none" w:sz="0" w:space="0" w:color="auto"/>
                    <w:bottom w:val="none" w:sz="0" w:space="0" w:color="auto"/>
                    <w:right w:val="none" w:sz="0" w:space="0" w:color="auto"/>
                  </w:divBdr>
                  <w:divsChild>
                    <w:div w:id="85885642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406679752">
          <w:marLeft w:val="0"/>
          <w:marRight w:val="0"/>
          <w:marTop w:val="0"/>
          <w:marBottom w:val="0"/>
          <w:divBdr>
            <w:top w:val="none" w:sz="0" w:space="0" w:color="auto"/>
            <w:left w:val="none" w:sz="0" w:space="0" w:color="auto"/>
            <w:bottom w:val="none" w:sz="0" w:space="0" w:color="auto"/>
            <w:right w:val="none" w:sz="0" w:space="0" w:color="auto"/>
          </w:divBdr>
          <w:divsChild>
            <w:div w:id="665674804">
              <w:marLeft w:val="0"/>
              <w:marRight w:val="0"/>
              <w:marTop w:val="0"/>
              <w:marBottom w:val="0"/>
              <w:divBdr>
                <w:top w:val="none" w:sz="0" w:space="0" w:color="auto"/>
                <w:left w:val="none" w:sz="0" w:space="0" w:color="auto"/>
                <w:bottom w:val="none" w:sz="0" w:space="0" w:color="auto"/>
                <w:right w:val="none" w:sz="0" w:space="0" w:color="auto"/>
              </w:divBdr>
              <w:divsChild>
                <w:div w:id="1585070776">
                  <w:marLeft w:val="0"/>
                  <w:marRight w:val="0"/>
                  <w:marTop w:val="0"/>
                  <w:marBottom w:val="0"/>
                  <w:divBdr>
                    <w:top w:val="none" w:sz="0" w:space="0" w:color="auto"/>
                    <w:left w:val="none" w:sz="0" w:space="0" w:color="auto"/>
                    <w:bottom w:val="none" w:sz="0" w:space="0" w:color="auto"/>
                    <w:right w:val="none" w:sz="0" w:space="0" w:color="auto"/>
                  </w:divBdr>
                  <w:divsChild>
                    <w:div w:id="165448447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059669710">
          <w:marLeft w:val="0"/>
          <w:marRight w:val="0"/>
          <w:marTop w:val="0"/>
          <w:marBottom w:val="0"/>
          <w:divBdr>
            <w:top w:val="none" w:sz="0" w:space="0" w:color="auto"/>
            <w:left w:val="none" w:sz="0" w:space="0" w:color="auto"/>
            <w:bottom w:val="none" w:sz="0" w:space="0" w:color="auto"/>
            <w:right w:val="none" w:sz="0" w:space="0" w:color="auto"/>
          </w:divBdr>
          <w:divsChild>
            <w:div w:id="1524980801">
              <w:marLeft w:val="0"/>
              <w:marRight w:val="0"/>
              <w:marTop w:val="0"/>
              <w:marBottom w:val="0"/>
              <w:divBdr>
                <w:top w:val="none" w:sz="0" w:space="0" w:color="auto"/>
                <w:left w:val="none" w:sz="0" w:space="0" w:color="auto"/>
                <w:bottom w:val="none" w:sz="0" w:space="0" w:color="auto"/>
                <w:right w:val="none" w:sz="0" w:space="0" w:color="auto"/>
              </w:divBdr>
              <w:divsChild>
                <w:div w:id="546725263">
                  <w:marLeft w:val="0"/>
                  <w:marRight w:val="0"/>
                  <w:marTop w:val="0"/>
                  <w:marBottom w:val="0"/>
                  <w:divBdr>
                    <w:top w:val="none" w:sz="0" w:space="0" w:color="auto"/>
                    <w:left w:val="none" w:sz="0" w:space="0" w:color="auto"/>
                    <w:bottom w:val="none" w:sz="0" w:space="0" w:color="auto"/>
                    <w:right w:val="none" w:sz="0" w:space="0" w:color="auto"/>
                  </w:divBdr>
                  <w:divsChild>
                    <w:div w:id="459764915">
                      <w:marLeft w:val="0"/>
                      <w:marRight w:val="0"/>
                      <w:marTop w:val="225"/>
                      <w:marBottom w:val="225"/>
                      <w:divBdr>
                        <w:top w:val="none" w:sz="0" w:space="0" w:color="auto"/>
                        <w:left w:val="none" w:sz="0" w:space="0" w:color="auto"/>
                        <w:bottom w:val="none" w:sz="0" w:space="0" w:color="auto"/>
                        <w:right w:val="none" w:sz="0" w:space="0" w:color="auto"/>
                      </w:divBdr>
                    </w:div>
                    <w:div w:id="746267379">
                      <w:marLeft w:val="0"/>
                      <w:marRight w:val="0"/>
                      <w:marTop w:val="225"/>
                      <w:marBottom w:val="225"/>
                      <w:divBdr>
                        <w:top w:val="none" w:sz="0" w:space="0" w:color="auto"/>
                        <w:left w:val="none" w:sz="0" w:space="0" w:color="auto"/>
                        <w:bottom w:val="none" w:sz="0" w:space="0" w:color="auto"/>
                        <w:right w:val="none" w:sz="0" w:space="0" w:color="auto"/>
                      </w:divBdr>
                    </w:div>
                    <w:div w:id="170937903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764228443">
          <w:marLeft w:val="0"/>
          <w:marRight w:val="0"/>
          <w:marTop w:val="0"/>
          <w:marBottom w:val="0"/>
          <w:divBdr>
            <w:top w:val="none" w:sz="0" w:space="0" w:color="auto"/>
            <w:left w:val="none" w:sz="0" w:space="0" w:color="auto"/>
            <w:bottom w:val="none" w:sz="0" w:space="0" w:color="auto"/>
            <w:right w:val="none" w:sz="0" w:space="0" w:color="auto"/>
          </w:divBdr>
          <w:divsChild>
            <w:div w:id="963996270">
              <w:marLeft w:val="0"/>
              <w:marRight w:val="0"/>
              <w:marTop w:val="0"/>
              <w:marBottom w:val="0"/>
              <w:divBdr>
                <w:top w:val="none" w:sz="0" w:space="0" w:color="auto"/>
                <w:left w:val="none" w:sz="0" w:space="0" w:color="auto"/>
                <w:bottom w:val="none" w:sz="0" w:space="0" w:color="auto"/>
                <w:right w:val="none" w:sz="0" w:space="0" w:color="auto"/>
              </w:divBdr>
              <w:divsChild>
                <w:div w:id="482161692">
                  <w:marLeft w:val="0"/>
                  <w:marRight w:val="0"/>
                  <w:marTop w:val="0"/>
                  <w:marBottom w:val="0"/>
                  <w:divBdr>
                    <w:top w:val="none" w:sz="0" w:space="0" w:color="auto"/>
                    <w:left w:val="none" w:sz="0" w:space="0" w:color="auto"/>
                    <w:bottom w:val="none" w:sz="0" w:space="0" w:color="auto"/>
                    <w:right w:val="none" w:sz="0" w:space="0" w:color="auto"/>
                  </w:divBdr>
                  <w:divsChild>
                    <w:div w:id="1615404575">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952323607">
          <w:marLeft w:val="0"/>
          <w:marRight w:val="0"/>
          <w:marTop w:val="0"/>
          <w:marBottom w:val="0"/>
          <w:divBdr>
            <w:top w:val="none" w:sz="0" w:space="0" w:color="auto"/>
            <w:left w:val="none" w:sz="0" w:space="0" w:color="auto"/>
            <w:bottom w:val="none" w:sz="0" w:space="0" w:color="auto"/>
            <w:right w:val="none" w:sz="0" w:space="0" w:color="auto"/>
          </w:divBdr>
          <w:divsChild>
            <w:div w:id="1749156016">
              <w:marLeft w:val="0"/>
              <w:marRight w:val="0"/>
              <w:marTop w:val="0"/>
              <w:marBottom w:val="0"/>
              <w:divBdr>
                <w:top w:val="none" w:sz="0" w:space="0" w:color="auto"/>
                <w:left w:val="none" w:sz="0" w:space="0" w:color="auto"/>
                <w:bottom w:val="none" w:sz="0" w:space="0" w:color="auto"/>
                <w:right w:val="none" w:sz="0" w:space="0" w:color="auto"/>
              </w:divBdr>
              <w:divsChild>
                <w:div w:id="1609385528">
                  <w:marLeft w:val="0"/>
                  <w:marRight w:val="0"/>
                  <w:marTop w:val="0"/>
                  <w:marBottom w:val="0"/>
                  <w:divBdr>
                    <w:top w:val="none" w:sz="0" w:space="0" w:color="auto"/>
                    <w:left w:val="none" w:sz="0" w:space="0" w:color="auto"/>
                    <w:bottom w:val="none" w:sz="0" w:space="0" w:color="auto"/>
                    <w:right w:val="none" w:sz="0" w:space="0" w:color="auto"/>
                  </w:divBdr>
                  <w:divsChild>
                    <w:div w:id="106360175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863203631">
          <w:marLeft w:val="0"/>
          <w:marRight w:val="0"/>
          <w:marTop w:val="0"/>
          <w:marBottom w:val="0"/>
          <w:divBdr>
            <w:top w:val="none" w:sz="0" w:space="0" w:color="auto"/>
            <w:left w:val="none" w:sz="0" w:space="0" w:color="auto"/>
            <w:bottom w:val="none" w:sz="0" w:space="0" w:color="auto"/>
            <w:right w:val="none" w:sz="0" w:space="0" w:color="auto"/>
          </w:divBdr>
          <w:divsChild>
            <w:div w:id="1715614294">
              <w:marLeft w:val="0"/>
              <w:marRight w:val="0"/>
              <w:marTop w:val="0"/>
              <w:marBottom w:val="0"/>
              <w:divBdr>
                <w:top w:val="none" w:sz="0" w:space="0" w:color="auto"/>
                <w:left w:val="none" w:sz="0" w:space="0" w:color="auto"/>
                <w:bottom w:val="none" w:sz="0" w:space="0" w:color="auto"/>
                <w:right w:val="none" w:sz="0" w:space="0" w:color="auto"/>
              </w:divBdr>
              <w:divsChild>
                <w:div w:id="537593926">
                  <w:marLeft w:val="0"/>
                  <w:marRight w:val="0"/>
                  <w:marTop w:val="0"/>
                  <w:marBottom w:val="0"/>
                  <w:divBdr>
                    <w:top w:val="none" w:sz="0" w:space="0" w:color="auto"/>
                    <w:left w:val="none" w:sz="0" w:space="0" w:color="auto"/>
                    <w:bottom w:val="none" w:sz="0" w:space="0" w:color="auto"/>
                    <w:right w:val="none" w:sz="0" w:space="0" w:color="auto"/>
                  </w:divBdr>
                  <w:divsChild>
                    <w:div w:id="119048416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931428689">
          <w:marLeft w:val="0"/>
          <w:marRight w:val="0"/>
          <w:marTop w:val="0"/>
          <w:marBottom w:val="0"/>
          <w:divBdr>
            <w:top w:val="none" w:sz="0" w:space="0" w:color="auto"/>
            <w:left w:val="none" w:sz="0" w:space="0" w:color="auto"/>
            <w:bottom w:val="none" w:sz="0" w:space="0" w:color="auto"/>
            <w:right w:val="none" w:sz="0" w:space="0" w:color="auto"/>
          </w:divBdr>
          <w:divsChild>
            <w:div w:id="1685128409">
              <w:marLeft w:val="0"/>
              <w:marRight w:val="0"/>
              <w:marTop w:val="0"/>
              <w:marBottom w:val="0"/>
              <w:divBdr>
                <w:top w:val="none" w:sz="0" w:space="0" w:color="auto"/>
                <w:left w:val="none" w:sz="0" w:space="0" w:color="auto"/>
                <w:bottom w:val="none" w:sz="0" w:space="0" w:color="auto"/>
                <w:right w:val="none" w:sz="0" w:space="0" w:color="auto"/>
              </w:divBdr>
              <w:divsChild>
                <w:div w:id="2132476854">
                  <w:marLeft w:val="0"/>
                  <w:marRight w:val="0"/>
                  <w:marTop w:val="0"/>
                  <w:marBottom w:val="0"/>
                  <w:divBdr>
                    <w:top w:val="none" w:sz="0" w:space="0" w:color="auto"/>
                    <w:left w:val="none" w:sz="0" w:space="0" w:color="auto"/>
                    <w:bottom w:val="none" w:sz="0" w:space="0" w:color="auto"/>
                    <w:right w:val="none" w:sz="0" w:space="0" w:color="auto"/>
                  </w:divBdr>
                  <w:divsChild>
                    <w:div w:id="137214756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446343522">
          <w:marLeft w:val="0"/>
          <w:marRight w:val="0"/>
          <w:marTop w:val="0"/>
          <w:marBottom w:val="0"/>
          <w:divBdr>
            <w:top w:val="none" w:sz="0" w:space="0" w:color="auto"/>
            <w:left w:val="none" w:sz="0" w:space="0" w:color="auto"/>
            <w:bottom w:val="none" w:sz="0" w:space="0" w:color="auto"/>
            <w:right w:val="none" w:sz="0" w:space="0" w:color="auto"/>
          </w:divBdr>
          <w:divsChild>
            <w:div w:id="590628357">
              <w:marLeft w:val="0"/>
              <w:marRight w:val="0"/>
              <w:marTop w:val="0"/>
              <w:marBottom w:val="0"/>
              <w:divBdr>
                <w:top w:val="none" w:sz="0" w:space="0" w:color="auto"/>
                <w:left w:val="none" w:sz="0" w:space="0" w:color="auto"/>
                <w:bottom w:val="none" w:sz="0" w:space="0" w:color="auto"/>
                <w:right w:val="none" w:sz="0" w:space="0" w:color="auto"/>
              </w:divBdr>
              <w:divsChild>
                <w:div w:id="2047827719">
                  <w:marLeft w:val="0"/>
                  <w:marRight w:val="0"/>
                  <w:marTop w:val="0"/>
                  <w:marBottom w:val="0"/>
                  <w:divBdr>
                    <w:top w:val="none" w:sz="0" w:space="0" w:color="auto"/>
                    <w:left w:val="none" w:sz="0" w:space="0" w:color="auto"/>
                    <w:bottom w:val="none" w:sz="0" w:space="0" w:color="auto"/>
                    <w:right w:val="none" w:sz="0" w:space="0" w:color="auto"/>
                  </w:divBdr>
                  <w:divsChild>
                    <w:div w:id="93867437">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57624691">
          <w:marLeft w:val="0"/>
          <w:marRight w:val="0"/>
          <w:marTop w:val="0"/>
          <w:marBottom w:val="450"/>
          <w:divBdr>
            <w:top w:val="none" w:sz="0" w:space="0" w:color="auto"/>
            <w:left w:val="none" w:sz="0" w:space="0" w:color="auto"/>
            <w:bottom w:val="none" w:sz="0" w:space="0" w:color="auto"/>
            <w:right w:val="none" w:sz="0" w:space="0" w:color="auto"/>
          </w:divBdr>
          <w:divsChild>
            <w:div w:id="986323139">
              <w:marLeft w:val="0"/>
              <w:marRight w:val="0"/>
              <w:marTop w:val="0"/>
              <w:marBottom w:val="0"/>
              <w:divBdr>
                <w:top w:val="none" w:sz="0" w:space="0" w:color="auto"/>
                <w:left w:val="none" w:sz="0" w:space="0" w:color="auto"/>
                <w:bottom w:val="none" w:sz="0" w:space="0" w:color="auto"/>
                <w:right w:val="none" w:sz="0" w:space="0" w:color="auto"/>
              </w:divBdr>
              <w:divsChild>
                <w:div w:id="1855683067">
                  <w:marLeft w:val="0"/>
                  <w:marRight w:val="0"/>
                  <w:marTop w:val="0"/>
                  <w:marBottom w:val="0"/>
                  <w:divBdr>
                    <w:top w:val="none" w:sz="0" w:space="0" w:color="auto"/>
                    <w:left w:val="none" w:sz="0" w:space="0" w:color="auto"/>
                    <w:bottom w:val="none" w:sz="0" w:space="0" w:color="auto"/>
                    <w:right w:val="none" w:sz="0" w:space="0" w:color="auto"/>
                  </w:divBdr>
                  <w:divsChild>
                    <w:div w:id="45102329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1107624902">
      <w:bodyDiv w:val="1"/>
      <w:marLeft w:val="0"/>
      <w:marRight w:val="0"/>
      <w:marTop w:val="0"/>
      <w:marBottom w:val="0"/>
      <w:divBdr>
        <w:top w:val="none" w:sz="0" w:space="0" w:color="auto"/>
        <w:left w:val="none" w:sz="0" w:space="0" w:color="auto"/>
        <w:bottom w:val="none" w:sz="0" w:space="0" w:color="auto"/>
        <w:right w:val="none" w:sz="0" w:space="0" w:color="auto"/>
      </w:divBdr>
    </w:div>
    <w:div w:id="1245994901">
      <w:bodyDiv w:val="1"/>
      <w:marLeft w:val="0"/>
      <w:marRight w:val="0"/>
      <w:marTop w:val="0"/>
      <w:marBottom w:val="0"/>
      <w:divBdr>
        <w:top w:val="none" w:sz="0" w:space="0" w:color="auto"/>
        <w:left w:val="none" w:sz="0" w:space="0" w:color="auto"/>
        <w:bottom w:val="none" w:sz="0" w:space="0" w:color="auto"/>
        <w:right w:val="none" w:sz="0" w:space="0" w:color="auto"/>
      </w:divBdr>
    </w:div>
    <w:div w:id="1266693327">
      <w:bodyDiv w:val="1"/>
      <w:marLeft w:val="0"/>
      <w:marRight w:val="0"/>
      <w:marTop w:val="0"/>
      <w:marBottom w:val="0"/>
      <w:divBdr>
        <w:top w:val="none" w:sz="0" w:space="0" w:color="auto"/>
        <w:left w:val="none" w:sz="0" w:space="0" w:color="auto"/>
        <w:bottom w:val="none" w:sz="0" w:space="0" w:color="auto"/>
        <w:right w:val="none" w:sz="0" w:space="0" w:color="auto"/>
      </w:divBdr>
    </w:div>
    <w:div w:id="1322389077">
      <w:bodyDiv w:val="1"/>
      <w:marLeft w:val="0"/>
      <w:marRight w:val="0"/>
      <w:marTop w:val="0"/>
      <w:marBottom w:val="0"/>
      <w:divBdr>
        <w:top w:val="none" w:sz="0" w:space="0" w:color="auto"/>
        <w:left w:val="none" w:sz="0" w:space="0" w:color="auto"/>
        <w:bottom w:val="none" w:sz="0" w:space="0" w:color="auto"/>
        <w:right w:val="none" w:sz="0" w:space="0" w:color="auto"/>
      </w:divBdr>
    </w:div>
    <w:div w:id="1406875728">
      <w:bodyDiv w:val="1"/>
      <w:marLeft w:val="0"/>
      <w:marRight w:val="0"/>
      <w:marTop w:val="0"/>
      <w:marBottom w:val="0"/>
      <w:divBdr>
        <w:top w:val="none" w:sz="0" w:space="0" w:color="auto"/>
        <w:left w:val="none" w:sz="0" w:space="0" w:color="auto"/>
        <w:bottom w:val="none" w:sz="0" w:space="0" w:color="auto"/>
        <w:right w:val="none" w:sz="0" w:space="0" w:color="auto"/>
      </w:divBdr>
    </w:div>
    <w:div w:id="1416173289">
      <w:bodyDiv w:val="1"/>
      <w:marLeft w:val="0"/>
      <w:marRight w:val="0"/>
      <w:marTop w:val="0"/>
      <w:marBottom w:val="0"/>
      <w:divBdr>
        <w:top w:val="none" w:sz="0" w:space="0" w:color="auto"/>
        <w:left w:val="none" w:sz="0" w:space="0" w:color="auto"/>
        <w:bottom w:val="none" w:sz="0" w:space="0" w:color="auto"/>
        <w:right w:val="none" w:sz="0" w:space="0" w:color="auto"/>
      </w:divBdr>
    </w:div>
    <w:div w:id="1435977716">
      <w:bodyDiv w:val="1"/>
      <w:marLeft w:val="0"/>
      <w:marRight w:val="0"/>
      <w:marTop w:val="0"/>
      <w:marBottom w:val="0"/>
      <w:divBdr>
        <w:top w:val="none" w:sz="0" w:space="0" w:color="auto"/>
        <w:left w:val="none" w:sz="0" w:space="0" w:color="auto"/>
        <w:bottom w:val="none" w:sz="0" w:space="0" w:color="auto"/>
        <w:right w:val="none" w:sz="0" w:space="0" w:color="auto"/>
      </w:divBdr>
    </w:div>
    <w:div w:id="1524056463">
      <w:bodyDiv w:val="1"/>
      <w:marLeft w:val="0"/>
      <w:marRight w:val="0"/>
      <w:marTop w:val="0"/>
      <w:marBottom w:val="0"/>
      <w:divBdr>
        <w:top w:val="none" w:sz="0" w:space="0" w:color="auto"/>
        <w:left w:val="none" w:sz="0" w:space="0" w:color="auto"/>
        <w:bottom w:val="none" w:sz="0" w:space="0" w:color="auto"/>
        <w:right w:val="none" w:sz="0" w:space="0" w:color="auto"/>
      </w:divBdr>
    </w:div>
    <w:div w:id="1533573564">
      <w:bodyDiv w:val="1"/>
      <w:marLeft w:val="0"/>
      <w:marRight w:val="0"/>
      <w:marTop w:val="0"/>
      <w:marBottom w:val="0"/>
      <w:divBdr>
        <w:top w:val="none" w:sz="0" w:space="0" w:color="auto"/>
        <w:left w:val="none" w:sz="0" w:space="0" w:color="auto"/>
        <w:bottom w:val="none" w:sz="0" w:space="0" w:color="auto"/>
        <w:right w:val="none" w:sz="0" w:space="0" w:color="auto"/>
      </w:divBdr>
    </w:div>
    <w:div w:id="1535313676">
      <w:bodyDiv w:val="1"/>
      <w:marLeft w:val="0"/>
      <w:marRight w:val="0"/>
      <w:marTop w:val="0"/>
      <w:marBottom w:val="0"/>
      <w:divBdr>
        <w:top w:val="none" w:sz="0" w:space="0" w:color="auto"/>
        <w:left w:val="none" w:sz="0" w:space="0" w:color="auto"/>
        <w:bottom w:val="none" w:sz="0" w:space="0" w:color="auto"/>
        <w:right w:val="none" w:sz="0" w:space="0" w:color="auto"/>
      </w:divBdr>
    </w:div>
    <w:div w:id="1706178412">
      <w:bodyDiv w:val="1"/>
      <w:marLeft w:val="0"/>
      <w:marRight w:val="0"/>
      <w:marTop w:val="0"/>
      <w:marBottom w:val="0"/>
      <w:divBdr>
        <w:top w:val="none" w:sz="0" w:space="0" w:color="auto"/>
        <w:left w:val="none" w:sz="0" w:space="0" w:color="auto"/>
        <w:bottom w:val="none" w:sz="0" w:space="0" w:color="auto"/>
        <w:right w:val="none" w:sz="0" w:space="0" w:color="auto"/>
      </w:divBdr>
    </w:div>
    <w:div w:id="1856264396">
      <w:bodyDiv w:val="1"/>
      <w:marLeft w:val="0"/>
      <w:marRight w:val="0"/>
      <w:marTop w:val="0"/>
      <w:marBottom w:val="0"/>
      <w:divBdr>
        <w:top w:val="none" w:sz="0" w:space="0" w:color="auto"/>
        <w:left w:val="none" w:sz="0" w:space="0" w:color="auto"/>
        <w:bottom w:val="none" w:sz="0" w:space="0" w:color="auto"/>
        <w:right w:val="none" w:sz="0" w:space="0" w:color="auto"/>
      </w:divBdr>
    </w:div>
    <w:div w:id="1858886465">
      <w:bodyDiv w:val="1"/>
      <w:marLeft w:val="0"/>
      <w:marRight w:val="0"/>
      <w:marTop w:val="0"/>
      <w:marBottom w:val="0"/>
      <w:divBdr>
        <w:top w:val="none" w:sz="0" w:space="0" w:color="auto"/>
        <w:left w:val="none" w:sz="0" w:space="0" w:color="auto"/>
        <w:bottom w:val="none" w:sz="0" w:space="0" w:color="auto"/>
        <w:right w:val="none" w:sz="0" w:space="0" w:color="auto"/>
      </w:divBdr>
    </w:div>
    <w:div w:id="1920282674">
      <w:bodyDiv w:val="1"/>
      <w:marLeft w:val="0"/>
      <w:marRight w:val="0"/>
      <w:marTop w:val="0"/>
      <w:marBottom w:val="0"/>
      <w:divBdr>
        <w:top w:val="none" w:sz="0" w:space="0" w:color="auto"/>
        <w:left w:val="none" w:sz="0" w:space="0" w:color="auto"/>
        <w:bottom w:val="none" w:sz="0" w:space="0" w:color="auto"/>
        <w:right w:val="none" w:sz="0" w:space="0" w:color="auto"/>
      </w:divBdr>
    </w:div>
    <w:div w:id="1963464357">
      <w:bodyDiv w:val="1"/>
      <w:marLeft w:val="0"/>
      <w:marRight w:val="0"/>
      <w:marTop w:val="0"/>
      <w:marBottom w:val="0"/>
      <w:divBdr>
        <w:top w:val="none" w:sz="0" w:space="0" w:color="auto"/>
        <w:left w:val="none" w:sz="0" w:space="0" w:color="auto"/>
        <w:bottom w:val="none" w:sz="0" w:space="0" w:color="auto"/>
        <w:right w:val="none" w:sz="0" w:space="0" w:color="auto"/>
      </w:divBdr>
    </w:div>
    <w:div w:id="1968464907">
      <w:bodyDiv w:val="1"/>
      <w:marLeft w:val="0"/>
      <w:marRight w:val="0"/>
      <w:marTop w:val="0"/>
      <w:marBottom w:val="0"/>
      <w:divBdr>
        <w:top w:val="none" w:sz="0" w:space="0" w:color="auto"/>
        <w:left w:val="none" w:sz="0" w:space="0" w:color="auto"/>
        <w:bottom w:val="none" w:sz="0" w:space="0" w:color="auto"/>
        <w:right w:val="none" w:sz="0" w:space="0" w:color="auto"/>
      </w:divBdr>
    </w:div>
    <w:div w:id="1972706581">
      <w:bodyDiv w:val="1"/>
      <w:marLeft w:val="0"/>
      <w:marRight w:val="0"/>
      <w:marTop w:val="0"/>
      <w:marBottom w:val="0"/>
      <w:divBdr>
        <w:top w:val="none" w:sz="0" w:space="0" w:color="auto"/>
        <w:left w:val="none" w:sz="0" w:space="0" w:color="auto"/>
        <w:bottom w:val="none" w:sz="0" w:space="0" w:color="auto"/>
        <w:right w:val="none" w:sz="0" w:space="0" w:color="auto"/>
      </w:divBdr>
    </w:div>
    <w:div w:id="1973752885">
      <w:bodyDiv w:val="1"/>
      <w:marLeft w:val="0"/>
      <w:marRight w:val="0"/>
      <w:marTop w:val="0"/>
      <w:marBottom w:val="0"/>
      <w:divBdr>
        <w:top w:val="none" w:sz="0" w:space="0" w:color="auto"/>
        <w:left w:val="none" w:sz="0" w:space="0" w:color="auto"/>
        <w:bottom w:val="none" w:sz="0" w:space="0" w:color="auto"/>
        <w:right w:val="none" w:sz="0" w:space="0" w:color="auto"/>
      </w:divBdr>
    </w:div>
    <w:div w:id="1982346783">
      <w:bodyDiv w:val="1"/>
      <w:marLeft w:val="0"/>
      <w:marRight w:val="0"/>
      <w:marTop w:val="0"/>
      <w:marBottom w:val="0"/>
      <w:divBdr>
        <w:top w:val="none" w:sz="0" w:space="0" w:color="auto"/>
        <w:left w:val="none" w:sz="0" w:space="0" w:color="auto"/>
        <w:bottom w:val="none" w:sz="0" w:space="0" w:color="auto"/>
        <w:right w:val="none" w:sz="0" w:space="0" w:color="auto"/>
      </w:divBdr>
    </w:div>
    <w:div w:id="2017069403">
      <w:bodyDiv w:val="1"/>
      <w:marLeft w:val="0"/>
      <w:marRight w:val="0"/>
      <w:marTop w:val="0"/>
      <w:marBottom w:val="0"/>
      <w:divBdr>
        <w:top w:val="none" w:sz="0" w:space="0" w:color="auto"/>
        <w:left w:val="none" w:sz="0" w:space="0" w:color="auto"/>
        <w:bottom w:val="none" w:sz="0" w:space="0" w:color="auto"/>
        <w:right w:val="none" w:sz="0" w:space="0" w:color="auto"/>
      </w:divBdr>
    </w:div>
    <w:div w:id="2037658328">
      <w:bodyDiv w:val="1"/>
      <w:marLeft w:val="0"/>
      <w:marRight w:val="0"/>
      <w:marTop w:val="0"/>
      <w:marBottom w:val="0"/>
      <w:divBdr>
        <w:top w:val="none" w:sz="0" w:space="0" w:color="auto"/>
        <w:left w:val="none" w:sz="0" w:space="0" w:color="auto"/>
        <w:bottom w:val="none" w:sz="0" w:space="0" w:color="auto"/>
        <w:right w:val="none" w:sz="0" w:space="0" w:color="auto"/>
      </w:divBdr>
    </w:div>
    <w:div w:id="208236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Clients\Nagarro\Templates\Solution%20Approach%20Template%20v%20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523F0-A457-4E04-B153-36B368C86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Solution Approach Template v 0.2.dotx</Template>
  <TotalTime>369</TotalTime>
  <Pages>28</Pages>
  <Words>7770</Words>
  <Characters>44292</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YCompany – eClaims</vt:lpstr>
    </vt:vector>
  </TitlesOfParts>
  <Company>Nagarro Software Pvt. Ltd.</Company>
  <LinksUpToDate>false</LinksUpToDate>
  <CharactersWithSpaces>51959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YCompany – eClaims</dc:title>
  <dc:subject>DAR Document – Messaging, Analytics and Identity Selection</dc:subject>
  <dc:creator>Utsav Verma</dc:creator>
  <cp:keywords>eClaims; DAR; Amazon EventBridge; Amazon SQS; Amazon SNS; Amazon Redshift; Okta; Auth Service</cp:keywords>
  <cp:lastModifiedBy>Utsav Verma</cp:lastModifiedBy>
  <cp:revision>1</cp:revision>
  <cp:lastPrinted>2014-05-22T16:26:00Z</cp:lastPrinted>
  <dcterms:created xsi:type="dcterms:W3CDTF">2026-10-30T06:46:00Z</dcterms:created>
  <dcterms:modified xsi:type="dcterms:W3CDTF">2026-10-30T06:46:00Z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7ffb40b16d93be26db4924291c327452430c5528df45a39441a2dac1d20155dd</vt:lpwstr>
  </property>
</Properties>
</file>