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5F12E6AE" w14:textId="622C39C7" w:rsidR="00756E07" w:rsidRPr="008848D6" w:rsidRDefault="00D35474"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D32A45" w:rsidRPr="00D32A45">
                <w:t>YCompany – eClaims</w:t>
              </w:r>
              <w:proofErr w:type="spellEnd"/>
              <w:r w:rsidR="00D32A45" w:rsidRPr="00D32A45">
                <w:t xml:space="preserve"/>
              </w:r>
              <w:proofErr w:type="spellStart"/>
              <w:r w:rsidR="00D32A45" w:rsidRPr="00D32A45">
                <w:t/>
              </w:r>
              <w:proofErr w:type="spellEnd"/>
            </w:sdtContent>
          </w:sdt>
        </w:p>
        <w:p w14:paraId="732879A0"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7FB4AF21" wp14:editId="51AF8F15">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wp:cNvGraphicFramePr>
                    <a:graphic>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5710E97A" wp14:editId="3ED9C6C9">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wp:cNvGraphicFramePr>
                    <a:graphic>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43ABE237" wp14:editId="34121F9D">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wp:cNvGraphicFramePr>
                    <a:graphic>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36539663" wp14:editId="3FBD3153">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wp:cNvGraphicFramePr>
                    <a:graphic>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 – Compute Platform and Container Orchestrator Selection</w:t>
              </w:r>
            </w:sdtContent>
          </w:sdt>
        </w:p>
        <w:p w14:paraId="72CED5D9" w14:textId="77777777" w:rsidR="00756E07" w:rsidRPr="008848D6" w:rsidRDefault="00756E07" w:rsidP="00C22C69">
          <w:pPr>
            <w:pStyle w:val="NoSpacing"/>
            <w:rPr>
              <w:rFonts w:asciiTheme="majorHAnsi" w:eastAsia="Times New Roman" w:hAnsiTheme="majorHAnsi"/>
              <w:sz w:val="52"/>
              <w:szCs w:val="52"/>
            </w:rPr>
          </w:pPr>
        </w:p>
        <w:p w14:paraId="03EEE73D" w14:textId="77777777" w:rsidR="00756E07" w:rsidRPr="008848D6" w:rsidRDefault="00756E07" w:rsidP="00C22C69">
          <w:pPr>
            <w:pStyle w:val="NoSpacing"/>
            <w:rPr>
              <w:rFonts w:asciiTheme="majorHAnsi" w:eastAsiaTheme="majorEastAsia" w:hAnsiTheme="majorHAnsi" w:cstheme="majorBidi"/>
              <w:sz w:val="36"/>
              <w:szCs w:val="36"/>
            </w:rPr>
          </w:pPr>
        </w:p>
        <w:p w14:paraId="7F29B6F2" w14:textId="77777777" w:rsidR="00756E07" w:rsidRPr="008848D6" w:rsidRDefault="00756E07" w:rsidP="00C22C69">
          <w:pPr>
            <w:pStyle w:val="Title"/>
            <w:rPr>
              <w:sz w:val="36"/>
              <w:szCs w:val="36"/>
            </w:rPr>
          </w:pPr>
        </w:p>
        <w:p w14:paraId="7E5C4D0F" w14:textId="77777777" w:rsidR="00756E07" w:rsidRPr="008848D6" w:rsidRDefault="00756E07" w:rsidP="00C22C69">
          <w:pPr>
            <w:pStyle w:val="NoSpacing"/>
            <w:rPr>
              <w:rFonts w:asciiTheme="majorHAnsi" w:eastAsiaTheme="majorEastAsia" w:hAnsiTheme="majorHAnsi" w:cstheme="majorBidi"/>
              <w:sz w:val="36"/>
              <w:szCs w:val="36"/>
            </w:rPr>
          </w:pPr>
        </w:p>
        <w:p w14:paraId="36052F10" w14:textId="77777777" w:rsidR="00756E07" w:rsidRPr="008848D6" w:rsidRDefault="00756E07" w:rsidP="00C22C69">
          <w:pPr>
            <w:spacing w:line="240" w:lineRule="auto"/>
            <w:rPr>
              <w:rFonts w:asciiTheme="majorHAnsi" w:hAnsiTheme="majorHAnsi"/>
            </w:rPr>
          </w:pPr>
        </w:p>
        <w:p w14:paraId="7FEB40F7"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7F2840DB" w14:textId="77777777" w:rsidR="00756E07" w:rsidRPr="008848D6" w:rsidRDefault="00756E07" w:rsidP="00C22C69">
          <w:pPr>
            <w:spacing w:line="240" w:lineRule="auto"/>
            <w:rPr>
              <w:rFonts w:asciiTheme="majorHAnsi" w:hAnsiTheme="majorHAnsi"/>
            </w:rPr>
          </w:pPr>
        </w:p>
        <w:p w14:paraId="464D1EF3" w14:textId="77777777" w:rsidR="00756E07" w:rsidRPr="008848D6" w:rsidRDefault="00756E07" w:rsidP="00C22C69">
          <w:pPr>
            <w:spacing w:line="240" w:lineRule="auto"/>
            <w:rPr>
              <w:rFonts w:asciiTheme="majorHAnsi" w:hAnsiTheme="majorHAnsi"/>
            </w:rPr>
          </w:pPr>
        </w:p>
        <w:p w14:paraId="17A920D4" w14:textId="77777777" w:rsidR="00756E07" w:rsidRPr="008848D6" w:rsidRDefault="00756E07" w:rsidP="00C22C69">
          <w:pPr>
            <w:spacing w:line="240" w:lineRule="auto"/>
            <w:rPr>
              <w:rFonts w:asciiTheme="majorHAnsi" w:hAnsiTheme="majorHAnsi"/>
            </w:rPr>
          </w:pPr>
        </w:p>
        <w:p w14:paraId="4E5D229B" w14:textId="77777777" w:rsidR="00756E07" w:rsidRPr="008848D6" w:rsidRDefault="00756E07" w:rsidP="00C22C69">
          <w:pPr>
            <w:spacing w:line="240" w:lineRule="auto"/>
            <w:rPr>
              <w:rFonts w:asciiTheme="majorHAnsi" w:hAnsiTheme="majorHAnsi"/>
            </w:rPr>
          </w:pPr>
        </w:p>
        <w:p w14:paraId="660579FC" w14:textId="77777777" w:rsidR="00756E07" w:rsidRPr="008848D6" w:rsidRDefault="00756E07" w:rsidP="00C22C69">
          <w:pPr>
            <w:spacing w:line="240" w:lineRule="auto"/>
            <w:rPr>
              <w:rFonts w:asciiTheme="majorHAnsi" w:hAnsiTheme="majorHAnsi"/>
            </w:rPr>
          </w:pPr>
        </w:p>
        <w:p w14:paraId="7B25A50A" w14:textId="77777777" w:rsidR="00756E07" w:rsidRPr="008848D6" w:rsidRDefault="00756E07" w:rsidP="00C22C69">
          <w:pPr>
            <w:spacing w:line="240" w:lineRule="auto"/>
            <w:rPr>
              <w:rFonts w:asciiTheme="majorHAnsi" w:hAnsiTheme="majorHAnsi"/>
            </w:rPr>
          </w:pPr>
        </w:p>
        <w:p w14:paraId="6E39716F" w14:textId="77777777" w:rsidR="00756E07" w:rsidRPr="008848D6" w:rsidRDefault="00756E07" w:rsidP="00C22C69">
          <w:pPr>
            <w:spacing w:line="240" w:lineRule="auto"/>
            <w:rPr>
              <w:rFonts w:asciiTheme="majorHAnsi" w:hAnsiTheme="majorHAnsi"/>
            </w:rPr>
          </w:pPr>
        </w:p>
        <w:p w14:paraId="2CC19275" w14:textId="77777777" w:rsidR="00756E07" w:rsidRPr="008848D6" w:rsidRDefault="00756E07" w:rsidP="00C22C69">
          <w:pPr>
            <w:spacing w:line="240" w:lineRule="auto"/>
            <w:rPr>
              <w:rFonts w:asciiTheme="majorHAnsi" w:hAnsiTheme="majorHAnsi"/>
            </w:rPr>
          </w:pPr>
        </w:p>
        <w:p w14:paraId="191C51F9" w14:textId="77777777" w:rsidR="00756E07" w:rsidRPr="008848D6" w:rsidRDefault="00756E07" w:rsidP="00C22C69">
          <w:pPr>
            <w:spacing w:line="240" w:lineRule="auto"/>
            <w:rPr>
              <w:rFonts w:asciiTheme="majorHAnsi" w:hAnsiTheme="majorHAnsi"/>
            </w:rPr>
          </w:pPr>
        </w:p>
        <w:p w14:paraId="6E816B29" w14:textId="77777777" w:rsidR="00756E07" w:rsidRPr="008848D6" w:rsidRDefault="00756E07" w:rsidP="00C22C69">
          <w:pPr>
            <w:spacing w:line="240" w:lineRule="auto"/>
            <w:rPr>
              <w:rFonts w:asciiTheme="majorHAnsi" w:hAnsiTheme="majorHAnsi"/>
            </w:rPr>
          </w:pPr>
        </w:p>
        <w:p w14:paraId="75F8FC74" w14:textId="77777777" w:rsidR="00756E07" w:rsidRPr="008848D6" w:rsidRDefault="00756E07" w:rsidP="00C22C69">
          <w:pPr>
            <w:spacing w:line="240" w:lineRule="auto"/>
            <w:rPr>
              <w:rFonts w:asciiTheme="majorHAnsi" w:hAnsiTheme="majorHAnsi"/>
            </w:rPr>
          </w:pPr>
        </w:p>
        <w:p w14:paraId="6BF9D205" w14:textId="77777777" w:rsidR="00756E07" w:rsidRPr="008848D6" w:rsidRDefault="00756E07" w:rsidP="00C22C69">
          <w:pPr>
            <w:spacing w:line="240" w:lineRule="auto"/>
            <w:rPr>
              <w:rFonts w:asciiTheme="majorHAnsi" w:hAnsiTheme="majorHAnsi"/>
            </w:rPr>
          </w:pPr>
        </w:p>
        <w:p w14:paraId="69FAE899" w14:textId="77777777" w:rsidR="00756E07" w:rsidRPr="008848D6" w:rsidRDefault="008D6BBB" w:rsidP="00C22C69">
          <w:pPr>
            <w:spacing w:line="240" w:lineRule="auto"/>
            <w:rPr>
              <w:rFonts w:asciiTheme="majorHAnsi" w:hAnsiTheme="majorHAnsi"/>
            </w:rPr>
          </w:pPr>
          <w:r>
            <w:rPr>
              <w:noProof/>
            </w:rPr>
            <w:drawing>
              <wp:inline distT="0" distB="0" distL="0" distR="0" wp14:anchorId="39B65C76" wp14:editId="2405E75F">
                <wp:extent cx="1231265" cy="1009650"/>
                <wp:effectExtent l="0" t="0" r="0" b="0"/>
                <wp:docPr id="1" name="Picture 1"/>
                <wp:cNvGraphicFramePr/>
                <a:graphic>
                  <a:graphicData uri="http://schemas.openxmlformats.org/drawingml/2006/picture">
                    <pic:pic>
                      <pic:nvPicPr>
                        <pic:cNvPr id="3" name="Picture 3"/>
                        <pic:cNvPicPr/>
                      </pic:nvPicPr>
                      <pic:blipFill>
                        <a:blip r:embed="rId8" cstate="print">
                          <a:extLst>
                            <a:ext uri="{28A0092B-C50C-407E-A947-70E740481C1C}">
                              <a14:useLocalDpi val="0"/>
                            </a:ext>
                          </a:extLst>
                        </a:blip>
                        <a:srcRect/>
                        <a:stretch>
                          <a:fillRect/>
                        </a:stretch>
                      </pic:blipFill>
                      <pic:spPr bwMode="auto">
                        <a:xfrm>
                          <a:off x="0" y="0"/>
                          <a:ext cx="1231265" cy="1009650"/>
                        </a:xfrm>
                        <a:prstGeom prst="rect">
                          <a:avLst/>
                        </a:prstGeom>
                        <a:noFill/>
                        <a:ln>
                          <a:noFill/>
                        </a:ln>
                      </pic:spPr>
                    </pic:pic>
                  </a:graphicData>
                </a:graphic>
              </wp:inline>
            </w:drawing>
          </w: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59BA2D3E"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5666806F" w14:textId="77777777" w:rsidR="00756E07" w:rsidRPr="008848D6" w:rsidRDefault="001D6A7E" w:rsidP="00C22C69">
              <w:pPr>
                <w:pStyle w:val="NoSpacing"/>
                <w:rPr>
                  <w:rFonts w:asciiTheme="majorHAnsi" w:hAnsiTheme="majorHAnsi"/>
                  <w:b/>
                  <w:bCs/>
                </w:rPr>
              </w:pPr>
              <w:r>
                <w:rPr>
                  <w:rFonts w:asciiTheme="majorHAnsi" w:hAnsiTheme="majorHAnsi"/>
                </w:rPr>
                <w:t>Utsav Verma</w:t>
              </w:r>
            </w:p>
          </w:sdtContent>
        </w:sdt>
      </w:sdtContent>
    </w:sdt>
    <w:p w14:paraId="355A0528"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59849969"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085390C2"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4EFE2EBB"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148B8295"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08E50745"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5549CA9"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2A0ADAE2"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7D7BE19F"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59D73701" w14:textId="77777777" w:rsidTr="00200904">
        <w:tc>
          <w:tcPr>
            <w:tcW w:w="1176" w:type="dxa"/>
            <w:tcBorders>
              <w:top w:val="dotted" w:sz="4" w:space="0" w:color="auto"/>
              <w:left w:val="dotted" w:sz="4" w:space="0" w:color="auto"/>
              <w:bottom w:val="dotted" w:sz="4" w:space="0" w:color="auto"/>
              <w:right w:val="dotted" w:sz="4" w:space="0" w:color="auto"/>
            </w:tcBorders>
          </w:tcPr>
          <w:p w14:paraId="471D3E4F" w14:textId="6FBAF026" w:rsidR="00756E07" w:rsidRPr="008848D6" w:rsidRDefault="002A65CA"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47EC2EAC" w14:textId="77777777" w:rsidR="00756E07" w:rsidRPr="008848D6" w:rsidRDefault="00756E07" w:rsidP="00C22C69">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4AC74B62"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5AA3D2B4" w14:textId="362582E6" w:rsidR="00756E07" w:rsidRPr="008848D6" w:rsidRDefault="00756E07" w:rsidP="00CB78C5">
            <w:pPr>
              <w:pStyle w:val="NoSpacing"/>
              <w:rPr>
                <w:rFonts w:asciiTheme="majorHAnsi" w:hAnsiTheme="majorHAnsi"/>
              </w:rPr>
            </w:pPr>
            <w:r>
              <w:rPr>
                <w:rFonts w:asciiTheme="majorHAnsi" w:hAnsiTheme="majorHAnsi"/>
              </w:rPr>
              <w:t>Issued for review</w:t>
            </w:r>
          </w:p>
        </w:tc>
      </w:tr>
      <w:tr w:rsidR="00756E07" w:rsidRPr="008848D6" w14:paraId="3B22FCD6" w14:textId="77777777" w:rsidTr="00200904">
        <w:tc>
          <w:tcPr>
            <w:tcW w:w="1176" w:type="dxa"/>
            <w:tcBorders>
              <w:top w:val="dotted" w:sz="4" w:space="0" w:color="auto"/>
              <w:left w:val="dotted" w:sz="4" w:space="0" w:color="auto"/>
              <w:bottom w:val="dotted" w:sz="4" w:space="0" w:color="auto"/>
              <w:right w:val="dotted" w:sz="4" w:space="0" w:color="auto"/>
            </w:tcBorders>
          </w:tcPr>
          <w:p w14:paraId="3BA51CDD" w14:textId="6FBAF026" w:rsidR="00756E07" w:rsidRPr="008848D6" w:rsidRDefault="002A65CA" w:rsidP="00C22C69">
            <w:pPr>
              <w:pStyle w:val="NoSpacing"/>
              <w:rPr>
                <w:rFonts w:asciiTheme="majorHAnsi" w:hAnsiTheme="majorHAnsi"/>
              </w:rPr>
            </w:pPr>
            <w:r>
              <w:rPr>
                <w:rFonts w:asciiTheme="majorHAnsi" w:hAnsiTheme="majorHAnsi"/>
              </w:rPr>
              <w:t>1.1</w:t>
            </w:r>
          </w:p>
        </w:tc>
        <w:tc>
          <w:tcPr>
            <w:tcW w:w="1648" w:type="dxa"/>
            <w:tcBorders>
              <w:top w:val="dotted" w:sz="4" w:space="0" w:color="auto"/>
              <w:left w:val="dotted" w:sz="4" w:space="0" w:color="auto"/>
              <w:bottom w:val="dotted" w:sz="4" w:space="0" w:color="auto"/>
              <w:right w:val="dotted" w:sz="4" w:space="0" w:color="auto"/>
            </w:tcBorders>
          </w:tcPr>
          <w:p w14:paraId="502AA08B" w14:textId="77777777" w:rsidR="00756E07" w:rsidRPr="008848D6" w:rsidRDefault="00756E07" w:rsidP="00C22C69">
            <w:pPr>
              <w:pStyle w:val="NoSpacing"/>
              <w:rPr>
                <w:rFonts w:asciiTheme="majorHAnsi" w:hAnsiTheme="majorHAnsi"/>
              </w:rPr>
            </w:pPr>
            <w:r>
              <w:rPr>
                <w:rFonts w:asciiTheme="majorHAnsi" w:hAnsiTheme="majorHAnsi"/>
              </w:rPr>
              <w:t>29-10-2026</w:t>
            </w:r>
          </w:p>
        </w:tc>
        <w:tc>
          <w:tcPr>
            <w:tcW w:w="2295" w:type="dxa"/>
            <w:tcBorders>
              <w:top w:val="dotted" w:sz="4" w:space="0" w:color="auto"/>
              <w:left w:val="dotted" w:sz="4" w:space="0" w:color="auto"/>
              <w:bottom w:val="dotted" w:sz="4" w:space="0" w:color="auto"/>
              <w:right w:val="dotted" w:sz="4" w:space="0" w:color="auto"/>
            </w:tcBorders>
          </w:tcPr>
          <w:p w14:paraId="36AA2461"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6A40BF0A" w14:textId="362582E6" w:rsidR="00756E07" w:rsidRPr="008848D6" w:rsidRDefault="00756E07" w:rsidP="00CB78C5">
            <w:pPr>
              <w:pStyle w:val="NoSpacing"/>
              <w:rPr>
                <w:rFonts w:asciiTheme="majorHAnsi" w:hAnsiTheme="majorHAnsi"/>
              </w:rPr>
            </w:pPr>
            <w:r>
              <w:rPr>
                <w:rFonts w:asciiTheme="majorHAnsi" w:hAnsiTheme="majorHAnsi"/>
              </w:rPr>
              <w:t>Service list aligned with SAD Section 4; cost basis notes the twelve-service case and the us-east-2 warm standby (SAD v1.2); EKS fee for four clusters; MongoDB removed (SAD v1.3); SAD reference updated to v1.4</w:t>
            </w:r>
          </w:p>
        </w:tc>
      </w:tr>
      <w:tr w:rsidR="00756E07" w:rsidRPr="008848D6" w14:paraId="407DF552" w14:textId="77777777" w:rsidTr="00200904">
        <w:tc>
          <w:tcPr>
            <w:tcW w:w="1176" w:type="dxa"/>
            <w:tcBorders>
              <w:top w:val="dotted" w:sz="4" w:space="0" w:color="auto"/>
              <w:left w:val="dotted" w:sz="4" w:space="0" w:color="auto"/>
              <w:bottom w:val="dotted" w:sz="4" w:space="0" w:color="auto"/>
              <w:right w:val="dotted" w:sz="4" w:space="0" w:color="auto"/>
            </w:tcBorders>
          </w:tcPr>
          <w:p w14:paraId="750A5A30" w14:textId="6FBAF026" w:rsidR="00756E07" w:rsidRPr="008848D6" w:rsidRDefault="002A65CA" w:rsidP="00C22C69">
            <w:pPr>
              <w:pStyle w:val="NoSpacing"/>
              <w:rPr>
                <w:rFonts w:asciiTheme="majorHAnsi" w:hAnsiTheme="majorHAnsi"/>
              </w:rPr>
            </w:pPr>
            <w:r>
              <w:rPr>
                <w:rFonts w:asciiTheme="majorHAnsi" w:hAnsiTheme="majorHAnsi"/>
              </w:rPr>
              <w:t>1.2</w:t>
            </w:r>
          </w:p>
        </w:tc>
        <w:tc>
          <w:tcPr>
            <w:tcW w:w="1648" w:type="dxa"/>
            <w:tcBorders>
              <w:top w:val="dotted" w:sz="4" w:space="0" w:color="auto"/>
              <w:left w:val="dotted" w:sz="4" w:space="0" w:color="auto"/>
              <w:bottom w:val="dotted" w:sz="4" w:space="0" w:color="auto"/>
              <w:right w:val="dotted" w:sz="4" w:space="0" w:color="auto"/>
            </w:tcBorders>
          </w:tcPr>
          <w:p w14:paraId="41B54EE8" w14:textId="77777777" w:rsidR="00756E07" w:rsidRPr="008848D6" w:rsidRDefault="00756E07" w:rsidP="00C22C69">
            <w:pPr>
              <w:pStyle w:val="NoSpacing"/>
              <w:rPr>
                <w:rFonts w:asciiTheme="majorHAnsi" w:hAnsiTheme="majorHAnsi"/>
              </w:rPr>
            </w:pPr>
            <w:r>
              <w:rPr>
                <w:rFonts w:asciiTheme="majorHAnsi" w:hAnsiTheme="majorHAnsi"/>
              </w:rPr>
              <w:t>30-10-2026</w:t>
            </w:r>
          </w:p>
        </w:tc>
        <w:tc>
          <w:tcPr>
            <w:tcW w:w="2295" w:type="dxa"/>
            <w:tcBorders>
              <w:top w:val="dotted" w:sz="4" w:space="0" w:color="auto"/>
              <w:left w:val="dotted" w:sz="4" w:space="0" w:color="auto"/>
              <w:bottom w:val="dotted" w:sz="4" w:space="0" w:color="auto"/>
              <w:right w:val="dotted" w:sz="4" w:space="0" w:color="auto"/>
            </w:tcBorders>
          </w:tcPr>
          <w:p w14:paraId="7585368F"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306A705B" w14:textId="362582E6" w:rsidR="00756E07" w:rsidRPr="008848D6" w:rsidRDefault="00756E07" w:rsidP="00CB78C5">
            <w:pPr>
              <w:pStyle w:val="NoSpacing"/>
              <w:rPr>
                <w:rFonts w:asciiTheme="majorHAnsi" w:hAnsiTheme="majorHAnsi"/>
              </w:rPr>
            </w:pPr>
            <w:r>
              <w:rPr>
                <w:rFonts w:asciiTheme="majorHAnsi" w:hAnsiTheme="majorHAnsi"/>
              </w:rPr>
              <w:t>Section 4.5 cut to a summary of the ECS vs EKS result, the matrix and feature table being in the companion DAR; Kubernetes candidate labelled EKS on EC2 nodes in Sections 3, 4.2 and 4.3</w:t>
            </w:r>
          </w:p>
        </w:tc>
      </w:tr>
      <w:tr w:rsidR="00756E07" w:rsidRPr="008848D6" w14:paraId="78DFAB29" w14:textId="77777777" w:rsidTr="00756E07">
        <w:tc>
          <w:tcPr>
            <w:tcW w:w="1176" w:type="dxa"/>
            <w:tcBorders>
              <w:top w:val="dotted" w:sz="4" w:space="0" w:color="auto"/>
              <w:left w:val="dotted" w:sz="4" w:space="0" w:color="auto"/>
              <w:bottom w:val="dotted" w:sz="4" w:space="0" w:color="auto"/>
              <w:right w:val="dotted" w:sz="4" w:space="0" w:color="auto"/>
            </w:tcBorders>
          </w:tcPr>
          <w:p w14:paraId="1AC2A30C" w14:textId="77777777" w:rsidR="00756E07" w:rsidRPr="008848D6" w:rsidRDefault="00756E07" w:rsidP="00C22C69">
            <w:pPr>
              <w:pStyle w:val="NoSpacing"/>
              <w:rPr>
                <w:rFonts w:asciiTheme="majorHAnsi" w:hAnsiTheme="majorHAnsi"/>
              </w:rPr>
            </w:pPr>
            <w:r>
              <w:rPr>
                <w:rFonts w:asciiTheme="majorHAnsi" w:hAnsiTheme="majorHAnsi"/>
              </w:rPr>
              <w:t>2.0</w:t>
            </w:r>
          </w:p>
        </w:tc>
        <w:tc>
          <w:tcPr>
            <w:tcW w:w="1648" w:type="dxa"/>
            <w:tcBorders>
              <w:top w:val="dotted" w:sz="4" w:space="0" w:color="auto"/>
              <w:left w:val="dotted" w:sz="4" w:space="0" w:color="auto"/>
              <w:bottom w:val="dotted" w:sz="4" w:space="0" w:color="auto"/>
              <w:right w:val="dotted" w:sz="4" w:space="0" w:color="auto"/>
            </w:tcBorders>
          </w:tcPr>
          <w:p w14:paraId="37F5BBC8" w14:textId="77777777" w:rsidR="00756E07" w:rsidRPr="008848D6" w:rsidRDefault="00756E07" w:rsidP="00CB78C5">
            <w:pPr>
              <w:pStyle w:val="NoSpacing"/>
              <w:rPr>
                <w:rFonts w:asciiTheme="majorHAnsi" w:hAnsiTheme="majorHAnsi"/>
              </w:rPr>
            </w:pPr>
            <w:r>
              <w:rPr>
                <w:rFonts w:asciiTheme="majorHAnsi" w:hAnsiTheme="majorHAnsi"/>
              </w:rPr>
              <w:t>30-10-2026</w:t>
            </w:r>
          </w:p>
        </w:tc>
        <w:tc>
          <w:tcPr>
            <w:tcW w:w="2295" w:type="dxa"/>
            <w:tcBorders>
              <w:top w:val="dotted" w:sz="4" w:space="0" w:color="auto"/>
              <w:left w:val="dotted" w:sz="4" w:space="0" w:color="auto"/>
              <w:bottom w:val="dotted" w:sz="4" w:space="0" w:color="auto"/>
              <w:right w:val="dotted" w:sz="4" w:space="0" w:color="auto"/>
            </w:tcBorders>
          </w:tcPr>
          <w:p w14:paraId="6931B8E0" w14:textId="77777777" w:rsidR="00756E07" w:rsidRPr="008848D6" w:rsidRDefault="00756E07" w:rsidP="0041450E">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338E65AF" w14:textId="77777777" w:rsidR="00756E07" w:rsidRPr="008848D6" w:rsidRDefault="00756E07" w:rsidP="0041450E">
            <w:pPr>
              <w:pStyle w:val="NoSpacing"/>
              <w:rPr>
                <w:rFonts w:asciiTheme="majorHAnsi" w:hAnsiTheme="majorHAnsi"/>
              </w:rPr>
            </w:pPr>
            <w:r>
              <w:rPr>
                <w:rFonts w:asciiTheme="majorHAnsi" w:hAnsiTheme="majorHAnsi"/>
              </w:rPr>
              <w:t>Combined with the Container Orchestrator DAR (Amazon ECS vs Amazon EKS) v2.2, which is retired: the orchestrator comparison is now Section 5; one requirement traceability table, one description per option, one recommendation; assumptions, risks and references merged; compute sensitivity added (Section 4.5); SAD reference updated to v1.8</w:t>
            </w:r>
          </w:p>
        </w:tc>
      </w:tr>
      <w:tr w:rsidR="00756E07" w:rsidRPr="008848D6" w14:paraId="3F3D5A37" w14:textId="77777777" w:rsidTr="00756E07">
        <w:tc>
          <w:tcPr>
            <w:tcW w:w="1176" w:type="dxa"/>
            <w:tcBorders>
              <w:top w:val="dotted" w:sz="4" w:space="0" w:color="auto"/>
              <w:left w:val="dotted" w:sz="4" w:space="0" w:color="auto"/>
              <w:bottom w:val="dotted" w:sz="4" w:space="0" w:color="auto"/>
              <w:right w:val="dotted" w:sz="4" w:space="0" w:color="auto"/>
            </w:tcBorders>
          </w:tcPr>
          <w:p w14:paraId="3069E7C7" w14:textId="77777777" w:rsidR="00756E07" w:rsidRPr="008848D6" w:rsidRDefault="00756E07" w:rsidP="00C22C69">
            <w:pPr>
              <w:pStyle w:val="NoSpacing"/>
              <w:rPr>
                <w:rFonts w:asciiTheme="majorHAnsi" w:hAnsiTheme="majorHAnsi"/>
              </w:rPr>
            </w:pPr>
            <w:r>
              <w:rPr>
                <w:rFonts w:asciiTheme="majorHAnsi" w:hAnsiTheme="majorHAnsi"/>
              </w:rPr>
              <w:t>2.1</w:t>
            </w:r>
          </w:p>
        </w:tc>
        <w:tc>
          <w:tcPr>
            <w:tcW w:w="1648" w:type="dxa"/>
            <w:tcBorders>
              <w:top w:val="dotted" w:sz="4" w:space="0" w:color="auto"/>
              <w:left w:val="dotted" w:sz="4" w:space="0" w:color="auto"/>
              <w:bottom w:val="dotted" w:sz="4" w:space="0" w:color="auto"/>
              <w:right w:val="dotted" w:sz="4" w:space="0" w:color="auto"/>
            </w:tcBorders>
          </w:tcPr>
          <w:p w14:paraId="227A22AE" w14:textId="77777777" w:rsidR="00756E07" w:rsidRPr="008848D6" w:rsidRDefault="00756E07" w:rsidP="00CB78C5">
            <w:pPr>
              <w:pStyle w:val="NoSpacing"/>
              <w:rPr>
                <w:rFonts w:asciiTheme="majorHAnsi" w:hAnsiTheme="majorHAnsi"/>
              </w:rPr>
            </w:pPr>
            <w:r>
              <w:rPr>
                <w:rFonts w:asciiTheme="majorHAnsi" w:hAnsiTheme="majorHAnsi"/>
              </w:rPr>
              <w:t>30-10-2026</w:t>
            </w:r>
          </w:p>
        </w:tc>
        <w:tc>
          <w:tcPr>
            <w:tcW w:w="2295" w:type="dxa"/>
            <w:tcBorders>
              <w:top w:val="dotted" w:sz="4" w:space="0" w:color="auto"/>
              <w:left w:val="dotted" w:sz="4" w:space="0" w:color="auto"/>
              <w:bottom w:val="dotted" w:sz="4" w:space="0" w:color="auto"/>
              <w:right w:val="dotted" w:sz="4" w:space="0" w:color="auto"/>
            </w:tcBorders>
          </w:tcPr>
          <w:p w14:paraId="6544AF53" w14:textId="77777777" w:rsidR="00756E07" w:rsidRPr="008848D6" w:rsidRDefault="00756E07" w:rsidP="0041450E">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131749AA" w14:textId="77777777" w:rsidR="00756E07" w:rsidRPr="008848D6" w:rsidRDefault="00756E07" w:rsidP="0041450E">
            <w:pPr>
              <w:pStyle w:val="NoSpacing"/>
              <w:rPr>
                <w:rFonts w:asciiTheme="majorHAnsi" w:hAnsiTheme="majorHAnsi"/>
              </w:rPr>
            </w:pPr>
            <w:r>
              <w:rPr>
                <w:rFonts w:asciiTheme="majorHAnsi" w:hAnsiTheme="majorHAnsi"/>
              </w:rPr>
              <w:t>Aligned with SAD v1.9: thirteen Layer 3 services plus the Auth Service (the fourteen-service case in Sections 4.4 and 5.4 and risk R4); the mobile app as a client; scheduled jobs on EventBridge Scheduler and Lambda; RDS Proxy in the Lambda cost note; SAD reference updated to v1.9</w:t>
            </w:r>
          </w:p>
        </w:tc>
      </w:tr>
    </w:tbl>
    <w:p w14:paraId="4CA539EA" w14:textId="77777777" w:rsidR="00756E07" w:rsidRPr="008848D6" w:rsidRDefault="00756E07" w:rsidP="00C22C69">
      <w:pPr>
        <w:pStyle w:val="NoSpacing"/>
        <w:rPr>
          <w:rFonts w:asciiTheme="majorHAnsi" w:hAnsiTheme="majorHAnsi"/>
        </w:rPr>
      </w:pPr>
    </w:p>
    <w:p w14:paraId="79AB9FEB"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4822F960" w14:textId="77777777" w:rsidR="00756E07" w:rsidRPr="008848D6" w:rsidRDefault="00756E07" w:rsidP="00C22C69">
          <w:pPr>
            <w:pStyle w:val="TOCHeading"/>
            <w:spacing w:line="240" w:lineRule="auto"/>
          </w:pPr>
          <w:r w:rsidRPr="008848D6">
            <w:t>Contents</w:t>
          </w:r>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300000001" w:history="1">
            <w:r w:rsidR="00ED2AFB" w:rsidRPr="00AF2414">
              <w:rPr>
                <w:rStyle w:val="Hyperlink"/>
                <w:noProof/>
              </w:rPr>
              <w:t>1</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Introduction</w:t>
            </w:r>
            <w:r w:rsidR="00ED2AFB">
              <w:rPr>
                <w:noProof/>
                <w:webHidden/>
              </w:rPr>
              <w:tab/>
            </w:r>
            <w:r w:rsidR="00ED2AFB">
              <w:rPr>
                <w:noProof/>
                <w:webHidden/>
              </w:rPr>
              <w:fldChar w:fldCharType="begin"/>
            </w:r>
            <w:r w:rsidR="00ED2AFB">
              <w:rPr>
                <w:noProof/>
                <w:webHidden/>
              </w:rPr>
              <w:instrText xml:space="preserve"> PAGEREF _Toc300000001 \h </w:instrText>
            </w:r>
            <w:r w:rsidR="00ED2AFB">
              <w:rPr>
                <w:noProof/>
                <w:webHidden/>
              </w:rPr>
            </w:r>
            <w:r w:rsidR="00ED2AFB">
              <w:rPr>
                <w:noProof/>
                <w:webHidden/>
              </w:rPr>
              <w:fldChar w:fldCharType="separate"/>
            </w:r>
            <w:r w:rsidR="00ED2AFB">
              <w:rPr>
                <w:noProof/>
                <w:webHidden/>
              </w:rPr>
              <w:t>5</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2" w:history="1">
            <w:r w:rsidRPr="00AF2414">
              <w:rPr>
                <w:rStyle w:val="Hyperlink"/>
                <w:noProof/>
              </w:rPr>
              <w:t>1.1</w:t>
            </w:r>
            <w:r>
              <w:rPr>
                <w:rFonts w:asciiTheme="minorHAnsi" w:hAnsiTheme="minorHAnsi"/>
                <w:noProof/>
                <w:kern w:val="2"/>
                <w:sz w:val="24"/>
                <w:szCs w:val="24"/>
                <w:lang w:val="en-IN" w:eastAsia="en-IN"/>
                <w14:ligatures w14:val="standardContextual"/>
              </w:rPr>
              <w:tab/>
            </w:r>
            <w:r w:rsidRPr="00AF2414">
              <w:rPr>
                <w:rStyle w:val="Hyperlink"/>
                <w:noProof/>
              </w:rPr>
              <w:t>Objective and scope of the document</w:t>
            </w:r>
            <w:r>
              <w:rPr>
                <w:noProof/>
                <w:webHidden/>
              </w:rPr>
              <w:tab/>
            </w:r>
            <w:r>
              <w:rPr>
                <w:noProof/>
                <w:webHidden/>
              </w:rPr>
              <w:fldChar w:fldCharType="begin"/>
            </w:r>
            <w:r>
              <w:rPr>
                <w:noProof/>
                <w:webHidden/>
              </w:rPr>
              <w:instrText xml:space="preserve"> PAGEREF _Toc300000002 \h </w:instrText>
            </w:r>
            <w:r>
              <w:rPr>
                <w:noProof/>
                <w:webHidden/>
              </w:rPr>
            </w:r>
            <w:r>
              <w:rPr>
                <w:noProof/>
                <w:webHidden/>
              </w:rPr>
              <w:fldChar w:fldCharType="separate"/>
            </w:r>
            <w:r>
              <w:rPr>
                <w:noProof/>
                <w:webHidden/>
              </w:rPr>
              <w:t>5</w:t>
            </w:r>
            <w:r>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03" w:history="1">
            <w:r w:rsidR="00ED2AFB" w:rsidRPr="00AF2414">
              <w:rPr>
                <w:rStyle w:val="Hyperlink"/>
                <w:noProof/>
              </w:rPr>
              <w:t>2</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Requirements at a Glance</w:t>
            </w:r>
            <w:r w:rsidR="00ED2AFB">
              <w:rPr>
                <w:noProof/>
                <w:webHidden/>
              </w:rPr>
              <w:tab/>
            </w:r>
            <w:r w:rsidR="00ED2AFB">
              <w:rPr>
                <w:noProof/>
                <w:webHidden/>
              </w:rPr>
              <w:fldChar w:fldCharType="begin"/>
            </w:r>
            <w:r w:rsidR="00ED2AFB">
              <w:rPr>
                <w:noProof/>
                <w:webHidden/>
              </w:rPr>
              <w:instrText xml:space="preserve"> PAGEREF _Toc300000003 \h </w:instrText>
            </w:r>
            <w:r w:rsidR="00ED2AFB">
              <w:rPr>
                <w:noProof/>
                <w:webHidden/>
              </w:rPr>
            </w:r>
            <w:r w:rsidR="00ED2AFB">
              <w:rPr>
                <w:noProof/>
                <w:webHidden/>
              </w:rPr>
              <w:fldChar w:fldCharType="separate"/>
            </w:r>
            <w:r w:rsidR="00ED2AFB">
              <w:rPr>
                <w:noProof/>
                <w:webHidden/>
              </w:rPr>
              <w:t>7</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4" w:history="1">
            <w:r w:rsidRPr="00AF2414">
              <w:rPr>
                <w:rStyle w:val="Hyperlink"/>
                <w:noProof/>
              </w:rPr>
              <w:t>2.1</w:t>
            </w:r>
            <w:r>
              <w:rPr>
                <w:rFonts w:asciiTheme="minorHAnsi" w:hAnsiTheme="minorHAnsi"/>
                <w:noProof/>
                <w:kern w:val="2"/>
                <w:sz w:val="24"/>
                <w:szCs w:val="24"/>
                <w:lang w:val="en-IN" w:eastAsia="en-IN"/>
                <w14:ligatures w14:val="standardContextual"/>
              </w:rPr>
              <w:tab/>
            </w:r>
            <w:r w:rsidRPr="00AF2414">
              <w:rPr>
                <w:rStyle w:val="Hyperlink"/>
                <w:noProof/>
              </w:rPr>
              <w:t>Functional Requirements</w:t>
            </w:r>
            <w:r>
              <w:rPr>
                <w:noProof/>
                <w:webHidden/>
              </w:rPr>
              <w:tab/>
            </w:r>
            <w:r>
              <w:rPr>
                <w:noProof/>
                <w:webHidden/>
              </w:rPr>
              <w:fldChar w:fldCharType="begin"/>
            </w:r>
            <w:r>
              <w:rPr>
                <w:noProof/>
                <w:webHidden/>
              </w:rPr>
              <w:instrText xml:space="preserve"> PAGEREF _Toc300000004 \h </w:instrText>
            </w:r>
            <w:r>
              <w:rPr>
                <w:noProof/>
                <w:webHidden/>
              </w:rPr>
            </w:r>
            <w:r>
              <w:rPr>
                <w:noProof/>
                <w:webHidden/>
              </w:rPr>
              <w:fldChar w:fldCharType="separate"/>
            </w:r>
            <w:r>
              <w:rPr>
                <w:noProof/>
                <w:webHidden/>
              </w:rPr>
              <w:t>7</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5" w:history="1">
            <w:r w:rsidRPr="00AF2414">
              <w:rPr>
                <w:rStyle w:val="Hyperlink"/>
                <w:noProof/>
              </w:rPr>
              <w:t>2.2</w:t>
            </w:r>
            <w:r>
              <w:rPr>
                <w:rFonts w:asciiTheme="minorHAnsi" w:hAnsiTheme="minorHAnsi"/>
                <w:noProof/>
                <w:kern w:val="2"/>
                <w:sz w:val="24"/>
                <w:szCs w:val="24"/>
                <w:lang w:val="en-IN" w:eastAsia="en-IN"/>
                <w14:ligatures w14:val="standardContextual"/>
              </w:rPr>
              <w:tab/>
            </w:r>
            <w:r w:rsidRPr="00AF2414">
              <w:rPr>
                <w:rStyle w:val="Hyperlink"/>
                <w:noProof/>
              </w:rPr>
              <w:t>Non-Functional Requirements</w:t>
            </w:r>
            <w:r>
              <w:rPr>
                <w:noProof/>
                <w:webHidden/>
              </w:rPr>
              <w:tab/>
            </w:r>
            <w:r>
              <w:rPr>
                <w:noProof/>
                <w:webHidden/>
              </w:rPr>
              <w:fldChar w:fldCharType="begin"/>
            </w:r>
            <w:r>
              <w:rPr>
                <w:noProof/>
                <w:webHidden/>
              </w:rPr>
              <w:instrText xml:space="preserve"> PAGEREF _Toc300000005 \h </w:instrText>
            </w:r>
            <w:r>
              <w:rPr>
                <w:noProof/>
                <w:webHidden/>
              </w:rPr>
            </w:r>
            <w:r>
              <w:rPr>
                <w:noProof/>
                <w:webHidden/>
              </w:rPr>
              <w:fldChar w:fldCharType="separate"/>
            </w:r>
            <w:r>
              <w:rPr>
                <w:noProof/>
                <w:webHidden/>
              </w:rPr>
              <w:t>7</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6" w:history="1">
            <w:r w:rsidRPr="00AF2414">
              <w:rPr>
                <w:rStyle w:val="Hyperlink"/>
                <w:noProof/>
              </w:rPr>
              <w:t>2.3</w:t>
            </w:r>
            <w:r>
              <w:rPr>
                <w:rFonts w:asciiTheme="minorHAnsi" w:hAnsiTheme="minorHAnsi"/>
                <w:noProof/>
                <w:kern w:val="2"/>
                <w:sz w:val="24"/>
                <w:szCs w:val="24"/>
                <w:lang w:val="en-IN" w:eastAsia="en-IN"/>
                <w14:ligatures w14:val="standardContextual"/>
              </w:rPr>
              <w:tab/>
            </w:r>
            <w:r w:rsidRPr="00AF2414">
              <w:rPr>
                <w:rStyle w:val="Hyperlink"/>
                <w:noProof/>
              </w:rPr>
              <w:t>Requirement traceability</w:t>
            </w:r>
            <w:r>
              <w:rPr>
                <w:noProof/>
                <w:webHidden/>
              </w:rPr>
              <w:tab/>
            </w:r>
            <w:r>
              <w:rPr>
                <w:noProof/>
                <w:webHidden/>
              </w:rPr>
              <w:fldChar w:fldCharType="begin"/>
            </w:r>
            <w:r>
              <w:rPr>
                <w:noProof/>
                <w:webHidden/>
              </w:rPr>
              <w:instrText xml:space="preserve"> PAGEREF _Toc300000006 \h </w:instrText>
            </w:r>
            <w:r>
              <w:rPr>
                <w:noProof/>
                <w:webHidden/>
              </w:rPr>
            </w:r>
            <w:r>
              <w:rPr>
                <w:noProof/>
                <w:webHidden/>
              </w:rPr>
              <w:fldChar w:fldCharType="separate"/>
            </w:r>
            <w:r>
              <w:rPr>
                <w:noProof/>
                <w:webHidden/>
              </w:rPr>
              <w:t>8</w:t>
            </w:r>
            <w:r>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07" w:history="1">
            <w:r w:rsidR="00ED2AFB" w:rsidRPr="00AF2414">
              <w:rPr>
                <w:rStyle w:val="Hyperlink"/>
                <w:noProof/>
              </w:rPr>
              <w:t>3</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Available tools</w:t>
            </w:r>
            <w:r w:rsidR="00ED2AFB">
              <w:rPr>
                <w:noProof/>
                <w:webHidden/>
              </w:rPr>
              <w:tab/>
            </w:r>
            <w:r w:rsidR="00ED2AFB">
              <w:rPr>
                <w:noProof/>
                <w:webHidden/>
              </w:rPr>
              <w:fldChar w:fldCharType="begin"/>
            </w:r>
            <w:r w:rsidR="00ED2AFB">
              <w:rPr>
                <w:noProof/>
                <w:webHidden/>
              </w:rPr>
              <w:instrText xml:space="preserve"> PAGEREF _Toc300000007 \h </w:instrText>
            </w:r>
            <w:r w:rsidR="00ED2AFB">
              <w:rPr>
                <w:noProof/>
                <w:webHidden/>
              </w:rPr>
            </w:r>
            <w:r w:rsidR="00ED2AFB">
              <w:rPr>
                <w:noProof/>
                <w:webHidden/>
              </w:rPr>
              <w:fldChar w:fldCharType="separate"/>
            </w:r>
            <w:r w:rsidR="00ED2AFB">
              <w:rPr>
                <w:noProof/>
                <w:webHidden/>
              </w:rPr>
              <w:t>11</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8" w:history="1">
            <w:r w:rsidRPr="00AF2414">
              <w:rPr>
                <w:rStyle w:val="Hyperlink"/>
                <w:noProof/>
              </w:rPr>
              <w:t>3.1</w:t>
            </w:r>
            <w:r>
              <w:rPr>
                <w:rFonts w:asciiTheme="minorHAnsi" w:hAnsiTheme="minorHAnsi"/>
                <w:noProof/>
                <w:kern w:val="2"/>
                <w:sz w:val="24"/>
                <w:szCs w:val="24"/>
                <w:lang w:val="en-IN" w:eastAsia="en-IN"/>
                <w14:ligatures w14:val="standardContextual"/>
              </w:rPr>
              <w:tab/>
            </w:r>
            <w:r w:rsidRPr="00AF2414">
              <w:rPr>
                <w:rStyle w:val="Hyperlink"/>
                <w:noProof/>
              </w:rPr>
              <w:t>Serverless Functions (AWS Lambda)</w:t>
            </w:r>
            <w:r>
              <w:rPr>
                <w:noProof/>
                <w:webHidden/>
              </w:rPr>
              <w:tab/>
            </w:r>
            <w:r>
              <w:rPr>
                <w:noProof/>
                <w:webHidden/>
              </w:rPr>
              <w:fldChar w:fldCharType="begin"/>
            </w:r>
            <w:r>
              <w:rPr>
                <w:noProof/>
                <w:webHidden/>
              </w:rPr>
              <w:instrText xml:space="preserve"> PAGEREF _Toc300000008 \h </w:instrText>
            </w:r>
            <w:r>
              <w:rPr>
                <w:noProof/>
                <w:webHidden/>
              </w:rPr>
            </w:r>
            <w:r>
              <w:rPr>
                <w:noProof/>
                <w:webHidden/>
              </w:rPr>
              <w:fldChar w:fldCharType="separate"/>
            </w:r>
            <w:r>
              <w:rPr>
                <w:noProof/>
                <w:webHidden/>
              </w:rPr>
              <w:t>11</w:t>
            </w:r>
            <w:r>
              <w:rPr>
                <w:noProof/>
                <w:webHidden/>
              </w:rPr>
              <w:fldChar w:fldCharType="end"/>
            </w:r>
          </w:hyperlink>
        </w:p>
        <w:p w14:paraId="48E3610E" w14:textId="477B1D53" w:rsidR="00ED2AFB" w:rsidRDefault="00ED2AFB">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09" w:history="1">
            <w:r w:rsidRPr="00AF2414">
              <w:rPr>
                <w:rStyle w:val="Hyperlink"/>
                <w:noProof/>
              </w:rPr>
              <w:t>3.1.1</w:t>
            </w:r>
            <w:r>
              <w:rPr>
                <w:rFonts w:asciiTheme="minorHAnsi" w:hAnsiTheme="minorHAnsi"/>
                <w:noProof/>
                <w:kern w:val="2"/>
                <w:sz w:val="24"/>
                <w:szCs w:val="24"/>
                <w:lang w:val="en-IN" w:eastAsia="en-IN"/>
                <w14:ligatures w14:val="standardContextual"/>
              </w:rPr>
              <w:tab/>
            </w:r>
            <w:r w:rsidRPr="00AF2414">
              <w:rPr>
                <w:rStyle w:val="Hyperlink"/>
                <w:noProof/>
              </w:rPr>
              <w:t>Key Features</w:t>
            </w:r>
            <w:r>
              <w:rPr>
                <w:noProof/>
                <w:webHidden/>
              </w:rPr>
              <w:tab/>
            </w:r>
            <w:r>
              <w:rPr>
                <w:noProof/>
                <w:webHidden/>
              </w:rPr>
              <w:fldChar w:fldCharType="begin"/>
            </w:r>
            <w:r>
              <w:rPr>
                <w:noProof/>
                <w:webHidden/>
              </w:rPr>
              <w:instrText xml:space="preserve"> PAGEREF _Toc300000009 \h </w:instrText>
            </w:r>
            <w:r>
              <w:rPr>
                <w:noProof/>
                <w:webHidden/>
              </w:rPr>
            </w:r>
            <w:r>
              <w:rPr>
                <w:noProof/>
                <w:webHidden/>
              </w:rPr>
              <w:fldChar w:fldCharType="separate"/>
            </w:r>
            <w:r>
              <w:rPr>
                <w:noProof/>
                <w:webHidden/>
              </w:rPr>
              <w:t>12</w:t>
            </w:r>
            <w:r>
              <w:rPr>
                <w:noProof/>
                <w:webHidden/>
              </w:rPr>
              <w:fldChar w:fldCharType="end"/>
            </w:r>
          </w:hyperlink>
        </w:p>
        <w:p w14:paraId="48E3610E" w14:textId="477B1D53" w:rsidR="00ED2AFB" w:rsidRDefault="00ED2AFB">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0" w:history="1">
            <w:r w:rsidRPr="00AF2414">
              <w:rPr>
                <w:rStyle w:val="Hyperlink"/>
                <w:noProof/>
              </w:rPr>
              <w:t>3.1.2</w:t>
            </w:r>
            <w:r>
              <w:rPr>
                <w:rFonts w:asciiTheme="minorHAnsi" w:hAnsiTheme="minorHAnsi"/>
                <w:noProof/>
                <w:kern w:val="2"/>
                <w:sz w:val="24"/>
                <w:szCs w:val="24"/>
                <w:lang w:val="en-IN" w:eastAsia="en-IN"/>
                <w14:ligatures w14:val="standardContextual"/>
              </w:rPr>
              <w:tab/>
            </w:r>
            <w:r w:rsidRPr="00AF2414">
              <w:rPr>
                <w:rStyle w:val="Hyperlink"/>
                <w:noProof/>
              </w:rPr>
              <w:t>Pricing Model</w:t>
            </w:r>
            <w:r>
              <w:rPr>
                <w:noProof/>
                <w:webHidden/>
              </w:rPr>
              <w:tab/>
            </w:r>
            <w:r>
              <w:rPr>
                <w:noProof/>
                <w:webHidden/>
              </w:rPr>
              <w:fldChar w:fldCharType="begin"/>
            </w:r>
            <w:r>
              <w:rPr>
                <w:noProof/>
                <w:webHidden/>
              </w:rPr>
              <w:instrText xml:space="preserve"> PAGEREF _Toc300000010 \h </w:instrText>
            </w:r>
            <w:r>
              <w:rPr>
                <w:noProof/>
                <w:webHidden/>
              </w:rPr>
            </w:r>
            <w:r>
              <w:rPr>
                <w:noProof/>
                <w:webHidden/>
              </w:rPr>
              <w:fldChar w:fldCharType="separate"/>
            </w:r>
            <w:r>
              <w:rPr>
                <w:noProof/>
                <w:webHidden/>
              </w:rPr>
              <w:t>12</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1" w:history="1">
            <w:r w:rsidRPr="00AF2414">
              <w:rPr>
                <w:rStyle w:val="Hyperlink"/>
                <w:noProof/>
              </w:rPr>
              <w:t>3.2</w:t>
            </w:r>
            <w:r>
              <w:rPr>
                <w:rFonts w:asciiTheme="minorHAnsi" w:hAnsiTheme="minorHAnsi"/>
                <w:noProof/>
                <w:kern w:val="2"/>
                <w:sz w:val="24"/>
                <w:szCs w:val="24"/>
                <w:lang w:val="en-IN" w:eastAsia="en-IN"/>
                <w14:ligatures w14:val="standardContextual"/>
              </w:rPr>
              <w:tab/>
            </w:r>
            <w:r w:rsidRPr="00AF2414">
              <w:rPr>
                <w:rStyle w:val="Hyperlink"/>
                <w:noProof/>
              </w:rPr>
              <w:t>Serverless Containers (Amazon ECS on AWS Fargate)</w:t>
            </w:r>
            <w:r>
              <w:rPr>
                <w:noProof/>
                <w:webHidden/>
              </w:rPr>
              <w:tab/>
            </w:r>
            <w:r>
              <w:rPr>
                <w:noProof/>
                <w:webHidden/>
              </w:rPr>
              <w:fldChar w:fldCharType="begin"/>
            </w:r>
            <w:r>
              <w:rPr>
                <w:noProof/>
                <w:webHidden/>
              </w:rPr>
              <w:instrText xml:space="preserve"> PAGEREF _Toc300000011 \h </w:instrText>
            </w:r>
            <w:r>
              <w:rPr>
                <w:noProof/>
                <w:webHidden/>
              </w:rPr>
            </w:r>
            <w:r>
              <w:rPr>
                <w:noProof/>
                <w:webHidden/>
              </w:rPr>
              <w:fldChar w:fldCharType="separate"/>
            </w:r>
            <w:r>
              <w:rPr>
                <w:noProof/>
                <w:webHidden/>
              </w:rPr>
              <w:t>12</w:t>
            </w:r>
            <w:r>
              <w:rPr>
                <w:noProof/>
                <w:webHidden/>
              </w:rPr>
              <w:fldChar w:fldCharType="end"/>
            </w:r>
          </w:hyperlink>
        </w:p>
        <w:p w14:paraId="48E3610E" w14:textId="477B1D53" w:rsidR="00ED2AFB" w:rsidRDefault="00ED2AFB">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2" w:history="1">
            <w:r w:rsidRPr="00AF2414">
              <w:rPr>
                <w:rStyle w:val="Hyperlink"/>
                <w:noProof/>
              </w:rPr>
              <w:t>3.2.1</w:t>
            </w:r>
            <w:r>
              <w:rPr>
                <w:rFonts w:asciiTheme="minorHAnsi" w:hAnsiTheme="minorHAnsi"/>
                <w:noProof/>
                <w:kern w:val="2"/>
                <w:sz w:val="24"/>
                <w:szCs w:val="24"/>
                <w:lang w:val="en-IN" w:eastAsia="en-IN"/>
                <w14:ligatures w14:val="standardContextual"/>
              </w:rPr>
              <w:tab/>
            </w:r>
            <w:r w:rsidRPr="00AF2414">
              <w:rPr>
                <w:rStyle w:val="Hyperlink"/>
                <w:noProof/>
              </w:rPr>
              <w:t>Key Features</w:t>
            </w:r>
            <w:r>
              <w:rPr>
                <w:noProof/>
                <w:webHidden/>
              </w:rPr>
              <w:tab/>
            </w:r>
            <w:r>
              <w:rPr>
                <w:noProof/>
                <w:webHidden/>
              </w:rPr>
              <w:fldChar w:fldCharType="begin"/>
            </w:r>
            <w:r>
              <w:rPr>
                <w:noProof/>
                <w:webHidden/>
              </w:rPr>
              <w:instrText xml:space="preserve"> PAGEREF _Toc300000012 \h </w:instrText>
            </w:r>
            <w:r>
              <w:rPr>
                <w:noProof/>
                <w:webHidden/>
              </w:rPr>
            </w:r>
            <w:r>
              <w:rPr>
                <w:noProof/>
                <w:webHidden/>
              </w:rPr>
              <w:fldChar w:fldCharType="separate"/>
            </w:r>
            <w:r>
              <w:rPr>
                <w:noProof/>
                <w:webHidden/>
              </w:rPr>
              <w:t>13</w:t>
            </w:r>
            <w:r>
              <w:rPr>
                <w:noProof/>
                <w:webHidden/>
              </w:rPr>
              <w:fldChar w:fldCharType="end"/>
            </w:r>
          </w:hyperlink>
        </w:p>
        <w:p w14:paraId="48E3610E" w14:textId="477B1D53" w:rsidR="00ED2AFB" w:rsidRDefault="00ED2AFB">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3" w:history="1">
            <w:r w:rsidRPr="00AF2414">
              <w:rPr>
                <w:rStyle w:val="Hyperlink"/>
                <w:noProof/>
              </w:rPr>
              <w:t>3.2.2</w:t>
            </w:r>
            <w:r>
              <w:rPr>
                <w:rFonts w:asciiTheme="minorHAnsi" w:hAnsiTheme="minorHAnsi"/>
                <w:noProof/>
                <w:kern w:val="2"/>
                <w:sz w:val="24"/>
                <w:szCs w:val="24"/>
                <w:lang w:val="en-IN" w:eastAsia="en-IN"/>
                <w14:ligatures w14:val="standardContextual"/>
              </w:rPr>
              <w:tab/>
            </w:r>
            <w:r w:rsidRPr="00AF2414">
              <w:rPr>
                <w:rStyle w:val="Hyperlink"/>
                <w:noProof/>
              </w:rPr>
              <w:t>Pricing Model</w:t>
            </w:r>
            <w:r>
              <w:rPr>
                <w:noProof/>
                <w:webHidden/>
              </w:rPr>
              <w:tab/>
            </w:r>
            <w:r>
              <w:rPr>
                <w:noProof/>
                <w:webHidden/>
              </w:rPr>
              <w:fldChar w:fldCharType="begin"/>
            </w:r>
            <w:r>
              <w:rPr>
                <w:noProof/>
                <w:webHidden/>
              </w:rPr>
              <w:instrText xml:space="preserve"> PAGEREF _Toc300000013 \h </w:instrText>
            </w:r>
            <w:r>
              <w:rPr>
                <w:noProof/>
                <w:webHidden/>
              </w:rPr>
            </w:r>
            <w:r>
              <w:rPr>
                <w:noProof/>
                <w:webHidden/>
              </w:rPr>
              <w:fldChar w:fldCharType="separate"/>
            </w:r>
            <w:r>
              <w:rPr>
                <w:noProof/>
                <w:webHidden/>
              </w:rPr>
              <w:t>14</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4" w:history="1">
            <w:r w:rsidRPr="00AF2414">
              <w:rPr>
                <w:rStyle w:val="Hyperlink"/>
                <w:noProof/>
              </w:rPr>
              <w:t>3.3</w:t>
            </w:r>
            <w:r>
              <w:rPr>
                <w:rFonts w:asciiTheme="minorHAnsi" w:hAnsiTheme="minorHAnsi"/>
                <w:noProof/>
                <w:kern w:val="2"/>
                <w:sz w:val="24"/>
                <w:szCs w:val="24"/>
                <w:lang w:val="en-IN" w:eastAsia="en-IN"/>
                <w14:ligatures w14:val="standardContextual"/>
              </w:rPr>
              <w:tab/>
            </w:r>
            <w:r w:rsidRPr="00AF2414">
              <w:rPr>
                <w:rStyle w:val="Hyperlink"/>
                <w:noProof/>
              </w:rPr>
              <w:t>Kubernetes (Amazon EKS)</w:t>
            </w:r>
            <w:r>
              <w:rPr>
                <w:noProof/>
                <w:webHidden/>
              </w:rPr>
              <w:tab/>
            </w:r>
            <w:r>
              <w:rPr>
                <w:noProof/>
                <w:webHidden/>
              </w:rPr>
              <w:fldChar w:fldCharType="begin"/>
            </w:r>
            <w:r>
              <w:rPr>
                <w:noProof/>
                <w:webHidden/>
              </w:rPr>
              <w:instrText xml:space="preserve"> PAGEREF _Toc300000014 \h </w:instrText>
            </w:r>
            <w:r>
              <w:rPr>
                <w:noProof/>
                <w:webHidden/>
              </w:rPr>
            </w:r>
            <w:r>
              <w:rPr>
                <w:noProof/>
                <w:webHidden/>
              </w:rPr>
              <w:fldChar w:fldCharType="separate"/>
            </w:r>
            <w:r>
              <w:rPr>
                <w:noProof/>
                <w:webHidden/>
              </w:rPr>
              <w:t>15</w:t>
            </w:r>
            <w:r>
              <w:rPr>
                <w:noProof/>
                <w:webHidden/>
              </w:rPr>
              <w:fldChar w:fldCharType="end"/>
            </w:r>
          </w:hyperlink>
        </w:p>
        <w:p w14:paraId="48E3610E" w14:textId="477B1D53" w:rsidR="00ED2AFB" w:rsidRDefault="00ED2AFB">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5" w:history="1">
            <w:r w:rsidRPr="00AF2414">
              <w:rPr>
                <w:rStyle w:val="Hyperlink"/>
                <w:noProof/>
              </w:rPr>
              <w:t>3.3.1</w:t>
            </w:r>
            <w:r>
              <w:rPr>
                <w:rFonts w:asciiTheme="minorHAnsi" w:hAnsiTheme="minorHAnsi"/>
                <w:noProof/>
                <w:kern w:val="2"/>
                <w:sz w:val="24"/>
                <w:szCs w:val="24"/>
                <w:lang w:val="en-IN" w:eastAsia="en-IN"/>
                <w14:ligatures w14:val="standardContextual"/>
              </w:rPr>
              <w:tab/>
            </w:r>
            <w:r w:rsidRPr="00AF2414">
              <w:rPr>
                <w:rStyle w:val="Hyperlink"/>
                <w:noProof/>
              </w:rPr>
              <w:t>Key Features</w:t>
            </w:r>
            <w:r>
              <w:rPr>
                <w:noProof/>
                <w:webHidden/>
              </w:rPr>
              <w:tab/>
            </w:r>
            <w:r>
              <w:rPr>
                <w:noProof/>
                <w:webHidden/>
              </w:rPr>
              <w:fldChar w:fldCharType="begin"/>
            </w:r>
            <w:r>
              <w:rPr>
                <w:noProof/>
                <w:webHidden/>
              </w:rPr>
              <w:instrText xml:space="preserve"> PAGEREF _Toc300000015 \h </w:instrText>
            </w:r>
            <w:r>
              <w:rPr>
                <w:noProof/>
                <w:webHidden/>
              </w:rPr>
            </w:r>
            <w:r>
              <w:rPr>
                <w:noProof/>
                <w:webHidden/>
              </w:rPr>
              <w:fldChar w:fldCharType="separate"/>
            </w:r>
            <w:r>
              <w:rPr>
                <w:noProof/>
                <w:webHidden/>
              </w:rPr>
              <w:t>16</w:t>
            </w:r>
            <w:r>
              <w:rPr>
                <w:noProof/>
                <w:webHidden/>
              </w:rPr>
              <w:fldChar w:fldCharType="end"/>
            </w:r>
          </w:hyperlink>
        </w:p>
        <w:p w14:paraId="48E3610E" w14:textId="477B1D53" w:rsidR="00ED2AFB" w:rsidRDefault="00ED2AFB">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6" w:history="1">
            <w:r w:rsidRPr="00AF2414">
              <w:rPr>
                <w:rStyle w:val="Hyperlink"/>
                <w:noProof/>
              </w:rPr>
              <w:t>3.3.2</w:t>
            </w:r>
            <w:r>
              <w:rPr>
                <w:rFonts w:asciiTheme="minorHAnsi" w:hAnsiTheme="minorHAnsi"/>
                <w:noProof/>
                <w:kern w:val="2"/>
                <w:sz w:val="24"/>
                <w:szCs w:val="24"/>
                <w:lang w:val="en-IN" w:eastAsia="en-IN"/>
                <w14:ligatures w14:val="standardContextual"/>
              </w:rPr>
              <w:tab/>
            </w:r>
            <w:r w:rsidRPr="00AF2414">
              <w:rPr>
                <w:rStyle w:val="Hyperlink"/>
                <w:noProof/>
              </w:rPr>
              <w:t>Pricing Model</w:t>
            </w:r>
            <w:r>
              <w:rPr>
                <w:noProof/>
                <w:webHidden/>
              </w:rPr>
              <w:tab/>
            </w:r>
            <w:r>
              <w:rPr>
                <w:noProof/>
                <w:webHidden/>
              </w:rPr>
              <w:fldChar w:fldCharType="begin"/>
            </w:r>
            <w:r>
              <w:rPr>
                <w:noProof/>
                <w:webHidden/>
              </w:rPr>
              <w:instrText xml:space="preserve"> PAGEREF _Toc300000016 \h </w:instrText>
            </w:r>
            <w:r>
              <w:rPr>
                <w:noProof/>
                <w:webHidden/>
              </w:rPr>
            </w:r>
            <w:r>
              <w:rPr>
                <w:noProof/>
                <w:webHidden/>
              </w:rPr>
              <w:fldChar w:fldCharType="separate"/>
            </w:r>
            <w:r>
              <w:rPr>
                <w:noProof/>
                <w:webHidden/>
              </w:rPr>
              <w:t>17</w:t>
            </w:r>
            <w:r>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17" w:history="1">
            <w:r w:rsidR="00ED2AFB" w:rsidRPr="00AF2414">
              <w:rPr>
                <w:rStyle w:val="Hyperlink"/>
                <w:noProof/>
              </w:rPr>
              <w:t>4</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Comparison Analysis — Compute Model</w:t>
            </w:r>
            <w:r w:rsidR="00ED2AFB">
              <w:rPr>
                <w:noProof/>
                <w:webHidden/>
              </w:rPr>
              <w:tab/>
            </w:r>
            <w:r w:rsidR="00ED2AFB">
              <w:rPr>
                <w:noProof/>
                <w:webHidden/>
              </w:rPr>
              <w:fldChar w:fldCharType="begin"/>
            </w:r>
            <w:r w:rsidR="00ED2AFB">
              <w:rPr>
                <w:noProof/>
                <w:webHidden/>
              </w:rPr>
              <w:instrText xml:space="preserve"> PAGEREF _Toc300000017 \h </w:instrText>
            </w:r>
            <w:r w:rsidR="00ED2AFB">
              <w:rPr>
                <w:noProof/>
                <w:webHidden/>
              </w:rPr>
            </w:r>
            <w:r w:rsidR="00ED2AFB">
              <w:rPr>
                <w:noProof/>
                <w:webHidden/>
              </w:rPr>
              <w:fldChar w:fldCharType="separate"/>
            </w:r>
            <w:r w:rsidR="00ED2AFB">
              <w:rPr>
                <w:noProof/>
                <w:webHidden/>
              </w:rPr>
              <w:t>18</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8" w:history="1">
            <w:r w:rsidRPr="00AF2414">
              <w:rPr>
                <w:rStyle w:val="Hyperlink"/>
                <w:noProof/>
              </w:rPr>
              <w:t>4.1</w:t>
            </w:r>
            <w:r>
              <w:rPr>
                <w:rFonts w:asciiTheme="minorHAnsi" w:hAnsiTheme="minorHAnsi"/>
                <w:noProof/>
                <w:kern w:val="2"/>
                <w:sz w:val="24"/>
                <w:szCs w:val="24"/>
                <w:lang w:val="en-IN" w:eastAsia="en-IN"/>
                <w14:ligatures w14:val="standardContextual"/>
              </w:rPr>
              <w:tab/>
            </w:r>
            <w:r w:rsidRPr="00AF2414">
              <w:rPr>
                <w:rStyle w:val="Hyperlink"/>
                <w:noProof/>
              </w:rPr>
              <w:t>Point Matrix</w:t>
            </w:r>
            <w:r>
              <w:rPr>
                <w:noProof/>
                <w:webHidden/>
              </w:rPr>
              <w:tab/>
            </w:r>
            <w:r>
              <w:rPr>
                <w:noProof/>
                <w:webHidden/>
              </w:rPr>
              <w:fldChar w:fldCharType="begin"/>
            </w:r>
            <w:r>
              <w:rPr>
                <w:noProof/>
                <w:webHidden/>
              </w:rPr>
              <w:instrText xml:space="preserve"> PAGEREF _Toc300000018 \h </w:instrText>
            </w:r>
            <w:r>
              <w:rPr>
                <w:noProof/>
                <w:webHidden/>
              </w:rPr>
            </w:r>
            <w:r>
              <w:rPr>
                <w:noProof/>
                <w:webHidden/>
              </w:rPr>
              <w:fldChar w:fldCharType="separate"/>
            </w:r>
            <w:r>
              <w:rPr>
                <w:noProof/>
                <w:webHidden/>
              </w:rPr>
              <w:t>18</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9" w:history="1">
            <w:r w:rsidRPr="00AF2414">
              <w:rPr>
                <w:rStyle w:val="Hyperlink"/>
                <w:noProof/>
              </w:rPr>
              <w:t>4.2</w:t>
            </w:r>
            <w:r>
              <w:rPr>
                <w:rFonts w:asciiTheme="minorHAnsi" w:hAnsiTheme="minorHAnsi"/>
                <w:noProof/>
                <w:kern w:val="2"/>
                <w:sz w:val="24"/>
                <w:szCs w:val="24"/>
                <w:lang w:val="en-IN" w:eastAsia="en-IN"/>
                <w14:ligatures w14:val="standardContextual"/>
              </w:rPr>
              <w:tab/>
            </w:r>
            <w:r w:rsidRPr="00AF2414">
              <w:rPr>
                <w:rStyle w:val="Hyperlink"/>
                <w:noProof/>
              </w:rPr>
              <w:t>Comparison 1 — Weighted Scoring</w:t>
            </w:r>
            <w:r>
              <w:rPr>
                <w:noProof/>
                <w:webHidden/>
              </w:rPr>
              <w:tab/>
            </w:r>
            <w:r>
              <w:rPr>
                <w:noProof/>
                <w:webHidden/>
              </w:rPr>
              <w:fldChar w:fldCharType="begin"/>
            </w:r>
            <w:r>
              <w:rPr>
                <w:noProof/>
                <w:webHidden/>
              </w:rPr>
              <w:instrText xml:space="preserve"> PAGEREF _Toc300000019 \h </w:instrText>
            </w:r>
            <w:r>
              <w:rPr>
                <w:noProof/>
                <w:webHidden/>
              </w:rPr>
            </w:r>
            <w:r>
              <w:rPr>
                <w:noProof/>
                <w:webHidden/>
              </w:rPr>
              <w:fldChar w:fldCharType="separate"/>
            </w:r>
            <w:r>
              <w:rPr>
                <w:noProof/>
                <w:webHidden/>
              </w:rPr>
              <w:t>19</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0" w:history="1">
            <w:r w:rsidRPr="00AF2414">
              <w:rPr>
                <w:rStyle w:val="Hyperlink"/>
                <w:noProof/>
              </w:rPr>
              <w:t>4.3</w:t>
            </w:r>
            <w:r>
              <w:rPr>
                <w:rFonts w:asciiTheme="minorHAnsi" w:hAnsiTheme="minorHAnsi"/>
                <w:noProof/>
                <w:kern w:val="2"/>
                <w:sz w:val="24"/>
                <w:szCs w:val="24"/>
                <w:lang w:val="en-IN" w:eastAsia="en-IN"/>
                <w14:ligatures w14:val="standardContextual"/>
              </w:rPr>
              <w:tab/>
            </w:r>
            <w:r w:rsidRPr="00AF2414">
              <w:rPr>
                <w:rStyle w:val="Hyperlink"/>
                <w:noProof/>
              </w:rPr>
              <w:t>Comparison 2 — Capability Comparison</w:t>
            </w:r>
            <w:r>
              <w:rPr>
                <w:noProof/>
                <w:webHidden/>
              </w:rPr>
              <w:tab/>
            </w:r>
            <w:r>
              <w:rPr>
                <w:noProof/>
                <w:webHidden/>
              </w:rPr>
              <w:fldChar w:fldCharType="begin"/>
            </w:r>
            <w:r>
              <w:rPr>
                <w:noProof/>
                <w:webHidden/>
              </w:rPr>
              <w:instrText xml:space="preserve"> PAGEREF _Toc300000020 \h </w:instrText>
            </w:r>
            <w:r>
              <w:rPr>
                <w:noProof/>
                <w:webHidden/>
              </w:rPr>
            </w:r>
            <w:r>
              <w:rPr>
                <w:noProof/>
                <w:webHidden/>
              </w:rPr>
              <w:fldChar w:fldCharType="separate"/>
            </w:r>
            <w:r>
              <w:rPr>
                <w:noProof/>
                <w:webHidden/>
              </w:rPr>
              <w:t>20</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1" w:history="1">
            <w:r w:rsidRPr="00AF2414">
              <w:rPr>
                <w:rStyle w:val="Hyperlink"/>
                <w:noProof/>
              </w:rPr>
              <w:t>4.4</w:t>
            </w:r>
            <w:r>
              <w:rPr>
                <w:rFonts w:asciiTheme="minorHAnsi" w:hAnsiTheme="minorHAnsi"/>
                <w:noProof/>
                <w:kern w:val="2"/>
                <w:sz w:val="24"/>
                <w:szCs w:val="24"/>
                <w:lang w:val="en-IN" w:eastAsia="en-IN"/>
                <w14:ligatures w14:val="standardContextual"/>
              </w:rPr>
              <w:tab/>
            </w:r>
            <w:r w:rsidRPr="00AF2414">
              <w:rPr>
                <w:rStyle w:val="Hyperlink"/>
                <w:noProof/>
              </w:rPr>
              <w:t>Comparison 3 — Indicative Cost at eClaims Scale</w:t>
            </w:r>
            <w:r>
              <w:rPr>
                <w:noProof/>
                <w:webHidden/>
              </w:rPr>
              <w:tab/>
            </w:r>
            <w:r>
              <w:rPr>
                <w:noProof/>
                <w:webHidden/>
              </w:rPr>
              <w:fldChar w:fldCharType="begin"/>
            </w:r>
            <w:r>
              <w:rPr>
                <w:noProof/>
                <w:webHidden/>
              </w:rPr>
              <w:instrText xml:space="preserve"> PAGEREF _Toc300000021 \h </w:instrText>
            </w:r>
            <w:r>
              <w:rPr>
                <w:noProof/>
                <w:webHidden/>
              </w:rPr>
            </w:r>
            <w:r>
              <w:rPr>
                <w:noProof/>
                <w:webHidden/>
              </w:rPr>
              <w:fldChar w:fldCharType="separate"/>
            </w:r>
            <w:r>
              <w:rPr>
                <w:noProof/>
                <w:webHidden/>
              </w:rPr>
              <w:t>21</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2" w:history="1">
            <w:r w:rsidRPr="00AF2414">
              <w:rPr>
                <w:rStyle w:val="Hyperlink"/>
                <w:noProof/>
              </w:rPr>
              <w:t>4.5</w:t>
            </w:r>
            <w:r>
              <w:rPr>
                <w:rFonts w:asciiTheme="minorHAnsi" w:hAnsiTheme="minorHAnsi"/>
                <w:noProof/>
                <w:kern w:val="2"/>
                <w:sz w:val="24"/>
                <w:szCs w:val="24"/>
                <w:lang w:val="en-IN" w:eastAsia="en-IN"/>
                <w14:ligatures w14:val="standardContextual"/>
              </w:rPr>
              <w:tab/>
            </w:r>
            <w:r w:rsidRPr="00AF2414">
              <w:rPr>
                <w:rStyle w:val="Hyperlink"/>
                <w:noProof/>
              </w:rPr>
              <w:t>Sensitivity</w:t>
            </w:r>
            <w:r>
              <w:rPr>
                <w:noProof/>
                <w:webHidden/>
              </w:rPr>
              <w:tab/>
            </w:r>
            <w:r>
              <w:rPr>
                <w:noProof/>
                <w:webHidden/>
              </w:rPr>
              <w:fldChar w:fldCharType="begin"/>
            </w:r>
            <w:r>
              <w:rPr>
                <w:noProof/>
                <w:webHidden/>
              </w:rPr>
              <w:instrText xml:space="preserve"> PAGEREF _Toc300000022 \h </w:instrText>
            </w:r>
            <w:r>
              <w:rPr>
                <w:noProof/>
                <w:webHidden/>
              </w:rPr>
            </w:r>
            <w:r>
              <w:rPr>
                <w:noProof/>
                <w:webHidden/>
              </w:rPr>
              <w:fldChar w:fldCharType="separate"/>
            </w:r>
            <w:r>
              <w:rPr>
                <w:noProof/>
                <w:webHidden/>
              </w:rPr>
              <w:t>22</w:t>
            </w:r>
            <w:r>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23" w:history="1">
            <w:r w:rsidR="00ED2AFB" w:rsidRPr="00AF2414">
              <w:rPr>
                <w:rStyle w:val="Hyperlink"/>
                <w:noProof/>
              </w:rPr>
              <w:t>5</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Comparison Analysis — Container Orchestrator</w:t>
            </w:r>
            <w:r w:rsidR="00ED2AFB">
              <w:rPr>
                <w:noProof/>
                <w:webHidden/>
              </w:rPr>
              <w:tab/>
            </w:r>
            <w:r w:rsidR="00ED2AFB">
              <w:rPr>
                <w:noProof/>
                <w:webHidden/>
              </w:rPr>
              <w:fldChar w:fldCharType="begin"/>
            </w:r>
            <w:r w:rsidR="00ED2AFB">
              <w:rPr>
                <w:noProof/>
                <w:webHidden/>
              </w:rPr>
              <w:instrText xml:space="preserve"> PAGEREF _Toc300000023 \h </w:instrText>
            </w:r>
            <w:r w:rsidR="00ED2AFB">
              <w:rPr>
                <w:noProof/>
                <w:webHidden/>
              </w:rPr>
            </w:r>
            <w:r w:rsidR="00ED2AFB">
              <w:rPr>
                <w:noProof/>
                <w:webHidden/>
              </w:rPr>
              <w:fldChar w:fldCharType="separate"/>
            </w:r>
            <w:r w:rsidR="00ED2AFB">
              <w:rPr>
                <w:noProof/>
                <w:webHidden/>
              </w:rPr>
              <w:t>24</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4" w:history="1">
            <w:r w:rsidRPr="00AF2414">
              <w:rPr>
                <w:rStyle w:val="Hyperlink"/>
                <w:noProof/>
              </w:rPr>
              <w:t>5.1</w:t>
            </w:r>
            <w:r>
              <w:rPr>
                <w:rFonts w:asciiTheme="minorHAnsi" w:hAnsiTheme="minorHAnsi"/>
                <w:noProof/>
                <w:kern w:val="2"/>
                <w:sz w:val="24"/>
                <w:szCs w:val="24"/>
                <w:lang w:val="en-IN" w:eastAsia="en-IN"/>
                <w14:ligatures w14:val="standardContextual"/>
              </w:rPr>
              <w:tab/>
            </w:r>
            <w:r w:rsidRPr="00AF2414">
              <w:rPr>
                <w:rStyle w:val="Hyperlink"/>
                <w:noProof/>
              </w:rPr>
              <w:t>Why the attributes change</w:t>
            </w:r>
            <w:r>
              <w:rPr>
                <w:noProof/>
                <w:webHidden/>
              </w:rPr>
              <w:tab/>
            </w:r>
            <w:r>
              <w:rPr>
                <w:noProof/>
                <w:webHidden/>
              </w:rPr>
              <w:fldChar w:fldCharType="begin"/>
            </w:r>
            <w:r>
              <w:rPr>
                <w:noProof/>
                <w:webHidden/>
              </w:rPr>
              <w:instrText xml:space="preserve"> PAGEREF _Toc300000024 \h </w:instrText>
            </w:r>
            <w:r>
              <w:rPr>
                <w:noProof/>
                <w:webHidden/>
              </w:rPr>
            </w:r>
            <w:r>
              <w:rPr>
                <w:noProof/>
                <w:webHidden/>
              </w:rPr>
              <w:fldChar w:fldCharType="separate"/>
            </w:r>
            <w:r>
              <w:rPr>
                <w:noProof/>
                <w:webHidden/>
              </w:rPr>
              <w:t>24</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5" w:history="1">
            <w:r w:rsidRPr="00AF2414">
              <w:rPr>
                <w:rStyle w:val="Hyperlink"/>
                <w:noProof/>
              </w:rPr>
              <w:t>5.2</w:t>
            </w:r>
            <w:r>
              <w:rPr>
                <w:rFonts w:asciiTheme="minorHAnsi" w:hAnsiTheme="minorHAnsi"/>
                <w:noProof/>
                <w:kern w:val="2"/>
                <w:sz w:val="24"/>
                <w:szCs w:val="24"/>
                <w:lang w:val="en-IN" w:eastAsia="en-IN"/>
                <w14:ligatures w14:val="standardContextual"/>
              </w:rPr>
              <w:tab/>
            </w:r>
            <w:r w:rsidRPr="00AF2414">
              <w:rPr>
                <w:rStyle w:val="Hyperlink"/>
                <w:noProof/>
              </w:rPr>
              <w:t>Point Matrix and Comparison 4 — Weighted Scoring</w:t>
            </w:r>
            <w:r>
              <w:rPr>
                <w:noProof/>
                <w:webHidden/>
              </w:rPr>
              <w:tab/>
            </w:r>
            <w:r>
              <w:rPr>
                <w:noProof/>
                <w:webHidden/>
              </w:rPr>
              <w:fldChar w:fldCharType="begin"/>
            </w:r>
            <w:r>
              <w:rPr>
                <w:noProof/>
                <w:webHidden/>
              </w:rPr>
              <w:instrText xml:space="preserve"> PAGEREF _Toc300000025 \h </w:instrText>
            </w:r>
            <w:r>
              <w:rPr>
                <w:noProof/>
                <w:webHidden/>
              </w:rPr>
            </w:r>
            <w:r>
              <w:rPr>
                <w:noProof/>
                <w:webHidden/>
              </w:rPr>
              <w:fldChar w:fldCharType="separate"/>
            </w:r>
            <w:r>
              <w:rPr>
                <w:noProof/>
                <w:webHidden/>
              </w:rPr>
              <w:t>24</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6" w:history="1">
            <w:r w:rsidRPr="00AF2414">
              <w:rPr>
                <w:rStyle w:val="Hyperlink"/>
                <w:noProof/>
              </w:rPr>
              <w:t>5.3</w:t>
            </w:r>
            <w:r>
              <w:rPr>
                <w:rFonts w:asciiTheme="minorHAnsi" w:hAnsiTheme="minorHAnsi"/>
                <w:noProof/>
                <w:kern w:val="2"/>
                <w:sz w:val="24"/>
                <w:szCs w:val="24"/>
                <w:lang w:val="en-IN" w:eastAsia="en-IN"/>
                <w14:ligatures w14:val="standardContextual"/>
              </w:rPr>
              <w:tab/>
            </w:r>
            <w:r w:rsidRPr="00AF2414">
              <w:rPr>
                <w:rStyle w:val="Hyperlink"/>
                <w:noProof/>
              </w:rPr>
              <w:t>Basis of each score</w:t>
            </w:r>
            <w:r>
              <w:rPr>
                <w:noProof/>
                <w:webHidden/>
              </w:rPr>
              <w:tab/>
            </w:r>
            <w:r>
              <w:rPr>
                <w:noProof/>
                <w:webHidden/>
              </w:rPr>
              <w:fldChar w:fldCharType="begin"/>
            </w:r>
            <w:r>
              <w:rPr>
                <w:noProof/>
                <w:webHidden/>
              </w:rPr>
              <w:instrText xml:space="preserve"> PAGEREF _Toc300000026 \h </w:instrText>
            </w:r>
            <w:r>
              <w:rPr>
                <w:noProof/>
                <w:webHidden/>
              </w:rPr>
            </w:r>
            <w:r>
              <w:rPr>
                <w:noProof/>
                <w:webHidden/>
              </w:rPr>
              <w:fldChar w:fldCharType="separate"/>
            </w:r>
            <w:r>
              <w:rPr>
                <w:noProof/>
                <w:webHidden/>
              </w:rPr>
              <w:t>26</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7" w:history="1">
            <w:r w:rsidRPr="00AF2414">
              <w:rPr>
                <w:rStyle w:val="Hyperlink"/>
                <w:noProof/>
              </w:rPr>
              <w:t>5.4</w:t>
            </w:r>
            <w:r>
              <w:rPr>
                <w:rFonts w:asciiTheme="minorHAnsi" w:hAnsiTheme="minorHAnsi"/>
                <w:noProof/>
                <w:kern w:val="2"/>
                <w:sz w:val="24"/>
                <w:szCs w:val="24"/>
                <w:lang w:val="en-IN" w:eastAsia="en-IN"/>
                <w14:ligatures w14:val="standardContextual"/>
              </w:rPr>
              <w:tab/>
            </w:r>
            <w:r w:rsidRPr="00AF2414">
              <w:rPr>
                <w:rStyle w:val="Hyperlink"/>
                <w:noProof/>
              </w:rPr>
              <w:t>Comparison 5 — Monthly Cost at eClaims Scale</w:t>
            </w:r>
            <w:r>
              <w:rPr>
                <w:noProof/>
                <w:webHidden/>
              </w:rPr>
              <w:tab/>
            </w:r>
            <w:r>
              <w:rPr>
                <w:noProof/>
                <w:webHidden/>
              </w:rPr>
              <w:fldChar w:fldCharType="begin"/>
            </w:r>
            <w:r>
              <w:rPr>
                <w:noProof/>
                <w:webHidden/>
              </w:rPr>
              <w:instrText xml:space="preserve"> PAGEREF _Toc300000027 \h </w:instrText>
            </w:r>
            <w:r>
              <w:rPr>
                <w:noProof/>
                <w:webHidden/>
              </w:rPr>
            </w:r>
            <w:r>
              <w:rPr>
                <w:noProof/>
                <w:webHidden/>
              </w:rPr>
              <w:fldChar w:fldCharType="separate"/>
            </w:r>
            <w:r>
              <w:rPr>
                <w:noProof/>
                <w:webHidden/>
              </w:rPr>
              <w:t>27</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8" w:history="1">
            <w:r w:rsidRPr="00AF2414">
              <w:rPr>
                <w:rStyle w:val="Hyperlink"/>
                <w:noProof/>
              </w:rPr>
              <w:t>5.5</w:t>
            </w:r>
            <w:r>
              <w:rPr>
                <w:rFonts w:asciiTheme="minorHAnsi" w:hAnsiTheme="minorHAnsi"/>
                <w:noProof/>
                <w:kern w:val="2"/>
                <w:sz w:val="24"/>
                <w:szCs w:val="24"/>
                <w:lang w:val="en-IN" w:eastAsia="en-IN"/>
                <w14:ligatures w14:val="standardContextual"/>
              </w:rPr>
              <w:tab/>
            </w:r>
            <w:r w:rsidRPr="00AF2414">
              <w:rPr>
                <w:rStyle w:val="Hyperlink"/>
                <w:noProof/>
              </w:rPr>
              <w:t>Comparison 6 — Operational Comparison</w:t>
            </w:r>
            <w:r>
              <w:rPr>
                <w:noProof/>
                <w:webHidden/>
              </w:rPr>
              <w:tab/>
            </w:r>
            <w:r>
              <w:rPr>
                <w:noProof/>
                <w:webHidden/>
              </w:rPr>
              <w:fldChar w:fldCharType="begin"/>
            </w:r>
            <w:r>
              <w:rPr>
                <w:noProof/>
                <w:webHidden/>
              </w:rPr>
              <w:instrText xml:space="preserve"> PAGEREF _Toc300000028 \h </w:instrText>
            </w:r>
            <w:r>
              <w:rPr>
                <w:noProof/>
                <w:webHidden/>
              </w:rPr>
            </w:r>
            <w:r>
              <w:rPr>
                <w:noProof/>
                <w:webHidden/>
              </w:rPr>
              <w:fldChar w:fldCharType="separate"/>
            </w:r>
            <w:r>
              <w:rPr>
                <w:noProof/>
                <w:webHidden/>
              </w:rPr>
              <w:t>28</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9" w:history="1">
            <w:r w:rsidRPr="00AF2414">
              <w:rPr>
                <w:rStyle w:val="Hyperlink"/>
                <w:noProof/>
              </w:rPr>
              <w:t>5.6</w:t>
            </w:r>
            <w:r>
              <w:rPr>
                <w:rFonts w:asciiTheme="minorHAnsi" w:hAnsiTheme="minorHAnsi"/>
                <w:noProof/>
                <w:kern w:val="2"/>
                <w:sz w:val="24"/>
                <w:szCs w:val="24"/>
                <w:lang w:val="en-IN" w:eastAsia="en-IN"/>
                <w14:ligatures w14:val="standardContextual"/>
              </w:rPr>
              <w:tab/>
            </w:r>
            <w:r w:rsidRPr="00AF2414">
              <w:rPr>
                <w:rStyle w:val="Hyperlink"/>
                <w:noProof/>
              </w:rPr>
              <w:t>Sensitivity</w:t>
            </w:r>
            <w:r>
              <w:rPr>
                <w:noProof/>
                <w:webHidden/>
              </w:rPr>
              <w:tab/>
            </w:r>
            <w:r>
              <w:rPr>
                <w:noProof/>
                <w:webHidden/>
              </w:rPr>
              <w:fldChar w:fldCharType="begin"/>
            </w:r>
            <w:r>
              <w:rPr>
                <w:noProof/>
                <w:webHidden/>
              </w:rPr>
              <w:instrText xml:space="preserve"> PAGEREF _Toc300000029 \h </w:instrText>
            </w:r>
            <w:r>
              <w:rPr>
                <w:noProof/>
                <w:webHidden/>
              </w:rPr>
            </w:r>
            <w:r>
              <w:rPr>
                <w:noProof/>
                <w:webHidden/>
              </w:rPr>
              <w:fldChar w:fldCharType="separate"/>
            </w:r>
            <w:r>
              <w:rPr>
                <w:noProof/>
                <w:webHidden/>
              </w:rPr>
              <w:t>29</w:t>
            </w:r>
            <w:r>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30" w:history="1">
            <w:r w:rsidR="00ED2AFB" w:rsidRPr="00AF2414">
              <w:rPr>
                <w:rStyle w:val="Hyperlink"/>
                <w:noProof/>
              </w:rPr>
              <w:t>6</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Recommendation</w:t>
            </w:r>
            <w:r w:rsidR="00ED2AFB">
              <w:rPr>
                <w:noProof/>
                <w:webHidden/>
              </w:rPr>
              <w:tab/>
            </w:r>
            <w:r w:rsidR="00ED2AFB">
              <w:rPr>
                <w:noProof/>
                <w:webHidden/>
              </w:rPr>
              <w:fldChar w:fldCharType="begin"/>
            </w:r>
            <w:r w:rsidR="00ED2AFB">
              <w:rPr>
                <w:noProof/>
                <w:webHidden/>
              </w:rPr>
              <w:instrText xml:space="preserve"> PAGEREF _Toc300000030 \h </w:instrText>
            </w:r>
            <w:r w:rsidR="00ED2AFB">
              <w:rPr>
                <w:noProof/>
                <w:webHidden/>
              </w:rPr>
            </w:r>
            <w:r w:rsidR="00ED2AFB">
              <w:rPr>
                <w:noProof/>
                <w:webHidden/>
              </w:rPr>
              <w:fldChar w:fldCharType="separate"/>
            </w:r>
            <w:r w:rsidR="00ED2AFB">
              <w:rPr>
                <w:noProof/>
                <w:webHidden/>
              </w:rPr>
              <w:t>31</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1" w:history="1">
            <w:r w:rsidRPr="00AF2414">
              <w:rPr>
                <w:rStyle w:val="Hyperlink"/>
                <w:noProof/>
              </w:rPr>
              <w:t>6.1</w:t>
            </w:r>
            <w:r>
              <w:rPr>
                <w:rFonts w:asciiTheme="minorHAnsi" w:hAnsiTheme="minorHAnsi"/>
                <w:noProof/>
                <w:kern w:val="2"/>
                <w:sz w:val="24"/>
                <w:szCs w:val="24"/>
                <w:lang w:val="en-IN" w:eastAsia="en-IN"/>
                <w14:ligatures w14:val="standardContextual"/>
              </w:rPr>
              <w:tab/>
            </w:r>
            <w:r w:rsidRPr="00AF2414">
              <w:rPr>
                <w:rStyle w:val="Hyperlink"/>
                <w:noProof/>
              </w:rPr>
              <w:t>Compute platform and orchestrator</w:t>
            </w:r>
            <w:r>
              <w:rPr>
                <w:noProof/>
                <w:webHidden/>
              </w:rPr>
              <w:tab/>
            </w:r>
            <w:r>
              <w:rPr>
                <w:noProof/>
                <w:webHidden/>
              </w:rPr>
              <w:fldChar w:fldCharType="begin"/>
            </w:r>
            <w:r>
              <w:rPr>
                <w:noProof/>
                <w:webHidden/>
              </w:rPr>
              <w:instrText xml:space="preserve"> PAGEREF _Toc300000031 \h </w:instrText>
            </w:r>
            <w:r>
              <w:rPr>
                <w:noProof/>
                <w:webHidden/>
              </w:rPr>
            </w:r>
            <w:r>
              <w:rPr>
                <w:noProof/>
                <w:webHidden/>
              </w:rPr>
              <w:fldChar w:fldCharType="separate"/>
            </w:r>
            <w:r>
              <w:rPr>
                <w:noProof/>
                <w:webHidden/>
              </w:rPr>
              <w:t>31</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2" w:history="1">
            <w:r w:rsidRPr="00AF2414">
              <w:rPr>
                <w:rStyle w:val="Hyperlink"/>
                <w:noProof/>
              </w:rPr>
              <w:t>6.2</w:t>
            </w:r>
            <w:r>
              <w:rPr>
                <w:rFonts w:asciiTheme="minorHAnsi" w:hAnsiTheme="minorHAnsi"/>
                <w:noProof/>
                <w:kern w:val="2"/>
                <w:sz w:val="24"/>
                <w:szCs w:val="24"/>
                <w:lang w:val="en-IN" w:eastAsia="en-IN"/>
                <w14:ligatures w14:val="standardContextual"/>
              </w:rPr>
              <w:tab/>
            </w:r>
            <w:r w:rsidRPr="00AF2414">
              <w:rPr>
                <w:rStyle w:val="Hyperlink"/>
                <w:noProof/>
              </w:rPr>
              <w:t>Meeting the on-premise requirement</w:t>
            </w:r>
            <w:r>
              <w:rPr>
                <w:noProof/>
                <w:webHidden/>
              </w:rPr>
              <w:tab/>
            </w:r>
            <w:r>
              <w:rPr>
                <w:noProof/>
                <w:webHidden/>
              </w:rPr>
              <w:fldChar w:fldCharType="begin"/>
            </w:r>
            <w:r>
              <w:rPr>
                <w:noProof/>
                <w:webHidden/>
              </w:rPr>
              <w:instrText xml:space="preserve"> PAGEREF _Toc300000032 \h </w:instrText>
            </w:r>
            <w:r>
              <w:rPr>
                <w:noProof/>
                <w:webHidden/>
              </w:rPr>
            </w:r>
            <w:r>
              <w:rPr>
                <w:noProof/>
                <w:webHidden/>
              </w:rPr>
              <w:fldChar w:fldCharType="separate"/>
            </w:r>
            <w:r>
              <w:rPr>
                <w:noProof/>
                <w:webHidden/>
              </w:rPr>
              <w:t>31</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3" w:history="1">
            <w:r w:rsidRPr="00AF2414">
              <w:rPr>
                <w:rStyle w:val="Hyperlink"/>
                <w:noProof/>
              </w:rPr>
              <w:t>6.3</w:t>
            </w:r>
            <w:r>
              <w:rPr>
                <w:rFonts w:asciiTheme="minorHAnsi" w:hAnsiTheme="minorHAnsi"/>
                <w:noProof/>
                <w:kern w:val="2"/>
                <w:sz w:val="24"/>
                <w:szCs w:val="24"/>
                <w:lang w:val="en-IN" w:eastAsia="en-IN"/>
                <w14:ligatures w14:val="standardContextual"/>
              </w:rPr>
              <w:tab/>
            </w:r>
            <w:r w:rsidRPr="00AF2414">
              <w:rPr>
                <w:rStyle w:val="Hyperlink"/>
                <w:noProof/>
              </w:rPr>
              <w:t>When to revisit</w:t>
            </w:r>
            <w:r>
              <w:rPr>
                <w:noProof/>
                <w:webHidden/>
              </w:rPr>
              <w:tab/>
            </w:r>
            <w:r>
              <w:rPr>
                <w:noProof/>
                <w:webHidden/>
              </w:rPr>
              <w:fldChar w:fldCharType="begin"/>
            </w:r>
            <w:r>
              <w:rPr>
                <w:noProof/>
                <w:webHidden/>
              </w:rPr>
              <w:instrText xml:space="preserve"> PAGEREF _Toc300000033 \h </w:instrText>
            </w:r>
            <w:r>
              <w:rPr>
                <w:noProof/>
                <w:webHidden/>
              </w:rPr>
            </w:r>
            <w:r>
              <w:rPr>
                <w:noProof/>
                <w:webHidden/>
              </w:rPr>
              <w:fldChar w:fldCharType="separate"/>
            </w:r>
            <w:r>
              <w:rPr>
                <w:noProof/>
                <w:webHidden/>
              </w:rPr>
              <w:t>32</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4" w:history="1">
            <w:r w:rsidRPr="00AF2414">
              <w:rPr>
                <w:rStyle w:val="Hyperlink"/>
                <w:noProof/>
              </w:rPr>
              <w:t>6.4</w:t>
            </w:r>
            <w:r>
              <w:rPr>
                <w:rFonts w:asciiTheme="minorHAnsi" w:hAnsiTheme="minorHAnsi"/>
                <w:noProof/>
                <w:kern w:val="2"/>
                <w:sz w:val="24"/>
                <w:szCs w:val="24"/>
                <w:lang w:val="en-IN" w:eastAsia="en-IN"/>
                <w14:ligatures w14:val="standardContextual"/>
              </w:rPr>
              <w:tab/>
            </w:r>
            <w:r w:rsidRPr="00AF2414">
              <w:rPr>
                <w:rStyle w:val="Hyperlink"/>
                <w:noProof/>
              </w:rPr>
              <w:t>Weaknesses on the record</w:t>
            </w:r>
            <w:r>
              <w:rPr>
                <w:noProof/>
                <w:webHidden/>
              </w:rPr>
              <w:tab/>
            </w:r>
            <w:r>
              <w:rPr>
                <w:noProof/>
                <w:webHidden/>
              </w:rPr>
              <w:fldChar w:fldCharType="begin"/>
            </w:r>
            <w:r>
              <w:rPr>
                <w:noProof/>
                <w:webHidden/>
              </w:rPr>
              <w:instrText xml:space="preserve"> PAGEREF _Toc300000034 \h </w:instrText>
            </w:r>
            <w:r>
              <w:rPr>
                <w:noProof/>
                <w:webHidden/>
              </w:rPr>
            </w:r>
            <w:r>
              <w:rPr>
                <w:noProof/>
                <w:webHidden/>
              </w:rPr>
              <w:fldChar w:fldCharType="separate"/>
            </w:r>
            <w:r>
              <w:rPr>
                <w:noProof/>
                <w:webHidden/>
              </w:rPr>
              <w:t>32</w:t>
            </w:r>
            <w:r>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35" w:history="1">
            <w:r w:rsidR="00ED2AFB" w:rsidRPr="00AF2414">
              <w:rPr>
                <w:rStyle w:val="Hyperlink"/>
                <w:noProof/>
              </w:rPr>
              <w:t>7</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Assumptions</w:t>
            </w:r>
            <w:r w:rsidR="00ED2AFB">
              <w:rPr>
                <w:noProof/>
                <w:webHidden/>
              </w:rPr>
              <w:tab/>
            </w:r>
            <w:r w:rsidR="00ED2AFB">
              <w:rPr>
                <w:noProof/>
                <w:webHidden/>
              </w:rPr>
              <w:fldChar w:fldCharType="begin"/>
            </w:r>
            <w:r w:rsidR="00ED2AFB">
              <w:rPr>
                <w:noProof/>
                <w:webHidden/>
              </w:rPr>
              <w:instrText xml:space="preserve"> PAGEREF _Toc300000035 \h </w:instrText>
            </w:r>
            <w:r w:rsidR="00ED2AFB">
              <w:rPr>
                <w:noProof/>
                <w:webHidden/>
              </w:rPr>
            </w:r>
            <w:r w:rsidR="00ED2AFB">
              <w:rPr>
                <w:noProof/>
                <w:webHidden/>
              </w:rPr>
              <w:fldChar w:fldCharType="separate"/>
            </w:r>
            <w:r w:rsidR="00ED2AFB">
              <w:rPr>
                <w:noProof/>
                <w:webHidden/>
              </w:rPr>
              <w:t>33</w:t>
            </w:r>
            <w:r w:rsidR="00ED2AFB">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36" w:history="1">
            <w:r w:rsidR="00ED2AFB" w:rsidRPr="00AF2414">
              <w:rPr>
                <w:rStyle w:val="Hyperlink"/>
                <w:noProof/>
              </w:rPr>
              <w:t>8</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Risks</w:t>
            </w:r>
            <w:r w:rsidR="00ED2AFB">
              <w:rPr>
                <w:noProof/>
                <w:webHidden/>
              </w:rPr>
              <w:tab/>
            </w:r>
            <w:r w:rsidR="00ED2AFB">
              <w:rPr>
                <w:noProof/>
                <w:webHidden/>
              </w:rPr>
              <w:fldChar w:fldCharType="begin"/>
            </w:r>
            <w:r w:rsidR="00ED2AFB">
              <w:rPr>
                <w:noProof/>
                <w:webHidden/>
              </w:rPr>
              <w:instrText xml:space="preserve"> PAGEREF _Toc300000036 \h </w:instrText>
            </w:r>
            <w:r w:rsidR="00ED2AFB">
              <w:rPr>
                <w:noProof/>
                <w:webHidden/>
              </w:rPr>
            </w:r>
            <w:r w:rsidR="00ED2AFB">
              <w:rPr>
                <w:noProof/>
                <w:webHidden/>
              </w:rPr>
              <w:fldChar w:fldCharType="separate"/>
            </w:r>
            <w:r w:rsidR="00ED2AFB">
              <w:rPr>
                <w:noProof/>
                <w:webHidden/>
              </w:rPr>
              <w:t>34</w:t>
            </w:r>
            <w:r w:rsidR="00ED2AFB">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37" w:history="1">
            <w:r w:rsidR="00ED2AFB" w:rsidRPr="00AF2414">
              <w:rPr>
                <w:rStyle w:val="Hyperlink"/>
                <w:noProof/>
              </w:rPr>
              <w:t>9</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Appendix</w:t>
            </w:r>
            <w:r w:rsidR="00ED2AFB">
              <w:rPr>
                <w:noProof/>
                <w:webHidden/>
              </w:rPr>
              <w:tab/>
            </w:r>
            <w:r w:rsidR="00ED2AFB">
              <w:rPr>
                <w:noProof/>
                <w:webHidden/>
              </w:rPr>
              <w:fldChar w:fldCharType="begin"/>
            </w:r>
            <w:r w:rsidR="00ED2AFB">
              <w:rPr>
                <w:noProof/>
                <w:webHidden/>
              </w:rPr>
              <w:instrText xml:space="preserve"> PAGEREF _Toc300000037 \h </w:instrText>
            </w:r>
            <w:r w:rsidR="00ED2AFB">
              <w:rPr>
                <w:noProof/>
                <w:webHidden/>
              </w:rPr>
            </w:r>
            <w:r w:rsidR="00ED2AFB">
              <w:rPr>
                <w:noProof/>
                <w:webHidden/>
              </w:rPr>
              <w:fldChar w:fldCharType="separate"/>
            </w:r>
            <w:r w:rsidR="00ED2AFB">
              <w:rPr>
                <w:noProof/>
                <w:webHidden/>
              </w:rPr>
              <w:t>39</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8" w:history="1">
            <w:r w:rsidRPr="00AF2414">
              <w:rPr>
                <w:rStyle w:val="Hyperlink"/>
                <w:noProof/>
              </w:rPr>
              <w:t>9.1</w:t>
            </w:r>
            <w:r>
              <w:rPr>
                <w:rFonts w:asciiTheme="minorHAnsi" w:hAnsiTheme="minorHAnsi"/>
                <w:noProof/>
                <w:kern w:val="2"/>
                <w:sz w:val="24"/>
                <w:szCs w:val="24"/>
                <w:lang w:val="en-IN" w:eastAsia="en-IN"/>
                <w14:ligatures w14:val="standardContextual"/>
              </w:rPr>
              <w:tab/>
            </w:r>
            <w:r w:rsidRPr="00AF2414">
              <w:rPr>
                <w:rStyle w:val="Hyperlink"/>
                <w:noProof/>
              </w:rPr>
              <w:t>References</w:t>
            </w:r>
            <w:r>
              <w:rPr>
                <w:noProof/>
                <w:webHidden/>
              </w:rPr>
              <w:tab/>
            </w:r>
            <w:r>
              <w:rPr>
                <w:noProof/>
                <w:webHidden/>
              </w:rPr>
              <w:fldChar w:fldCharType="begin"/>
            </w:r>
            <w:r>
              <w:rPr>
                <w:noProof/>
                <w:webHidden/>
              </w:rPr>
              <w:instrText xml:space="preserve"> PAGEREF _Toc300000038 \h </w:instrText>
            </w:r>
            <w:r>
              <w:rPr>
                <w:noProof/>
                <w:webHidden/>
              </w:rPr>
            </w:r>
            <w:r>
              <w:rPr>
                <w:noProof/>
                <w:webHidden/>
              </w:rPr>
              <w:fldChar w:fldCharType="separate"/>
            </w:r>
            <w:r>
              <w:rPr>
                <w:noProof/>
                <w:webHidden/>
              </w:rPr>
              <w:t>39</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9" w:history="1">
            <w:r w:rsidRPr="00AF2414">
              <w:rPr>
                <w:rStyle w:val="Hyperlink"/>
                <w:noProof/>
              </w:rPr>
              <w:t>9.2</w:t>
            </w:r>
            <w:r>
              <w:rPr>
                <w:rFonts w:asciiTheme="minorHAnsi" w:hAnsiTheme="minorHAnsi"/>
                <w:noProof/>
                <w:kern w:val="2"/>
                <w:sz w:val="24"/>
                <w:szCs w:val="24"/>
                <w:lang w:val="en-IN" w:eastAsia="en-IN"/>
                <w14:ligatures w14:val="standardContextual"/>
              </w:rPr>
              <w:tab/>
            </w:r>
            <w:r w:rsidRPr="00AF2414">
              <w:rPr>
                <w:rStyle w:val="Hyperlink"/>
                <w:noProof/>
              </w:rPr>
              <w:t>Scoring Methodology</w:t>
            </w:r>
            <w:r>
              <w:rPr>
                <w:noProof/>
                <w:webHidden/>
              </w:rPr>
              <w:tab/>
            </w:r>
            <w:r>
              <w:rPr>
                <w:noProof/>
                <w:webHidden/>
              </w:rPr>
              <w:fldChar w:fldCharType="begin"/>
            </w:r>
            <w:r>
              <w:rPr>
                <w:noProof/>
                <w:webHidden/>
              </w:rPr>
              <w:instrText xml:space="preserve"> PAGEREF _Toc300000039 \h </w:instrText>
            </w:r>
            <w:r>
              <w:rPr>
                <w:noProof/>
                <w:webHidden/>
              </w:rPr>
            </w:r>
            <w:r>
              <w:rPr>
                <w:noProof/>
                <w:webHidden/>
              </w:rPr>
              <w:fldChar w:fldCharType="separate"/>
            </w:r>
            <w:r>
              <w:rPr>
                <w:noProof/>
                <w:webHidden/>
              </w:rPr>
              <w:t>40</w:t>
            </w:r>
            <w:r>
              <w:rPr>
                <w:noProof/>
                <w:webHidden/>
              </w:rPr>
              <w:fldChar w:fldCharType="end"/>
            </w:r>
          </w:hyperlink>
        </w:p>
        <w:p w14:paraId="12DB596E" w14:textId="349603DF"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04027F7F"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pPr>
        <w:pStyle w:val="Heading1"/>
      </w:pPr>
      <w:bookmarkStart w:id="100" w:name="_Toc300000001"/>
      <w:r>
        <w:t>Introduction</w:t>
      </w:r>
      <w:bookmarkEnd w:id="100"/>
    </w:p>
    <w:p>
      <w:r>
        <w:t>This Decision Analysis and Recommendation (DAR) document records the evaluation behind the choice of compute and deployment platform for the YCompany eClaims platform — the runtime on which every backend microservice is deployed, scaled, restarted and operated — and, within it, the choice of container orchestrator.</w:t>
      </w:r>
    </w:p>
    <w:p>
      <w:r>
        <w:t>The eClaims Solution Approach Document (SAD) names Amazon ECS on AWS Fargate as the platform (SAD Sections 4 and 8). That document states the conclusion; this DAR supplies the evidence for it — the candidates considered, the evaluation attributes and their weights, the scoring, the indicative cost at eClaims scale, the sensitivity of each result to its weights, and the assumptions and risks that the recommendation carries with it.</w:t>
      </w:r>
    </w:p>
    <w:p>
      <w:r>
        <w:t>The decision is taken in two stages, and the document follows them. Section 4 compares three compute models — serverless functions, serverless containers and Kubernetes — and selects serverless containers. One narrowing question remains inside that answer, because two AWS services can orchestrate the same Fargate capacity: Amazon Elastic Container Service (ECS) and Amazon Elastic Kubernetes Service (EKS). Section 5 settles it. The two stages share one requirement set (Section 2), one description of each option (Section 3), one recommendation (Section 6) and one set of assumptions and risks (Sections 7 and 8).</w:t>
      </w:r>
    </w:p>
    <w:p>
      <w:pPr>
        <w:pStyle w:val="Heading2"/>
      </w:pPr>
      <w:bookmarkStart w:id="101" w:name="_Toc300000002"/>
      <w:r>
        <w:t>Objective and scope of the document</w:t>
      </w:r>
      <w:bookmarkEnd w:id="101"/>
    </w:p>
    <w:p>
      <w:r>
        <w:t>The objective of this document is to identify the viable compute models and container orchestrators for the eClaims microservices, compare them objectively against requirement-derived criteria, and recommend one combination for the target production architecture. It also states plainly how the on-premise deployment requirement in the case study is met once that choice is made.</w:t>
      </w:r>
    </w:p>
    <w:p>
      <w:r>
        <w:t>The scope of this DAR includes:</w:t>
      </w:r>
    </w:p>
    <w:p>
      <w:pPr>
        <w:pStyle w:val="ListParagraph"/>
        <w:numPr>
          <w:ilvl w:val="0"/>
          <w:numId w:val="40"/>
        </w:numPr>
      </w:pPr>
      <w:r>
        <w:t>Candidate identification — the compute models credible for a containerised microservices platform at YCompany's scale, and the two AWS orchestrators for serverless containers.</w:t>
      </w:r>
    </w:p>
    <w:p>
      <w:pPr>
        <w:pStyle w:val="ListParagraph"/>
        <w:numPr>
          <w:ilvl w:val="0"/>
          <w:numId w:val="40"/>
        </w:numPr>
      </w:pPr>
      <w:r>
        <w:t>Evaluation attributes and weights — each attribute traced to a stated functional or non-functional requirement, so that the weighting is auditable rather than asserted.</w:t>
      </w:r>
    </w:p>
    <w:p>
      <w:pPr>
        <w:pStyle w:val="ListParagraph"/>
        <w:numPr>
          <w:ilvl w:val="0"/>
          <w:numId w:val="40"/>
        </w:numPr>
      </w:pPr>
      <w:r>
        <w:t>Comparative analysis — for each stage, a weighted point matrix, a native-capability or operational comparison, an indicative cost comparison at eClaims scale, and a sensitivity check on the attribute most likely to be challenged.</w:t>
      </w:r>
    </w:p>
    <w:p>
      <w:pPr>
        <w:pStyle w:val="ListParagraph"/>
        <w:numPr>
          <w:ilvl w:val="0"/>
          <w:numId w:val="40"/>
        </w:numPr>
      </w:pPr>
      <w:r>
        <w:t>On-premise forms — the on-premise form of each option, and the path eClaims would take if YCompany mandated on-premise hosting.</w:t>
      </w:r>
    </w:p>
    <w:p>
      <w:pPr>
        <w:pStyle w:val="ListParagraph"/>
        <w:numPr>
          <w:ilvl w:val="0"/>
          <w:numId w:val="40"/>
        </w:numPr>
      </w:pPr>
      <w:r>
        <w:t>Recommendation — including the conditions under which it would change and the fallback for those conditions.</w:t>
      </w:r>
    </w:p>
    <w:p>
      <w:pPr>
        <w:pStyle w:val="ListParagraph"/>
        <w:numPr>
          <w:ilvl w:val="0"/>
          <w:numId w:val="40"/>
        </w:numPr>
      </w:pPr>
      <w:r>
        <w:t>Assumptions and risks — with mitigations, for the recommended option.</w:t>
      </w:r>
    </w:p>
    <w:p>
      <w:r>
        <w:t>The following are out of scope. This document does not restate the eClaims solution architecture and does not specify the network topology, subnet layout, task sizing or release pipeline, all of which the SAD covers (Sections 4 and 9). It does not evaluate the backend framework, the data stores, messaging or the workflow engine, each of which is the subject of its own analysis, nor the on-premise equivalents of the other AWS-managed services, which the SAD's on-premise profile covers (Section 4, Deployment Options). Prices are public list prices for US East (N. Virginia) accessed on 30 September 2026; US East (Ohio) lists the same prices for the services compared (accessed 29 October 2026). They exclude taxes and negotiated discounts and are not quotations.</w:t>
      </w:r>
    </w:p>
    <w:p>
      <w:r>
        <w:br w:type="page"/>
      </w:r>
    </w:p>
    <w:p>
      <w:pPr>
        <w:pStyle w:val="Heading1"/>
      </w:pPr>
      <w:bookmarkStart w:id="102" w:name="_Toc300000003"/>
      <w:r>
        <w:t>Requirements at a Glance</w:t>
      </w:r>
      <w:bookmarkEnd w:id="102"/>
    </w:p>
    <w:p>
      <w:r>
        <w:t>This section summarises only those requirements that discriminate between the options. It is deliberately not a restatement of the full eClaims requirement set; requirements that every candidate satisfies equally cannot influence the decision and are omitted.</w:t>
      </w:r>
    </w:p>
    <w:p>
      <w:r>
        <w:t>The decisive characteristic of eClaims is the shape of its workload. It is not a set of short, event-triggered functions and it is not a large estate of heterogeneous workloads needing a general-purpose scheduler. It is a modest fleet of long-lived HTTP services — the thirteen Layer 3 services of SAD Section 4, Claims, Incident Management, Payment and Document among them, plus the Auth Service — that hold pooled database and cache connections, serve the three portals and the mobile app through the Application Load Balancer (ALB), run queue consumers and the outbox relay alongside, must answer within a fixed latency budget, and must run unattended around the clock under a lean operations team.</w:t>
      </w:r>
    </w:p>
    <w:p>
      <w:pPr>
        <w:pStyle w:val="Heading2"/>
      </w:pPr>
      <w:bookmarkStart w:id="103" w:name="_Toc300000004"/>
      <w:r>
        <w:t>Functional Requirements</w:t>
      </w:r>
      <w:bookmarkEnd w:id="103"/>
    </w:p>
    <w:p>
      <w:pPr>
        <w:pStyle w:val="ListParagraph"/>
        <w:numPr>
          <w:ilvl w:val="0"/>
          <w:numId w:val="40"/>
        </w:numPr>
      </w:pPr>
      <w:r>
        <w:t>Service-oriented decomposition — functionality is componentized as independently deployable services, each scalable and releasable on its own without coordinated deployment of the rest.</w:t>
      </w:r>
    </w:p>
    <w:p>
      <w:pPr>
        <w:pStyle w:val="ListParagraph"/>
        <w:numPr>
          <w:ilvl w:val="0"/>
          <w:numId w:val="40"/>
        </w:numPr>
      </w:pPr>
      <w:r>
        <w:t>Long-lived HTTP services — each service holds a PostgreSQL connection pool and a Redis client for its lifetime; the runtime must support a persistent process rather than a per-invocation one.</w:t>
      </w:r>
    </w:p>
    <w:p>
      <w:pPr>
        <w:pStyle w:val="ListParagraph"/>
        <w:numPr>
          <w:ilvl w:val="0"/>
          <w:numId w:val="40"/>
        </w:numPr>
      </w:pPr>
      <w:r>
        <w:t>Synchronous request and response under load — the three portals and the mobile app call the services through the load balancer, so the runtime must serve interactive traffic and not only event-driven work.</w:t>
      </w:r>
    </w:p>
    <w:p>
      <w:pPr>
        <w:pStyle w:val="ListParagraph"/>
        <w:numPr>
          <w:ilvl w:val="0"/>
          <w:numId w:val="40"/>
        </w:numPr>
      </w:pPr>
      <w:r>
        <w:t>Asynchronous work — event consumers, the outbox relay, notification dispatch and on-demand report jobs run alongside the request path and must be accommodated by the same platform. Short scheduled and event-driven jobs — the SLA scan, document reconciliation and document indexing — run on EventBridge Scheduler and Lambda (SAD Section 4, Layer 4).</w:t>
      </w:r>
    </w:p>
    <w:p>
      <w:pPr>
        <w:pStyle w:val="ListParagraph"/>
        <w:numPr>
          <w:ilvl w:val="0"/>
          <w:numId w:val="40"/>
        </w:numPr>
      </w:pPr>
      <w:r>
        <w:t>Blue-green release with automatic rollback — two task sets behind weighted load-balancer target groups, with traffic shifted between them and rolled back on an alarm.</w:t>
      </w:r>
    </w:p>
    <w:p>
      <w:pPr>
        <w:pStyle w:val="ListParagraph"/>
        <w:numPr>
          <w:ilvl w:val="0"/>
          <w:numId w:val="40"/>
        </w:numPr>
      </w:pPr>
      <w:r>
        <w:t>Workloads exceeding function time limits — on-demand report jobs, the daily export of audit records and an OpenSearch index rebuild can run longer than the fifteen-minute maximum duration of a serverless function.</w:t>
      </w:r>
    </w:p>
    <w:p>
      <w:pPr>
        <w:pStyle w:val="Heading2"/>
      </w:pPr>
      <w:bookmarkStart w:id="104" w:name="_Toc300000005"/>
      <w:r>
        <w:t>Non-Functional Requirements</w:t>
      </w:r>
      <w:bookmarkEnd w:id="104"/>
    </w:p>
    <w:p>
      <w:pPr>
        <w:pStyle w:val="ListParagraph"/>
        <w:numPr>
          <w:ilvl w:val="0"/>
          <w:numId w:val="40"/>
        </w:numPr>
      </w:pPr>
      <w:r>
        <w:t>Availability and self-healing — 24×7 operation; after a crash the system must restart on its own, without operator intervention, across at least three Availability Zones.</w:t>
      </w:r>
    </w:p>
    <w:p>
      <w:pPr>
        <w:pStyle w:val="ListParagraph"/>
        <w:numPr>
          <w:ilvl w:val="0"/>
          <w:numId w:val="40"/>
        </w:numPr>
      </w:pPr>
      <w:r>
        <w:t>Autoscaling to demand — capacity must follow load automatically, from a resting floor to peak claim volume, per service rather than for the platform as a whole.</w:t>
      </w:r>
    </w:p>
    <w:p>
      <w:pPr>
        <w:pStyle w:val="ListParagraph"/>
        <w:numPr>
          <w:ilvl w:val="0"/>
          <w:numId w:val="40"/>
        </w:numPr>
      </w:pPr>
      <w:r>
        <w:t>Performance — 99% of service calls must complete in under 5,000 ms at peak and non-peak load. Latency added by the compute platform itself, including any start-up delay on the request path, consumes that budget directly.</w:t>
      </w:r>
    </w:p>
    <w:p>
      <w:pPr>
        <w:pStyle w:val="ListParagraph"/>
        <w:numPr>
          <w:ilvl w:val="0"/>
          <w:numId w:val="40"/>
        </w:numPr>
      </w:pPr>
      <w:r>
        <w:t>Scalability — a customer base exceeding 200 million, with each service scaling horizontally from 2 to 100 tasks.</w:t>
      </w:r>
    </w:p>
    <w:p>
      <w:pPr>
        <w:pStyle w:val="ListParagraph"/>
        <w:numPr>
          <w:ilvl w:val="0"/>
          <w:numId w:val="40"/>
        </w:numPr>
      </w:pPr>
      <w:r>
        <w:t>Deployment flexibility — the platform must support both on-premise and cloud-based deployment. This is the requirement on which the candidates differ most, and Sections 4.5, 5.6 and 6.2 address it directly rather than in passing.</w:t>
      </w:r>
    </w:p>
    <w:p>
      <w:pPr>
        <w:pStyle w:val="ListParagraph"/>
        <w:numPr>
          <w:ilvl w:val="0"/>
          <w:numId w:val="40"/>
        </w:numPr>
      </w:pPr>
      <w:r>
        <w:t>Security — OWASP Top 10 coverage, encryption in transit and at rest, role-based access control, and least-privilege identity per service rather than per host.</w:t>
      </w:r>
    </w:p>
    <w:p>
      <w:pPr>
        <w:pStyle w:val="ListParagraph"/>
        <w:numPr>
          <w:ilvl w:val="0"/>
          <w:numId w:val="40"/>
        </w:numPr>
      </w:pPr>
      <w:r>
        <w:t>Observability — structured logs, metrics and distributed traces must reach CloudWatch and X-Ray without a self-managed collection tier.</w:t>
      </w:r>
    </w:p>
    <w:p>
      <w:pPr>
        <w:pStyle w:val="ListParagraph"/>
        <w:numPr>
          <w:ilvl w:val="0"/>
          <w:numId w:val="40"/>
        </w:numPr>
      </w:pPr>
      <w:r>
        <w:t>Operability with a lean team — control-plane patching, node lifecycle, version upgrades and capacity planning are cost, not capability.</w:t>
      </w:r>
    </w:p>
    <w:p>
      <w:pPr>
        <w:pStyle w:val="Heading2"/>
      </w:pPr>
      <w:bookmarkStart w:id="105" w:name="_Toc300000006"/>
      <w:r>
        <w:t>Requirement traceability</w:t>
      </w:r>
      <w:bookmarkEnd w:id="105"/>
    </w:p>
    <w:p>
      <w:r>
        <w:t>The table traces each requirement to its source in the case study and to the attributes that assess it in each stage. Case-study references are to Section 5 (Design Requirements), Section 5.1 (functional requirements FR 1–6) and Section 5.2 (non-functional requirements NFR 1–6).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56"/>
        <w:gridCol w:w="1759"/>
        <w:gridCol w:w="1648"/>
        <w:gridCol w:w="1888"/>
        <w:gridCol w:w="1666"/>
        <w:gridCol w:w="1709"/>
      </w:tblGrid>
      <w:tr>
        <w:trPr>
          <w:cantSplit/>
          <w:tblHeader/>
        </w:trPr>
        <w:tc>
          <w:tcPr>
            <w:tcW w:w="35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t>
            </w:r>
          </w:p>
        </w:tc>
        <w:tc>
          <w:tcPr>
            <w:tcW w:w="175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Requirement</w:t>
            </w:r>
          </w:p>
        </w:tc>
        <w:tc>
          <w:tcPr>
            <w:tcW w:w="164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Source in the case study</w:t>
            </w:r>
          </w:p>
        </w:tc>
        <w:tc>
          <w:tcPr>
            <w:tcW w:w="188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Why it matters for eClaims</w:t>
            </w:r>
          </w:p>
        </w:tc>
        <w:tc>
          <w:tcPr>
            <w:tcW w:w="166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Compute model (Section 4)</w:t>
            </w:r>
          </w:p>
        </w:tc>
        <w:tc>
          <w:tcPr>
            <w:tcW w:w="170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Orchestrator (Section 5)</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1</w:t>
            </w:r>
          </w:p>
        </w:tc>
        <w:tc>
          <w:tcPr>
            <w:tcW w:w="1759" w:type="dxa"/>
            <w:tcBorders>
              <w:top w:val="dotted" w:sz="4" w:space="0" w:color="auto"/>
              <w:left w:val="dotted" w:sz="4" w:space="0" w:color="auto"/>
              <w:bottom w:val="dotted" w:sz="4" w:space="0" w:color="auto"/>
              <w:right w:val="dotted" w:sz="4" w:space="0" w:color="auto"/>
            </w:tcBorders>
          </w:tcPr>
          <w:p>
            <w:pPr>
              <w:pStyle w:val="NoSpacing"/>
            </w:pPr>
            <w:r>
              <w:t>24×7 operation, automatic restart after a crash, reliability</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 Design Requirements</w:t>
            </w:r>
          </w:p>
        </w:tc>
        <w:tc>
          <w:tcPr>
            <w:tcW w:w="1888" w:type="dxa"/>
            <w:tcBorders>
              <w:top w:val="dotted" w:sz="4" w:space="0" w:color="auto"/>
              <w:left w:val="dotted" w:sz="4" w:space="0" w:color="auto"/>
              <w:bottom w:val="dotted" w:sz="4" w:space="0" w:color="auto"/>
              <w:right w:val="dotted" w:sz="4" w:space="0" w:color="auto"/>
            </w:tcBorders>
          </w:tcPr>
          <w:p>
            <w:pPr>
              <w:pStyle w:val="NoSpacing"/>
            </w:pPr>
            <w:r>
              <w:t>A failed Claims or Payment task must be replaced without an operator, in any of three Availability Zones (SAD Section 7).</w:t>
            </w:r>
          </w:p>
        </w:tc>
        <w:tc>
          <w:tcPr>
            <w:tcW w:w="1666" w:type="dxa"/>
            <w:tcBorders>
              <w:top w:val="dotted" w:sz="4" w:space="0" w:color="auto"/>
              <w:left w:val="dotted" w:sz="4" w:space="0" w:color="auto"/>
              <w:bottom w:val="dotted" w:sz="4" w:space="0" w:color="auto"/>
              <w:right w:val="dotted" w:sz="4" w:space="0" w:color="auto"/>
            </w:tcBorders>
          </w:tcPr>
          <w:p>
            <w:pPr>
              <w:pStyle w:val="NoSpacing"/>
            </w:pPr>
            <w:r>
              <w:t>Self-healing and automatic restart</w:t>
            </w:r>
          </w:p>
        </w:tc>
        <w:tc>
          <w:tcPr>
            <w:tcW w:w="1709" w:type="dxa"/>
            <w:tcBorders>
              <w:top w:val="dotted" w:sz="4" w:space="0" w:color="auto"/>
              <w:left w:val="dotted" w:sz="4" w:space="0" w:color="auto"/>
              <w:bottom w:val="dotted" w:sz="4" w:space="0" w:color="auto"/>
              <w:right w:val="dotted" w:sz="4" w:space="0" w:color="auto"/>
            </w:tcBorders>
          </w:tcPr>
          <w:p>
            <w:pPr>
              <w:pStyle w:val="NoSpacing"/>
            </w:pPr>
            <w:r>
              <w:t>Met equally (same Fargate runtime); upkeep under Maintainability</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2</w:t>
            </w:r>
          </w:p>
        </w:tc>
        <w:tc>
          <w:tcPr>
            <w:tcW w:w="1759" w:type="dxa"/>
            <w:tcBorders>
              <w:top w:val="dotted" w:sz="4" w:space="0" w:color="auto"/>
              <w:left w:val="dotted" w:sz="4" w:space="0" w:color="auto"/>
              <w:bottom w:val="dotted" w:sz="4" w:space="0" w:color="auto"/>
              <w:right w:val="dotted" w:sz="4" w:space="0" w:color="auto"/>
            </w:tcBorders>
          </w:tcPr>
          <w:p>
            <w:pPr>
              <w:pStyle w:val="NoSpacing"/>
            </w:pPr>
            <w:r>
              <w:t>Auto-scaling to match demand; capacity for future load</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5.2, NFR 2 and NFR 1</w:t>
            </w:r>
          </w:p>
        </w:tc>
        <w:tc>
          <w:tcPr>
            <w:tcW w:w="1888" w:type="dxa"/>
            <w:tcBorders>
              <w:top w:val="dotted" w:sz="4" w:space="0" w:color="auto"/>
              <w:left w:val="dotted" w:sz="4" w:space="0" w:color="auto"/>
              <w:bottom w:val="dotted" w:sz="4" w:space="0" w:color="auto"/>
              <w:right w:val="dotted" w:sz="4" w:space="0" w:color="auto"/>
            </w:tcBorders>
          </w:tcPr>
          <w:p>
            <w:pPr>
              <w:pStyle w:val="NoSpacing"/>
            </w:pPr>
            <w:r>
              <w:t>A catastrophe day brings about ten times the average claim volume (SAD Section 9.1). Each service scales on its own from a floor of two tasks (SAD Sections 9.3 and 9.4).</w:t>
            </w:r>
          </w:p>
        </w:tc>
        <w:tc>
          <w:tcPr>
            <w:tcW w:w="1666" w:type="dxa"/>
            <w:tcBorders>
              <w:top w:val="dotted" w:sz="4" w:space="0" w:color="auto"/>
              <w:left w:val="dotted" w:sz="4" w:space="0" w:color="auto"/>
              <w:bottom w:val="dotted" w:sz="4" w:space="0" w:color="auto"/>
              <w:right w:val="dotted" w:sz="4" w:space="0" w:color="auto"/>
            </w:tcBorders>
          </w:tcPr>
          <w:p>
            <w:pPr>
              <w:pStyle w:val="NoSpacing"/>
            </w:pPr>
            <w:r>
              <w:t>Autoscaling to demand; concurrency headroom</w:t>
            </w:r>
          </w:p>
        </w:tc>
        <w:tc>
          <w:tcPr>
            <w:tcW w:w="1709" w:type="dxa"/>
            <w:tcBorders>
              <w:top w:val="dotted" w:sz="4" w:space="0" w:color="auto"/>
              <w:left w:val="dotted" w:sz="4" w:space="0" w:color="auto"/>
              <w:bottom w:val="dotted" w:sz="4" w:space="0" w:color="auto"/>
              <w:right w:val="dotted" w:sz="4" w:space="0" w:color="auto"/>
            </w:tcBorders>
          </w:tcPr>
          <w:p>
            <w:pPr>
              <w:pStyle w:val="NoSpacing"/>
            </w:pPr>
            <w:r>
              <w:t>Met equally; capacity options under Flexibility</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3</w:t>
            </w:r>
          </w:p>
        </w:tc>
        <w:tc>
          <w:tcPr>
            <w:tcW w:w="1759" w:type="dxa"/>
            <w:tcBorders>
              <w:top w:val="dotted" w:sz="4" w:space="0" w:color="auto"/>
              <w:left w:val="dotted" w:sz="4" w:space="0" w:color="auto"/>
              <w:bottom w:val="dotted" w:sz="4" w:space="0" w:color="auto"/>
              <w:right w:val="dotted" w:sz="4" w:space="0" w:color="auto"/>
            </w:tcBorders>
          </w:tcPr>
          <w:p>
            <w:pPr>
              <w:pStyle w:val="NoSpacing"/>
            </w:pPr>
            <w:r>
              <w:t>99% of requests in under 5,000 ms, peak and non-peak</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5.2, NFR 3</w:t>
            </w:r>
          </w:p>
        </w:tc>
        <w:tc>
          <w:tcPr>
            <w:tcW w:w="1888" w:type="dxa"/>
            <w:tcBorders>
              <w:top w:val="dotted" w:sz="4" w:space="0" w:color="auto"/>
              <w:left w:val="dotted" w:sz="4" w:space="0" w:color="auto"/>
              <w:bottom w:val="dotted" w:sz="4" w:space="0" w:color="auto"/>
              <w:right w:val="dotted" w:sz="4" w:space="0" w:color="auto"/>
            </w:tcBorders>
          </w:tcPr>
          <w:p>
            <w:pPr>
              <w:pStyle w:val="NoSpacing"/>
            </w:pPr>
            <w:r>
              <w:t>The runtime must add nothing to the request path: a task starts once and serves many requests. The SAD sets internal p99 targets of 1,000 ms for reads and 2,000 ms for writes (Section 9.2).</w:t>
            </w:r>
          </w:p>
        </w:tc>
        <w:tc>
          <w:tcPr>
            <w:tcW w:w="1666" w:type="dxa"/>
            <w:tcBorders>
              <w:top w:val="dotted" w:sz="4" w:space="0" w:color="auto"/>
              <w:left w:val="dotted" w:sz="4" w:space="0" w:color="auto"/>
              <w:bottom w:val="dotted" w:sz="4" w:space="0" w:color="auto"/>
              <w:right w:val="dotted" w:sz="4" w:space="0" w:color="auto"/>
            </w:tcBorders>
          </w:tcPr>
          <w:p>
            <w:pPr>
              <w:pStyle w:val="NoSpacing"/>
            </w:pPr>
            <w:r>
              <w:t>Cold-start and latency predictability</w:t>
            </w:r>
          </w:p>
        </w:tc>
        <w:tc>
          <w:tcPr>
            <w:tcW w:w="1709" w:type="dxa"/>
            <w:tcBorders>
              <w:top w:val="dotted" w:sz="4" w:space="0" w:color="auto"/>
              <w:left w:val="dotted" w:sz="4" w:space="0" w:color="auto"/>
              <w:bottom w:val="dotted" w:sz="4" w:space="0" w:color="auto"/>
              <w:right w:val="dotted" w:sz="4" w:space="0" w:color="auto"/>
            </w:tcBorders>
          </w:tcPr>
          <w:p>
            <w:pPr>
              <w:pStyle w:val="NoSpacing"/>
            </w:pPr>
            <w:r>
              <w:t>Met equally (same Fargate runtime)</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4</w:t>
            </w:r>
          </w:p>
        </w:tc>
        <w:tc>
          <w:tcPr>
            <w:tcW w:w="1759" w:type="dxa"/>
            <w:tcBorders>
              <w:top w:val="dotted" w:sz="4" w:space="0" w:color="auto"/>
              <w:left w:val="dotted" w:sz="4" w:space="0" w:color="auto"/>
              <w:bottom w:val="dotted" w:sz="4" w:space="0" w:color="auto"/>
              <w:right w:val="dotted" w:sz="4" w:space="0" w:color="auto"/>
            </w:tcBorders>
          </w:tcPr>
          <w:p>
            <w:pPr>
              <w:pStyle w:val="NoSpacing"/>
            </w:pPr>
            <w:r>
              <w:t>Both on-premise and cloud deployment</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5.2, NFR 2</w:t>
            </w:r>
          </w:p>
        </w:tc>
        <w:tc>
          <w:tcPr>
            <w:tcW w:w="1888" w:type="dxa"/>
            <w:tcBorders>
              <w:top w:val="dotted" w:sz="4" w:space="0" w:color="auto"/>
              <w:left w:val="dotted" w:sz="4" w:space="0" w:color="auto"/>
              <w:bottom w:val="dotted" w:sz="4" w:space="0" w:color="auto"/>
              <w:right w:val="dotted" w:sz="4" w:space="0" w:color="auto"/>
            </w:tcBorders>
          </w:tcPr>
          <w:p>
            <w:pPr>
              <w:pStyle w:val="NoSpacing"/>
            </w:pPr>
            <w:r>
              <w:t>Phase 1 runs on AWS; an on-premise profile on Kubernetes is designed now and built only if YCompany mandates it (SAD Section 4, Deployment Options; Section 10, Assumption 10).</w:t>
            </w:r>
          </w:p>
        </w:tc>
        <w:tc>
          <w:tcPr>
            <w:tcW w:w="1666" w:type="dxa"/>
            <w:tcBorders>
              <w:top w:val="dotted" w:sz="4" w:space="0" w:color="auto"/>
              <w:left w:val="dotted" w:sz="4" w:space="0" w:color="auto"/>
              <w:bottom w:val="dotted" w:sz="4" w:space="0" w:color="auto"/>
              <w:right w:val="dotted" w:sz="4" w:space="0" w:color="auto"/>
            </w:tcBorders>
          </w:tcPr>
          <w:p>
            <w:pPr>
              <w:pStyle w:val="NoSpacing"/>
            </w:pPr>
            <w:r>
              <w:t>Portability and on-premise support</w:t>
            </w:r>
          </w:p>
        </w:tc>
        <w:tc>
          <w:tcPr>
            <w:tcW w:w="1709" w:type="dxa"/>
            <w:tcBorders>
              <w:top w:val="dotted" w:sz="4" w:space="0" w:color="auto"/>
              <w:left w:val="dotted" w:sz="4" w:space="0" w:color="auto"/>
              <w:bottom w:val="dotted" w:sz="4" w:space="0" w:color="auto"/>
              <w:right w:val="dotted" w:sz="4" w:space="0" w:color="auto"/>
            </w:tcBorders>
          </w:tcPr>
          <w:p>
            <w:pPr>
              <w:pStyle w:val="NoSpacing"/>
            </w:pPr>
            <w:r>
              <w:t>Portability</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5</w:t>
            </w:r>
          </w:p>
        </w:tc>
        <w:tc>
          <w:tcPr>
            <w:tcW w:w="1759" w:type="dxa"/>
            <w:tcBorders>
              <w:top w:val="dotted" w:sz="4" w:space="0" w:color="auto"/>
              <w:left w:val="dotted" w:sz="4" w:space="0" w:color="auto"/>
              <w:bottom w:val="dotted" w:sz="4" w:space="0" w:color="auto"/>
              <w:right w:val="dotted" w:sz="4" w:space="0" w:color="auto"/>
            </w:tcBorders>
          </w:tcPr>
          <w:p>
            <w:pPr>
              <w:pStyle w:val="NoSpacing"/>
            </w:pPr>
            <w:r>
              <w:t>Identity with role-based access; encryption; OWASP Top 10</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5.1, FR 2 and FR 5; Section 5.2, NFR 5</w:t>
            </w:r>
          </w:p>
        </w:tc>
        <w:tc>
          <w:tcPr>
            <w:tcW w:w="1888" w:type="dxa"/>
            <w:tcBorders>
              <w:top w:val="dotted" w:sz="4" w:space="0" w:color="auto"/>
              <w:left w:val="dotted" w:sz="4" w:space="0" w:color="auto"/>
              <w:bottom w:val="dotted" w:sz="4" w:space="0" w:color="auto"/>
              <w:right w:val="dotted" w:sz="4" w:space="0" w:color="auto"/>
            </w:tcBorders>
          </w:tcPr>
          <w:p>
            <w:pPr>
              <w:pStyle w:val="NoSpacing"/>
            </w:pPr>
            <w:r>
              <w:t>Each service needs its own least-privilege identity, secrets delivered at runtime and network isolation. Claim, policy and payment data are sensitive.</w:t>
            </w:r>
          </w:p>
        </w:tc>
        <w:tc>
          <w:tcPr>
            <w:tcW w:w="1666" w:type="dxa"/>
            <w:tcBorders>
              <w:top w:val="dotted" w:sz="4" w:space="0" w:color="auto"/>
              <w:left w:val="dotted" w:sz="4" w:space="0" w:color="auto"/>
              <w:bottom w:val="dotted" w:sz="4" w:space="0" w:color="auto"/>
              <w:right w:val="dotted" w:sz="4" w:space="0" w:color="auto"/>
            </w:tcBorders>
          </w:tcPr>
          <w:p>
            <w:pPr>
              <w:pStyle w:val="NoSpacing"/>
            </w:pPr>
            <w:r>
              <w:t>Security and IAM integration</w:t>
            </w:r>
          </w:p>
        </w:tc>
        <w:tc>
          <w:tcPr>
            <w:tcW w:w="1709" w:type="dxa"/>
            <w:tcBorders>
              <w:top w:val="dotted" w:sz="4" w:space="0" w:color="auto"/>
              <w:left w:val="dotted" w:sz="4" w:space="0" w:color="auto"/>
              <w:bottom w:val="dotted" w:sz="4" w:space="0" w:color="auto"/>
              <w:right w:val="dotted" w:sz="4" w:space="0" w:color="auto"/>
            </w:tcBorders>
          </w:tcPr>
          <w:p>
            <w:pPr>
              <w:pStyle w:val="NoSpacing"/>
            </w:pPr>
            <w:r>
              <w:t>Security</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6</w:t>
            </w:r>
          </w:p>
        </w:tc>
        <w:tc>
          <w:tcPr>
            <w:tcW w:w="1759" w:type="dxa"/>
            <w:tcBorders>
              <w:top w:val="dotted" w:sz="4" w:space="0" w:color="auto"/>
              <w:left w:val="dotted" w:sz="4" w:space="0" w:color="auto"/>
              <w:bottom w:val="dotted" w:sz="4" w:space="0" w:color="auto"/>
              <w:right w:val="dotted" w:sz="4" w:space="0" w:color="auto"/>
            </w:tcBorders>
          </w:tcPr>
          <w:p>
            <w:pPr>
              <w:pStyle w:val="NoSpacing"/>
            </w:pPr>
            <w:r>
              <w:t>Monitor and maintain: testability, configurability, upgradeability; logging to debug any error</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5.2, NFR 4; Section 5, Design Requirements</w:t>
            </w:r>
          </w:p>
        </w:tc>
        <w:tc>
          <w:tcPr>
            <w:tcW w:w="1888" w:type="dxa"/>
            <w:tcBorders>
              <w:top w:val="dotted" w:sz="4" w:space="0" w:color="auto"/>
              <w:left w:val="dotted" w:sz="4" w:space="0" w:color="auto"/>
              <w:bottom w:val="dotted" w:sz="4" w:space="0" w:color="auto"/>
              <w:right w:val="dotted" w:sz="4" w:space="0" w:color="auto"/>
            </w:tcBorders>
          </w:tcPr>
          <w:p>
            <w:pPr>
              <w:pStyle w:val="NoSpacing"/>
            </w:pPr>
            <w:r>
              <w:t>Logs, metrics and traces must reach CloudWatch and X-Ray without a self-managed tier, and the platform must be kept current without downtime.</w:t>
            </w:r>
          </w:p>
        </w:tc>
        <w:tc>
          <w:tcPr>
            <w:tcW w:w="1666" w:type="dxa"/>
            <w:tcBorders>
              <w:top w:val="dotted" w:sz="4" w:space="0" w:color="auto"/>
              <w:left w:val="dotted" w:sz="4" w:space="0" w:color="auto"/>
              <w:bottom w:val="dotted" w:sz="4" w:space="0" w:color="auto"/>
              <w:right w:val="dotted" w:sz="4" w:space="0" w:color="auto"/>
            </w:tcBorders>
          </w:tcPr>
          <w:p>
            <w:pPr>
              <w:pStyle w:val="NoSpacing"/>
            </w:pPr>
            <w:r>
              <w:t>Operational overhead; complexity</w:t>
            </w:r>
          </w:p>
        </w:tc>
        <w:tc>
          <w:tcPr>
            <w:tcW w:w="1709" w:type="dxa"/>
            <w:tcBorders>
              <w:top w:val="dotted" w:sz="4" w:space="0" w:color="auto"/>
              <w:left w:val="dotted" w:sz="4" w:space="0" w:color="auto"/>
              <w:bottom w:val="dotted" w:sz="4" w:space="0" w:color="auto"/>
              <w:right w:val="dotted" w:sz="4" w:space="0" w:color="auto"/>
            </w:tcBorders>
          </w:tcPr>
          <w:p>
            <w:pPr>
              <w:pStyle w:val="NoSpacing"/>
            </w:pPr>
            <w:r>
              <w:t>Maintainability; Complexity</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7</w:t>
            </w:r>
          </w:p>
        </w:tc>
        <w:tc>
          <w:tcPr>
            <w:tcW w:w="1759" w:type="dxa"/>
            <w:tcBorders>
              <w:top w:val="dotted" w:sz="4" w:space="0" w:color="auto"/>
              <w:left w:val="dotted" w:sz="4" w:space="0" w:color="auto"/>
              <w:bottom w:val="dotted" w:sz="4" w:space="0" w:color="auto"/>
              <w:right w:val="dotted" w:sz="4" w:space="0" w:color="auto"/>
            </w:tcBorders>
          </w:tcPr>
          <w:p>
            <w:pPr>
              <w:pStyle w:val="NoSpacing"/>
            </w:pPr>
            <w:r>
              <w:t>Functionality built as services; design for evolution, flexibility and reuse</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 Design Requirements</w:t>
            </w:r>
          </w:p>
        </w:tc>
        <w:tc>
          <w:tcPr>
            <w:tcW w:w="1888" w:type="dxa"/>
            <w:tcBorders>
              <w:top w:val="dotted" w:sz="4" w:space="0" w:color="auto"/>
              <w:left w:val="dotted" w:sz="4" w:space="0" w:color="auto"/>
              <w:bottom w:val="dotted" w:sz="4" w:space="0" w:color="auto"/>
              <w:right w:val="dotted" w:sz="4" w:space="0" w:color="auto"/>
            </w:tcBorders>
          </w:tcPr>
          <w:p>
            <w:pPr>
              <w:pStyle w:val="NoSpacing"/>
            </w:pPr>
            <w:r>
              <w:t>Fourteen independently releasable services — the thirteen Layer 3 services and the Auth Service — with their queue consumers and one-off tasks such as database migrations, run under one service model with blue-green release (SAD Section 4, CI/CD Pipeline).</w:t>
            </w:r>
          </w:p>
        </w:tc>
        <w:tc>
          <w:tcPr>
            <w:tcW w:w="1666" w:type="dxa"/>
            <w:tcBorders>
              <w:top w:val="dotted" w:sz="4" w:space="0" w:color="auto"/>
              <w:left w:val="dotted" w:sz="4" w:space="0" w:color="auto"/>
              <w:bottom w:val="dotted" w:sz="4" w:space="0" w:color="auto"/>
              <w:right w:val="dotted" w:sz="4" w:space="0" w:color="auto"/>
            </w:tcBorders>
          </w:tcPr>
          <w:p>
            <w:pPr>
              <w:pStyle w:val="NoSpacing"/>
            </w:pPr>
            <w:r>
              <w:t>Long-running and stateful services</w:t>
            </w:r>
          </w:p>
        </w:tc>
        <w:tc>
          <w:tcPr>
            <w:tcW w:w="1709" w:type="dxa"/>
            <w:tcBorders>
              <w:top w:val="dotted" w:sz="4" w:space="0" w:color="auto"/>
              <w:left w:val="dotted" w:sz="4" w:space="0" w:color="auto"/>
              <w:bottom w:val="dotted" w:sz="4" w:space="0" w:color="auto"/>
              <w:right w:val="dotted" w:sz="4" w:space="0" w:color="auto"/>
            </w:tcBorders>
          </w:tcPr>
          <w:p>
            <w:pPr>
              <w:pStyle w:val="NoSpacing"/>
            </w:pPr>
            <w:r>
              <w:t>Flexibility; Control</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8</w:t>
            </w:r>
          </w:p>
        </w:tc>
        <w:tc>
          <w:tcPr>
            <w:tcW w:w="1759" w:type="dxa"/>
            <w:tcBorders>
              <w:top w:val="dotted" w:sz="4" w:space="0" w:color="auto"/>
              <w:left w:val="dotted" w:sz="4" w:space="0" w:color="auto"/>
              <w:bottom w:val="dotted" w:sz="4" w:space="0" w:color="auto"/>
              <w:right w:val="dotted" w:sz="4" w:space="0" w:color="auto"/>
            </w:tcBorders>
          </w:tcPr>
          <w:p>
            <w:pPr>
              <w:pStyle w:val="NoSpacing"/>
            </w:pPr>
            <w:r>
              <w:t>Cost-efficient operation by a lean team</w:t>
            </w:r>
          </w:p>
        </w:tc>
        <w:tc>
          <w:tcPr>
            <w:tcW w:w="1648" w:type="dxa"/>
            <w:tcBorders>
              <w:top w:val="dotted" w:sz="4" w:space="0" w:color="auto"/>
              <w:left w:val="dotted" w:sz="4" w:space="0" w:color="auto"/>
              <w:bottom w:val="dotted" w:sz="4" w:space="0" w:color="auto"/>
              <w:right w:val="dotted" w:sz="4" w:space="0" w:color="auto"/>
            </w:tcBorders>
          </w:tcPr>
          <w:p>
            <w:pPr>
              <w:pStyle w:val="NoSpacing"/>
            </w:pPr>
            <w:r>
              <w:t>Not a stated requirement; derived from the business case (SAD Section 1) and from NFR 4</w:t>
            </w:r>
          </w:p>
        </w:tc>
        <w:tc>
          <w:tcPr>
            <w:tcW w:w="1888" w:type="dxa"/>
            <w:tcBorders>
              <w:top w:val="dotted" w:sz="4" w:space="0" w:color="auto"/>
              <w:left w:val="dotted" w:sz="4" w:space="0" w:color="auto"/>
              <w:bottom w:val="dotted" w:sz="4" w:space="0" w:color="auto"/>
              <w:right w:val="dotted" w:sz="4" w:space="0" w:color="auto"/>
            </w:tcBorders>
          </w:tcPr>
          <w:p>
            <w:pPr>
              <w:pStyle w:val="NoSpacing"/>
            </w:pPr>
            <w:r>
              <w:t>Run cost and the standing effort to operate the platform.</w:t>
            </w:r>
          </w:p>
        </w:tc>
        <w:tc>
          <w:tcPr>
            <w:tcW w:w="1666" w:type="dxa"/>
            <w:tcBorders>
              <w:top w:val="dotted" w:sz="4" w:space="0" w:color="auto"/>
              <w:left w:val="dotted" w:sz="4" w:space="0" w:color="auto"/>
              <w:bottom w:val="dotted" w:sz="4" w:space="0" w:color="auto"/>
              <w:right w:val="dotted" w:sz="4" w:space="0" w:color="auto"/>
            </w:tcBorders>
          </w:tcPr>
          <w:p>
            <w:pPr>
              <w:pStyle w:val="NoSpacing"/>
            </w:pPr>
            <w:r>
              <w:t>Cost at eClaims scale; operational overhead</w:t>
            </w:r>
          </w:p>
        </w:tc>
        <w:tc>
          <w:tcPr>
            <w:tcW w:w="1709" w:type="dxa"/>
            <w:tcBorders>
              <w:top w:val="dotted" w:sz="4" w:space="0" w:color="auto"/>
              <w:left w:val="dotted" w:sz="4" w:space="0" w:color="auto"/>
              <w:bottom w:val="dotted" w:sz="4" w:space="0" w:color="auto"/>
              <w:right w:val="dotted" w:sz="4" w:space="0" w:color="auto"/>
            </w:tcBorders>
          </w:tcPr>
          <w:p>
            <w:pPr>
              <w:pStyle w:val="NoSpacing"/>
            </w:pPr>
            <w:r>
              <w:t>Cost; Complexity</w:t>
            </w:r>
          </w:p>
        </w:tc>
      </w:tr>
    </w:tbl>
    <w:p/>
    <w:p>
      <w:r>
        <w:t>Rows 1 to 3 separate the compute models but not the orchestrators: once both orchestrators run the same Fargate tasks, they replace failed tasks, spread them across zones and scale them on the same metrics. Section 5 therefore drops those attributes and weighs what each orchestrator asks the team to own. Requirements met outside the compute platform — data backup and recovery (FR 4), non-repudiation (FR 6) and English-only operation (NFR 6) — are omitted.</w:t>
      </w:r>
    </w:p>
    <w:p>
      <w:r>
        <w:br w:type="page"/>
      </w:r>
    </w:p>
    <w:p>
      <w:pPr>
        <w:pStyle w:val="Heading1"/>
      </w:pPr>
      <w:bookmarkStart w:id="106" w:name="_Toc300000007"/>
      <w:r>
        <w:t>Available tools</w:t>
      </w:r>
      <w:bookmarkEnd w:id="106"/>
    </w:p>
    <w:p>
      <w:r>
        <w:t>Three compute models were carried into detailed comparison. They differ in what the platform manages on the team's behalf and, consequently, in what the team retains: functions, where the provider manages everything including the process lifecycle; serverless containers, where the provider manages the host but the team owns the process; and Kubernetes, where the team owns the orchestration layer as well. Two of the descriptions below also cover the orchestrator choice of Section 5, because ECS and EKS are the AWS orchestrators for the second and third models.</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81"/>
        <w:gridCol w:w="2980"/>
        <w:gridCol w:w="1937"/>
        <w:gridCol w:w="2028"/>
      </w:tblGrid>
      <w:tr>
        <w:trPr>
          <w:cantSplit/>
          <w:tblHeader/>
        </w:trPr>
        <w:tc>
          <w:tcPr>
            <w:tcW w:w="2081"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Option</w:t>
            </w:r>
          </w:p>
        </w:tc>
        <w:tc>
          <w:tcPr>
            <w:tcW w:w="298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Category</w:t>
            </w:r>
          </w:p>
        </w:tc>
        <w:tc>
          <w:tcPr>
            <w:tcW w:w="193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Unit of deployment</w:t>
            </w:r>
          </w:p>
        </w:tc>
        <w:tc>
          <w:tcPr>
            <w:tcW w:w="202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What the team operates</w:t>
            </w:r>
          </w:p>
        </w:tc>
      </w:tr>
      <w:tr>
        <w:trPr>
          <w:cantSplit/>
        </w:trPr>
        <w:tc>
          <w:tcPr>
            <w:tcW w:w="2081" w:type="dxa"/>
            <w:tcBorders>
              <w:top w:val="dotted" w:sz="4" w:space="0" w:color="auto"/>
              <w:left w:val="dotted" w:sz="4" w:space="0" w:color="auto"/>
              <w:bottom w:val="dotted" w:sz="4" w:space="0" w:color="auto"/>
              <w:right w:val="dotted" w:sz="4" w:space="0" w:color="auto"/>
            </w:tcBorders>
          </w:tcPr>
          <w:p>
            <w:pPr>
              <w:pStyle w:val="NoSpacing"/>
            </w:pPr>
            <w:r>
              <w:t>Serverless functions (AWS Lambda)</w:t>
            </w:r>
          </w:p>
        </w:tc>
        <w:tc>
          <w:tcPr>
            <w:tcW w:w="2980" w:type="dxa"/>
            <w:tcBorders>
              <w:top w:val="dotted" w:sz="4" w:space="0" w:color="auto"/>
              <w:left w:val="dotted" w:sz="4" w:space="0" w:color="auto"/>
              <w:bottom w:val="dotted" w:sz="4" w:space="0" w:color="auto"/>
              <w:right w:val="dotted" w:sz="4" w:space="0" w:color="auto"/>
            </w:tcBorders>
          </w:tcPr>
          <w:p>
            <w:pPr>
              <w:pStyle w:val="NoSpacing"/>
            </w:pPr>
            <w:r>
              <w:t>Function-as-a-Service, event-driven</w:t>
            </w:r>
          </w:p>
        </w:tc>
        <w:tc>
          <w:tcPr>
            <w:tcW w:w="1937" w:type="dxa"/>
            <w:tcBorders>
              <w:top w:val="dotted" w:sz="4" w:space="0" w:color="auto"/>
              <w:left w:val="dotted" w:sz="4" w:space="0" w:color="auto"/>
              <w:bottom w:val="dotted" w:sz="4" w:space="0" w:color="auto"/>
              <w:right w:val="dotted" w:sz="4" w:space="0" w:color="auto"/>
            </w:tcBorders>
          </w:tcPr>
          <w:p>
            <w:pPr>
              <w:pStyle w:val="NoSpacing"/>
            </w:pPr>
            <w:r>
              <w:t>A function, invoked per event</w:t>
            </w:r>
          </w:p>
        </w:tc>
        <w:tc>
          <w:tcPr>
            <w:tcW w:w="2028" w:type="dxa"/>
            <w:tcBorders>
              <w:top w:val="dotted" w:sz="4" w:space="0" w:color="auto"/>
              <w:left w:val="dotted" w:sz="4" w:space="0" w:color="auto"/>
              <w:bottom w:val="dotted" w:sz="4" w:space="0" w:color="auto"/>
              <w:right w:val="dotted" w:sz="4" w:space="0" w:color="auto"/>
            </w:tcBorders>
          </w:tcPr>
          <w:p>
            <w:pPr>
              <w:pStyle w:val="NoSpacing"/>
            </w:pPr>
            <w:r>
              <w:t>Function code and configuration</w:t>
            </w:r>
          </w:p>
        </w:tc>
      </w:tr>
      <w:tr>
        <w:trPr>
          <w:cantSplit/>
        </w:trPr>
        <w:tc>
          <w:tcPr>
            <w:tcW w:w="2081" w:type="dxa"/>
            <w:tcBorders>
              <w:top w:val="dotted" w:sz="4" w:space="0" w:color="auto"/>
              <w:left w:val="dotted" w:sz="4" w:space="0" w:color="auto"/>
              <w:bottom w:val="dotted" w:sz="4" w:space="0" w:color="auto"/>
              <w:right w:val="dotted" w:sz="4" w:space="0" w:color="auto"/>
            </w:tcBorders>
          </w:tcPr>
          <w:p>
            <w:pPr>
              <w:pStyle w:val="NoSpacing"/>
            </w:pPr>
            <w:r>
              <w:t>Serverless containers (Amazon ECS on AWS Fargate)</w:t>
            </w:r>
          </w:p>
        </w:tc>
        <w:tc>
          <w:tcPr>
            <w:tcW w:w="2980" w:type="dxa"/>
            <w:tcBorders>
              <w:top w:val="dotted" w:sz="4" w:space="0" w:color="auto"/>
              <w:left w:val="dotted" w:sz="4" w:space="0" w:color="auto"/>
              <w:bottom w:val="dotted" w:sz="4" w:space="0" w:color="auto"/>
              <w:right w:val="dotted" w:sz="4" w:space="0" w:color="auto"/>
            </w:tcBorders>
          </w:tcPr>
          <w:p>
            <w:pPr>
              <w:pStyle w:val="NoSpacing"/>
            </w:pPr>
            <w:r>
              <w:t>Managed container orchestration, no host fleet</w:t>
            </w:r>
          </w:p>
        </w:tc>
        <w:tc>
          <w:tcPr>
            <w:tcW w:w="1937" w:type="dxa"/>
            <w:tcBorders>
              <w:top w:val="dotted" w:sz="4" w:space="0" w:color="auto"/>
              <w:left w:val="dotted" w:sz="4" w:space="0" w:color="auto"/>
              <w:bottom w:val="dotted" w:sz="4" w:space="0" w:color="auto"/>
              <w:right w:val="dotted" w:sz="4" w:space="0" w:color="auto"/>
            </w:tcBorders>
          </w:tcPr>
          <w:p>
            <w:pPr>
              <w:pStyle w:val="NoSpacing"/>
            </w:pPr>
            <w:r>
              <w:t>A container image, run as a long-lived task</w:t>
            </w:r>
          </w:p>
        </w:tc>
        <w:tc>
          <w:tcPr>
            <w:tcW w:w="2028" w:type="dxa"/>
            <w:tcBorders>
              <w:top w:val="dotted" w:sz="4" w:space="0" w:color="auto"/>
              <w:left w:val="dotted" w:sz="4" w:space="0" w:color="auto"/>
              <w:bottom w:val="dotted" w:sz="4" w:space="0" w:color="auto"/>
              <w:right w:val="dotted" w:sz="4" w:space="0" w:color="auto"/>
            </w:tcBorders>
          </w:tcPr>
          <w:p>
            <w:pPr>
              <w:pStyle w:val="NoSpacing"/>
            </w:pPr>
            <w:r>
              <w:t>ECS clusters, services and task definitions; no control-plane version</w:t>
            </w:r>
          </w:p>
        </w:tc>
      </w:tr>
      <w:tr>
        <w:trPr>
          <w:cantSplit/>
        </w:trPr>
        <w:tc>
          <w:tcPr>
            <w:tcW w:w="2081" w:type="dxa"/>
            <w:tcBorders>
              <w:top w:val="dotted" w:sz="4" w:space="0" w:color="auto"/>
              <w:left w:val="dotted" w:sz="4" w:space="0" w:color="auto"/>
              <w:bottom w:val="dotted" w:sz="4" w:space="0" w:color="auto"/>
              <w:right w:val="dotted" w:sz="4" w:space="0" w:color="auto"/>
            </w:tcBorders>
          </w:tcPr>
          <w:p>
            <w:pPr>
              <w:pStyle w:val="NoSpacing"/>
            </w:pPr>
            <w:r>
              <w:t>Kubernetes (Amazon EKS)</w:t>
            </w:r>
          </w:p>
        </w:tc>
        <w:tc>
          <w:tcPr>
            <w:tcW w:w="2980" w:type="dxa"/>
            <w:tcBorders>
              <w:top w:val="dotted" w:sz="4" w:space="0" w:color="auto"/>
              <w:left w:val="dotted" w:sz="4" w:space="0" w:color="auto"/>
              <w:bottom w:val="dotted" w:sz="4" w:space="0" w:color="auto"/>
              <w:right w:val="dotted" w:sz="4" w:space="0" w:color="auto"/>
            </w:tcBorders>
          </w:tcPr>
          <w:p>
            <w:pPr>
              <w:pStyle w:val="NoSpacing"/>
            </w:pPr>
            <w:r>
              <w:t>Container orchestration platform</w:t>
            </w:r>
          </w:p>
        </w:tc>
        <w:tc>
          <w:tcPr>
            <w:tcW w:w="1937" w:type="dxa"/>
            <w:tcBorders>
              <w:top w:val="dotted" w:sz="4" w:space="0" w:color="auto"/>
              <w:left w:val="dotted" w:sz="4" w:space="0" w:color="auto"/>
              <w:bottom w:val="dotted" w:sz="4" w:space="0" w:color="auto"/>
              <w:right w:val="dotted" w:sz="4" w:space="0" w:color="auto"/>
            </w:tcBorders>
          </w:tcPr>
          <w:p>
            <w:pPr>
              <w:pStyle w:val="NoSpacing"/>
            </w:pPr>
            <w:r>
              <w:t>A container image, run as a pod</w:t>
            </w:r>
          </w:p>
        </w:tc>
        <w:tc>
          <w:tcPr>
            <w:tcW w:w="2028" w:type="dxa"/>
            <w:tcBorders>
              <w:top w:val="dotted" w:sz="4" w:space="0" w:color="auto"/>
              <w:left w:val="dotted" w:sz="4" w:space="0" w:color="auto"/>
              <w:bottom w:val="dotted" w:sz="4" w:space="0" w:color="auto"/>
              <w:right w:val="dotted" w:sz="4" w:space="0" w:color="auto"/>
            </w:tcBorders>
          </w:tcPr>
          <w:p>
            <w:pPr>
              <w:pStyle w:val="NoSpacing"/>
            </w:pPr>
            <w:r>
              <w:t>A Kubernetes cluster per environment, with its version and add-ons; on EC2 nodes, the nodes too</w:t>
            </w:r>
          </w:p>
        </w:tc>
      </w:tr>
    </w:tbl>
    <w:p/>
    <w:p>
      <w:r>
        <w:t>Serverless containers occupy the ground between the other two: the operational model of a managed service with the execution model of a container. A comparison framed only as functions against Kubernetes would leave that option unexamined, so all three are compared on the same attributes in Section 4. In that comparison Kubernetes is assessed in its usual node-based form, EKS on EC2 nodes. Amazon EKS on Fargate — Kubernetes on the same serverless capacity as ECS — is the hybrid of the second and third models, and it is the like-for-like competitor in Section 5.</w:t>
      </w:r>
    </w:p>
    <w:p>
      <w:r>
        <w:t>Options considered and not carried forward are recorded for completeness. Deploying directly onto EC2 instances in an auto-scaling group with no orchestrator would require the team to build placement, health management and rolling release itself, which is work every candidate supplies. AWS App Runner is a credible simplification of the serverless-container model but constrains networking and release control more than the blue-green requirement allows. A self-managed Kubernetes cluster on EC2 is a strictly higher-effort form of EKS, because the team would also run the control plane. Red Hat OpenShift Service on AWS adds OpenShift service fees to the EC2 capacity beneath it; EKS represents it here, and OpenShift remains a candidate for the on-premise profile.</w:t>
      </w:r>
    </w:p>
    <w:p>
      <w:pPr>
        <w:pStyle w:val="Heading2"/>
      </w:pPr>
      <w:bookmarkStart w:id="107" w:name="_Toc300000008"/>
      <w:r>
        <w:t>Serverless Functions (AWS Lambda)</w:t>
      </w:r>
      <w:bookmarkEnd w:id="107"/>
    </w:p>
    <w:p>
      <w:r>
        <w:t>Serverless architecture is an approach to designing and building applications that use cloud services without explicit management of servers or infrastructure. The team writes code as functions and the provider supplies the runtime, the scaling and the resource allocation. Servers have not disappeared; their management is abstracted away from the people deploying the code.</w:t>
      </w:r>
    </w:p>
    <w:p>
      <w:r>
        <w:t>Execution is event-driven. A function runs in response to a trigger — an HTTP request through an API front end, a queue message, an object landing in storage, a schedule — and is billed only while it runs. Concurrency is achieved by the provider running many instances of the function side by side, each handling one invocation at a time.</w:t>
      </w:r>
    </w:p>
    <w:p>
      <w:r>
        <w:t>The consequence that matters for eClaims is that the function, not the team, owns the process lifecycle. An instance may be created for one request and discarded after it, so anything expensive to establish — a database connection pool, a cache client, a warmed model — is either re-established on a cold start or held outside the function. On AWS the reference implementation of this model is Lambda, which is what the scoring reflects.</w:t>
      </w:r>
    </w:p>
    <w:p>
      <w:pPr>
        <w:pStyle w:val="Heading3"/>
      </w:pPr>
      <w:bookmarkStart w:id="108" w:name="_Toc300000009"/>
      <w:r>
        <w:t>Key Features</w:t>
      </w:r>
      <w:bookmarkEnd w:id="108"/>
    </w:p>
    <w:p>
      <w:pPr>
        <w:pStyle w:val="ListParagraph"/>
        <w:numPr>
          <w:ilvl w:val="0"/>
          <w:numId w:val="40"/>
        </w:numPr>
      </w:pPr>
      <w:r>
        <w:t>Abstraction of infrastructure — no servers, operating systems or clusters to provision, patch or size.</w:t>
      </w:r>
    </w:p>
    <w:p>
      <w:pPr>
        <w:pStyle w:val="ListParagraph"/>
        <w:numPr>
          <w:ilvl w:val="0"/>
          <w:numId w:val="40"/>
        </w:numPr>
      </w:pPr>
      <w:r>
        <w:t>Event-driven execution — native integration with queues, streams, object storage, schedules and HTTP front ends.</w:t>
      </w:r>
    </w:p>
    <w:p>
      <w:pPr>
        <w:pStyle w:val="ListParagraph"/>
        <w:numPr>
          <w:ilvl w:val="0"/>
          <w:numId w:val="40"/>
        </w:numPr>
      </w:pPr>
      <w:r>
        <w:t>Automatic scaling — from zero to very high concurrency without configuration, and back to zero when idle.</w:t>
      </w:r>
    </w:p>
    <w:p>
      <w:pPr>
        <w:pStyle w:val="ListParagraph"/>
        <w:numPr>
          <w:ilvl w:val="0"/>
          <w:numId w:val="40"/>
        </w:numPr>
      </w:pPr>
      <w:r>
        <w:t>Pay-per-use pricing — billed on invocation count and on execution duration and memory, with no charge while idle.</w:t>
      </w:r>
    </w:p>
    <w:p>
      <w:pPr>
        <w:pStyle w:val="ListParagraph"/>
        <w:numPr>
          <w:ilvl w:val="0"/>
          <w:numId w:val="40"/>
        </w:numPr>
      </w:pPr>
      <w:r>
        <w:t>High availability by default — the provider runs the function across multiple Availability Zones with no topology for the team to design.</w:t>
      </w:r>
    </w:p>
    <w:p>
      <w:pPr>
        <w:pStyle w:val="ListParagraph"/>
        <w:numPr>
          <w:ilvl w:val="0"/>
          <w:numId w:val="40"/>
        </w:numPr>
      </w:pPr>
      <w:r>
        <w:t>Rapid development and deployment — a deployable unit is a function, so the path from code to production is short.</w:t>
      </w:r>
    </w:p>
    <w:p>
      <w:pPr>
        <w:pStyle w:val="ListParagraph"/>
        <w:numPr>
          <w:ilvl w:val="0"/>
          <w:numId w:val="40"/>
        </w:numPr>
      </w:pPr>
      <w:r>
        <w:t>Reduced operational overhead — the lowest of the three options: there is no host, no cluster and no process supervision to own.</w:t>
      </w:r>
    </w:p>
    <w:p>
      <w:pPr>
        <w:pStyle w:val="ListParagraph"/>
        <w:numPr>
          <w:ilvl w:val="0"/>
          <w:numId w:val="40"/>
        </w:numPr>
      </w:pPr>
      <w:r>
        <w:t>Strong identity integration — a per-function execution role gives least-privilege access without a shared host identity.</w:t>
      </w:r>
    </w:p>
    <w:p>
      <w:pPr>
        <w:pStyle w:val="ListParagraph"/>
        <w:numPr>
          <w:ilvl w:val="0"/>
          <w:numId w:val="40"/>
        </w:numPr>
      </w:pPr>
      <w:r>
        <w:t>Constraints to note — a maximum execution duration of fifteen minutes, cold-start latency on a new instance, a per-function deployment package limit, and provider-specific packaging and invocation contracts.</w:t>
      </w:r>
    </w:p>
    <w:p>
      <w:pPr>
        <w:pStyle w:val="Heading3"/>
      </w:pPr>
      <w:bookmarkStart w:id="109" w:name="_Toc300000010"/>
      <w:r>
        <w:t>Pricing Model</w:t>
      </w:r>
      <w:bookmarkEnd w:id="109"/>
    </w:p>
    <w:p>
      <w:r>
        <w:t>Serverless functions are billed per use, with no reserved capacity and no minimum fee. The bill is a function of the number of invocations and of execution duration multiplied by allocated memory, with a monthly free allowance. There is no charge while a function is idle, which is the model's strongest cost characteristic: an intermittent workload pays close to nothing between events.</w:t>
      </w:r>
    </w:p>
    <w:p>
      <w:r>
        <w:t>Several factors drive the total, and they behave differently from a container platform: execution time, invocation count, allocated memory, provisioned concurrency where cold starts must be eliminated, the API front end and any other services in the request path, data transfer and Region. The model inverts the usual cost curve — cheapest at low and intermittent volume, and progressively less economical as a workload approaches continuous execution, because a function running all the time pays per-invocation rates for what is effectively a server.</w:t>
      </w:r>
    </w:p>
    <w:p>
      <w:pPr>
        <w:pStyle w:val="Heading2"/>
      </w:pPr>
      <w:bookmarkStart w:id="110" w:name="_Toc300000011"/>
      <w:r>
        <w:t>Serverless Containers (Amazon ECS on AWS Fargate)</w:t>
      </w:r>
      <w:bookmarkEnd w:id="110"/>
    </w:p>
    <w:p>
      <w:r>
        <w:t>Serverless containers combine the deployment unit of container orchestration with the operating model of a serverless service. The team supplies a container image and a declaration of how much CPU and memory a task needs; the provider places it, runs it, monitors it, replaces it when it fails and bills for the resources the task reserves while it runs. There is no cluster of hosts to size, patch, scale or secure, because there are no hosts the team can see.</w:t>
      </w:r>
    </w:p>
    <w:p>
      <w:r>
        <w:t>Amazon ECS is AWS's own container orchestrator. The team declares two things: a task definition — the container image, CPU and memory, IAM role, secrets and log configuration — and an ECS service, which keeps the desired number of those tasks running behind a load balancer. There is no charge for ECS and no control-plane version to own: AWS operates the control plane and evolves it without customer upgrades. On Fargate capacity each task runs in its own AWS-managed isolation boundary, with its own network interface, IAM task role and security group, and no instance, node group or operating system falls within the team's scope.</w:t>
      </w:r>
    </w:p>
    <w:p>
      <w:r>
        <w:t>This option answers the principal objection to serverless functions — that they are unsuited to complex, long-running applications — because a Fargate task is an ordinary long-lived process running an ordinary container image. It holds a connection pool, serves requests continuously, keeps its cache warm and exceeds any function time limit, while requiring no more infrastructure ownership than a function does. It is the combination the SAD specifies (Section 4, Layer 3 and Deployment Topology; Section 8): each eClaims service is an ECS service of Fargate tasks, spread across three Availability Zones in private subnets, registered with an ALB target group, scaled by target tracking and released blue-green.</w:t>
      </w:r>
    </w:p>
    <w:p>
      <w:pPr>
        <w:pStyle w:val="Heading3"/>
      </w:pPr>
      <w:bookmarkStart w:id="111" w:name="_Toc300000012"/>
      <w:r>
        <w:t>Key Features</w:t>
      </w:r>
      <w:bookmarkEnd w:id="111"/>
    </w:p>
    <w:p>
      <w:pPr>
        <w:pStyle w:val="ListParagraph"/>
        <w:numPr>
          <w:ilvl w:val="0"/>
          <w:numId w:val="40"/>
        </w:numPr>
      </w:pPr>
      <w:r>
        <w:t>No host fleet to manage — AWS provisions, patches and secures the capacity; there are no instances, node groups or operating-system images in the team's scope.</w:t>
      </w:r>
    </w:p>
    <w:p>
      <w:pPr>
        <w:pStyle w:val="ListParagraph"/>
        <w:numPr>
          <w:ilvl w:val="0"/>
          <w:numId w:val="40"/>
        </w:numPr>
      </w:pPr>
      <w:r>
        <w:t>Long-lived tasks with predictable start-up — a task runs as long as it is healthy, with no maximum duration, and starts once before serving many requests, so image pull and initialisation happen off the request path.</w:t>
      </w:r>
    </w:p>
    <w:p>
      <w:pPr>
        <w:pStyle w:val="ListParagraph"/>
        <w:numPr>
          <w:ilvl w:val="0"/>
          <w:numId w:val="40"/>
        </w:numPr>
      </w:pPr>
      <w:r>
        <w:t>Self-healing service scheduler — keeps the desired count across Availability Zones and replaces any task that fails its container or load-balancer health check; the deployment circuit breaker rolls back a failed release automatically. The proof-of-concept services already expose the /health endpoint that such a check calls.</w:t>
      </w:r>
    </w:p>
    <w:p>
      <w:pPr>
        <w:pStyle w:val="ListParagraph"/>
        <w:numPr>
          <w:ilvl w:val="0"/>
          <w:numId w:val="40"/>
        </w:numPr>
      </w:pPr>
      <w:r>
        <w:t>Service Auto Scaling — target tracking on CPU, memory or ALB requests per target, plus step and scheduled scaling, for each service independently, with no node pool to scale underneath. The SAD's policy maps onto it directly: CPU at 60% or requests per target, with scheduled pre-scaling before known peaks. A service can run up to 5,000 tasks, well above the eClaims ceiling of 100.</w:t>
      </w:r>
    </w:p>
    <w:p>
      <w:pPr>
        <w:pStyle w:val="ListParagraph"/>
        <w:numPr>
          <w:ilvl w:val="0"/>
          <w:numId w:val="40"/>
        </w:numPr>
      </w:pPr>
      <w:r>
        <w:t>Blue-green, linear and canary release — built into ECS since 2025 (blue-green in July; linear and canary in October), and available through CodeDeploy with weighted ALB target groups as the SAD's pipeline specifies. Both routes roll back automatically on a CloudWatch alarm.</w:t>
      </w:r>
    </w:p>
    <w:p>
      <w:pPr>
        <w:pStyle w:val="ListParagraph"/>
        <w:numPr>
          <w:ilvl w:val="0"/>
          <w:numId w:val="40"/>
        </w:numPr>
      </w:pPr>
      <w:r>
        <w:t>Per-task identity and isolation — an IAM task role per service; secrets from Secrets Manager or Parameter Store injected at start-up; an elastic network interface and security group per task (awsvpc networking); no kernel shared with other tasks.</w:t>
      </w:r>
    </w:p>
    <w:p>
      <w:pPr>
        <w:pStyle w:val="ListParagraph"/>
        <w:numPr>
          <w:ilvl w:val="0"/>
          <w:numId w:val="40"/>
        </w:numPr>
      </w:pPr>
      <w:r>
        <w:t>AWS-native observability — the awslogs and FireLens log drivers send to CloudWatch Logs; Container Insights supplies metrics; X-Ray tracing runs through the AWS Distro for OpenTelemetry; task state changes, including stop reasons, are published on EventBridge.</w:t>
      </w:r>
    </w:p>
    <w:p>
      <w:pPr>
        <w:pStyle w:val="ListParagraph"/>
        <w:numPr>
          <w:ilvl w:val="0"/>
          <w:numId w:val="40"/>
        </w:numPr>
      </w:pPr>
      <w:r>
        <w:t>Every eClaims workload shape under one model — long-running HTTP services, SQS consumers that scale on queue depth, and scheduled or one-off tasks started by EventBridge Scheduler or Step Functions.</w:t>
      </w:r>
    </w:p>
    <w:p>
      <w:pPr>
        <w:pStyle w:val="ListParagraph"/>
        <w:numPr>
          <w:ilvl w:val="0"/>
          <w:numId w:val="40"/>
        </w:numPr>
      </w:pPr>
      <w:r>
        <w:t>Capacity choices without changing the service model:</w:t>
      </w:r>
    </w:p>
    <w:p>
      <w:pPr>
        <w:pStyle w:val="ListParagraph"/>
        <w:numPr>
          <w:ilvl w:val="1"/>
          <w:numId w:val="40"/>
        </w:numPr>
      </w:pPr>
      <w:r>
        <w:t>Fargate on x86 or on Graviton (Arm64);</w:t>
      </w:r>
    </w:p>
    <w:p>
      <w:pPr>
        <w:pStyle w:val="ListParagraph"/>
        <w:numPr>
          <w:ilvl w:val="1"/>
          <w:numId w:val="40"/>
        </w:numPr>
      </w:pPr>
      <w:r>
        <w:t>Fargate Spot at up to 70% off, for tasks that can tolerate interruption, with a two-minute warning;</w:t>
      </w:r>
    </w:p>
    <w:p>
      <w:pPr>
        <w:pStyle w:val="ListParagraph"/>
        <w:numPr>
          <w:ilvl w:val="1"/>
          <w:numId w:val="40"/>
        </w:numPr>
      </w:pPr>
      <w:r>
        <w:t>EC2-backed capacity, including ECS Managed Instances, if sustained scale ever favours instances.</w:t>
      </w:r>
    </w:p>
    <w:p>
      <w:pPr>
        <w:pStyle w:val="ListParagraph"/>
        <w:numPr>
          <w:ilvl w:val="0"/>
          <w:numId w:val="40"/>
        </w:numPr>
      </w:pPr>
      <w:r>
        <w:t>Platform maintenance owned by AWS — AWS patches the Fargate platform and retires old platform revisions; the scheduler starts each replacement task before stopping the old one. Notice arrives through AWS Health with a seven-day wait by default, or fourteen days on request, and EC2 event windows can restrict replacements to off-peak hours.</w:t>
      </w:r>
    </w:p>
    <w:p>
      <w:pPr>
        <w:pStyle w:val="ListParagraph"/>
        <w:numPr>
          <w:ilvl w:val="0"/>
          <w:numId w:val="40"/>
        </w:numPr>
      </w:pPr>
      <w:r>
        <w:t>On-premise form: ECS Anywhere — registers on-premise servers or virtual machines as external instances of an ECS cluster whose control plane stays in an AWS Region.</w:t>
      </w:r>
    </w:p>
    <w:p>
      <w:pPr>
        <w:pStyle w:val="ListParagraph"/>
        <w:numPr>
          <w:ilvl w:val="1"/>
          <w:numId w:val="40"/>
        </w:numPr>
      </w:pPr>
      <w:r>
        <w:t>External instances use the EXTERNAL launch type, not Fargate.</w:t>
      </w:r>
    </w:p>
    <w:p>
      <w:pPr>
        <w:pStyle w:val="ListParagraph"/>
        <w:numPr>
          <w:ilvl w:val="1"/>
          <w:numId w:val="40"/>
        </w:numPr>
      </w:pPr>
      <w:r>
        <w:t>They do not support service load balancing, service discovery or awsvpc networking.</w:t>
      </w:r>
    </w:p>
    <w:p>
      <w:pPr>
        <w:pStyle w:val="ListParagraph"/>
        <w:numPr>
          <w:ilvl w:val="1"/>
          <w:numId w:val="40"/>
        </w:numPr>
      </w:pPr>
      <w:r>
        <w:t>AWS positions them for workloads that generate outbound traffic, not for services that receive inbound requests.</w:t>
      </w:r>
    </w:p>
    <w:p>
      <w:pPr>
        <w:pStyle w:val="ListParagraph"/>
        <w:numPr>
          <w:ilvl w:val="0"/>
          <w:numId w:val="40"/>
        </w:numPr>
      </w:pPr>
      <w:r>
        <w:t>Constraints to note:</w:t>
      </w:r>
    </w:p>
    <w:p>
      <w:pPr>
        <w:pStyle w:val="ListParagraph"/>
        <w:numPr>
          <w:ilvl w:val="1"/>
          <w:numId w:val="40"/>
        </w:numPr>
      </w:pPr>
      <w:r>
        <w:t>Fargate is available only on AWS.</w:t>
      </w:r>
    </w:p>
    <w:p>
      <w:pPr>
        <w:pStyle w:val="ListParagraph"/>
        <w:numPr>
          <w:ilvl w:val="1"/>
          <w:numId w:val="40"/>
        </w:numPr>
      </w:pPr>
      <w:r>
        <w:t>Tasks are sized from a fixed set of CPU and memory combinations; the eClaims sizes (0.5 vCPU with 1 GB, and 1 vCPU with 2 GB) are both standard.</w:t>
      </w:r>
    </w:p>
    <w:p>
      <w:pPr>
        <w:pStyle w:val="ListParagraph"/>
        <w:numPr>
          <w:ilvl w:val="1"/>
          <w:numId w:val="40"/>
        </w:numPr>
      </w:pPr>
      <w:r>
        <w:t>There are no GPUs and no privileged containers; eClaims needs neither.</w:t>
      </w:r>
    </w:p>
    <w:p>
      <w:pPr>
        <w:pStyle w:val="ListParagraph"/>
        <w:numPr>
          <w:ilvl w:val="1"/>
          <w:numId w:val="40"/>
        </w:numPr>
      </w:pPr>
      <w:r>
        <w:t>Task and service definitions are specific to ECS.</w:t>
      </w:r>
    </w:p>
    <w:p>
      <w:pPr>
        <w:pStyle w:val="ListParagraph"/>
        <w:numPr>
          <w:ilvl w:val="1"/>
          <w:numId w:val="40"/>
        </w:numPr>
      </w:pPr>
      <w:r>
        <w:t>Per-unit compute costs more than an equivalently sized, fully utilised EC2 instance.</w:t>
      </w:r>
    </w:p>
    <w:p>
      <w:pPr>
        <w:pStyle w:val="Heading3"/>
      </w:pPr>
      <w:bookmarkStart w:id="112" w:name="_Toc300000013"/>
      <w:r>
        <w:t>Pricing Model</w:t>
      </w:r>
      <w:bookmarkEnd w:id="112"/>
    </w:p>
    <w:p>
      <w:r>
        <w:t>There is no additional charge for Amazon ECS orchestration and no control-plane fee. On Fargate, a task is billed for the vCPU and memory it reserves, from the start of the image pull until the task stops, per second with a one-minute minimum. Storage beyond the included ephemeral allocation, data transfer, the load balancer, NAT gateways and CloudWatch Logs are billed under those services, as they would be under any option. The prices below were taken on 30 September 2026 from the AWS pricing pages and the AWS Price List API (offer files published on 11 and 28 September 2026).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07"/>
        <w:gridCol w:w="3207"/>
        <w:gridCol w:w="3812"/>
      </w:tblGrid>
      <w:tr>
        <w:trPr>
          <w:cantSplit/>
          <w:tblHeader/>
        </w:trPr>
        <w:tc>
          <w:tcPr>
            <w:tcW w:w="200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Item</w:t>
            </w:r>
          </w:p>
        </w:tc>
        <w:tc>
          <w:tcPr>
            <w:tcW w:w="320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List price (US East, N. Virginia)</w:t>
            </w:r>
          </w:p>
        </w:tc>
        <w:tc>
          <w:tcPr>
            <w:tcW w:w="3812"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Note for eClaims</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Amazon ECS orchestration</w:t>
            </w:r>
          </w:p>
        </w:tc>
        <w:tc>
          <w:tcPr>
            <w:tcW w:w="3207" w:type="dxa"/>
            <w:tcBorders>
              <w:top w:val="dotted" w:sz="4" w:space="0" w:color="auto"/>
              <w:left w:val="dotted" w:sz="4" w:space="0" w:color="auto"/>
              <w:bottom w:val="dotted" w:sz="4" w:space="0" w:color="auto"/>
              <w:right w:val="dotted" w:sz="4" w:space="0" w:color="auto"/>
            </w:tcBorders>
          </w:tcPr>
          <w:p>
            <w:pPr>
              <w:pStyle w:val="NoSpacing"/>
            </w:pPr>
            <w:r>
              <w:t>No charge</w:t>
            </w:r>
          </w:p>
        </w:tc>
        <w:tc>
          <w:tcPr>
            <w:tcW w:w="3812" w:type="dxa"/>
            <w:tcBorders>
              <w:top w:val="dotted" w:sz="4" w:space="0" w:color="auto"/>
              <w:left w:val="dotted" w:sz="4" w:space="0" w:color="auto"/>
              <w:bottom w:val="dotted" w:sz="4" w:space="0" w:color="auto"/>
              <w:right w:val="dotted" w:sz="4" w:space="0" w:color="auto"/>
            </w:tcBorders>
          </w:tcPr>
          <w:p>
            <w:pPr>
              <w:pStyle w:val="NoSpacing"/>
            </w:pPr>
            <w:r>
              <w:t>Applies to every cluster: development, staging, production and the us-east-2 standby</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Fargate vCPU, Linux/x86</w:t>
            </w:r>
          </w:p>
        </w:tc>
        <w:tc>
          <w:tcPr>
            <w:tcW w:w="3207" w:type="dxa"/>
            <w:tcBorders>
              <w:top w:val="dotted" w:sz="4" w:space="0" w:color="auto"/>
              <w:left w:val="dotted" w:sz="4" w:space="0" w:color="auto"/>
              <w:bottom w:val="dotted" w:sz="4" w:space="0" w:color="auto"/>
              <w:right w:val="dotted" w:sz="4" w:space="0" w:color="auto"/>
            </w:tcBorders>
          </w:tcPr>
          <w:p>
            <w:pPr>
              <w:pStyle w:val="NoSpacing"/>
            </w:pPr>
            <w:r>
              <w:t>USD 0.04048 per vCPU-hour</w:t>
            </w:r>
          </w:p>
        </w:tc>
        <w:tc>
          <w:tcPr>
            <w:tcW w:w="3812" w:type="dxa"/>
            <w:tcBorders>
              <w:top w:val="dotted" w:sz="4" w:space="0" w:color="auto"/>
              <w:left w:val="dotted" w:sz="4" w:space="0" w:color="auto"/>
              <w:bottom w:val="dotted" w:sz="4" w:space="0" w:color="auto"/>
              <w:right w:val="dotted" w:sz="4" w:space="0" w:color="auto"/>
            </w:tcBorders>
          </w:tcPr>
          <w:p>
            <w:pPr>
              <w:pStyle w:val="NoSpacing"/>
            </w:pPr>
            <w:r>
              <w:t>Basis of Sections 4.4 and 5.4</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Fargate memory, Linux/x86</w:t>
            </w:r>
          </w:p>
        </w:tc>
        <w:tc>
          <w:tcPr>
            <w:tcW w:w="3207" w:type="dxa"/>
            <w:tcBorders>
              <w:top w:val="dotted" w:sz="4" w:space="0" w:color="auto"/>
              <w:left w:val="dotted" w:sz="4" w:space="0" w:color="auto"/>
              <w:bottom w:val="dotted" w:sz="4" w:space="0" w:color="auto"/>
              <w:right w:val="dotted" w:sz="4" w:space="0" w:color="auto"/>
            </w:tcBorders>
          </w:tcPr>
          <w:p>
            <w:pPr>
              <w:pStyle w:val="NoSpacing"/>
            </w:pPr>
            <w:r>
              <w:t>USD 0.004445 per GB-hour</w:t>
            </w:r>
          </w:p>
        </w:tc>
        <w:tc>
          <w:tcPr>
            <w:tcW w:w="3812" w:type="dxa"/>
            <w:tcBorders>
              <w:top w:val="dotted" w:sz="4" w:space="0" w:color="auto"/>
              <w:left w:val="dotted" w:sz="4" w:space="0" w:color="auto"/>
              <w:bottom w:val="dotted" w:sz="4" w:space="0" w:color="auto"/>
              <w:right w:val="dotted" w:sz="4" w:space="0" w:color="auto"/>
            </w:tcBorders>
          </w:tcPr>
          <w:p>
            <w:pPr>
              <w:pStyle w:val="NoSpacing"/>
            </w:pPr>
            <w:r>
              <w:t>Basis of Sections 4.4 and 5.4</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Fargate, Linux/Arm (Graviton)</w:t>
            </w:r>
          </w:p>
        </w:tc>
        <w:tc>
          <w:tcPr>
            <w:tcW w:w="3207" w:type="dxa"/>
            <w:tcBorders>
              <w:top w:val="dotted" w:sz="4" w:space="0" w:color="auto"/>
              <w:left w:val="dotted" w:sz="4" w:space="0" w:color="auto"/>
              <w:bottom w:val="dotted" w:sz="4" w:space="0" w:color="auto"/>
              <w:right w:val="dotted" w:sz="4" w:space="0" w:color="auto"/>
            </w:tcBorders>
          </w:tcPr>
          <w:p>
            <w:pPr>
              <w:pStyle w:val="NoSpacing"/>
            </w:pPr>
            <w:r>
              <w:t>USD 0.03238 per vCPU-hour; USD 0.00356 per GB-hour</w:t>
            </w:r>
          </w:p>
        </w:tc>
        <w:tc>
          <w:tcPr>
            <w:tcW w:w="3812" w:type="dxa"/>
            <w:tcBorders>
              <w:top w:val="dotted" w:sz="4" w:space="0" w:color="auto"/>
              <w:left w:val="dotted" w:sz="4" w:space="0" w:color="auto"/>
              <w:bottom w:val="dotted" w:sz="4" w:space="0" w:color="auto"/>
              <w:right w:val="dotted" w:sz="4" w:space="0" w:color="auto"/>
            </w:tcBorders>
          </w:tcPr>
          <w:p>
            <w:pPr>
              <w:pStyle w:val="NoSpacing"/>
            </w:pPr>
            <w:r>
              <w:t>About 20% below x86; requires Arm64 images</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Fargate ephemeral storage</w:t>
            </w:r>
          </w:p>
        </w:tc>
        <w:tc>
          <w:tcPr>
            <w:tcW w:w="3207" w:type="dxa"/>
            <w:tcBorders>
              <w:top w:val="dotted" w:sz="4" w:space="0" w:color="auto"/>
              <w:left w:val="dotted" w:sz="4" w:space="0" w:color="auto"/>
              <w:bottom w:val="dotted" w:sz="4" w:space="0" w:color="auto"/>
              <w:right w:val="dotted" w:sz="4" w:space="0" w:color="auto"/>
            </w:tcBorders>
          </w:tcPr>
          <w:p>
            <w:pPr>
              <w:pStyle w:val="NoSpacing"/>
            </w:pPr>
            <w:r>
              <w:t>20 GB per task included; USD 0.000111 per GB-hour above that</w:t>
            </w:r>
          </w:p>
        </w:tc>
        <w:tc>
          <w:tcPr>
            <w:tcW w:w="3812" w:type="dxa"/>
            <w:tcBorders>
              <w:top w:val="dotted" w:sz="4" w:space="0" w:color="auto"/>
              <w:left w:val="dotted" w:sz="4" w:space="0" w:color="auto"/>
              <w:bottom w:val="dotted" w:sz="4" w:space="0" w:color="auto"/>
              <w:right w:val="dotted" w:sz="4" w:space="0" w:color="auto"/>
            </w:tcBorders>
          </w:tcPr>
          <w:p>
            <w:pPr>
              <w:pStyle w:val="NoSpacing"/>
            </w:pPr>
            <w:r>
              <w:t>Enough for stateless services; documents are stored in S3</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Fargate Spot</w:t>
            </w:r>
          </w:p>
        </w:tc>
        <w:tc>
          <w:tcPr>
            <w:tcW w:w="3207" w:type="dxa"/>
            <w:tcBorders>
              <w:top w:val="dotted" w:sz="4" w:space="0" w:color="auto"/>
              <w:left w:val="dotted" w:sz="4" w:space="0" w:color="auto"/>
              <w:bottom w:val="dotted" w:sz="4" w:space="0" w:color="auto"/>
              <w:right w:val="dotted" w:sz="4" w:space="0" w:color="auto"/>
            </w:tcBorders>
          </w:tcPr>
          <w:p>
            <w:pPr>
              <w:pStyle w:val="NoSpacing"/>
            </w:pPr>
            <w:r>
              <w:t>Up to 70% off the Fargate price; the rate varies with spare capacity</w:t>
            </w:r>
          </w:p>
        </w:tc>
        <w:tc>
          <w:tcPr>
            <w:tcW w:w="3812" w:type="dxa"/>
            <w:tcBorders>
              <w:top w:val="dotted" w:sz="4" w:space="0" w:color="auto"/>
              <w:left w:val="dotted" w:sz="4" w:space="0" w:color="auto"/>
              <w:bottom w:val="dotted" w:sz="4" w:space="0" w:color="auto"/>
              <w:right w:val="dotted" w:sz="4" w:space="0" w:color="auto"/>
            </w:tcBorders>
          </w:tcPr>
          <w:p>
            <w:pPr>
              <w:pStyle w:val="NoSpacing"/>
            </w:pPr>
            <w:r>
              <w:t>ECS only. Suits interruptible work such as report generation, and non-production environments</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Compute Savings Plans</w:t>
            </w:r>
          </w:p>
        </w:tc>
        <w:tc>
          <w:tcPr>
            <w:tcW w:w="3207" w:type="dxa"/>
            <w:tcBorders>
              <w:top w:val="dotted" w:sz="4" w:space="0" w:color="auto"/>
              <w:left w:val="dotted" w:sz="4" w:space="0" w:color="auto"/>
              <w:bottom w:val="dotted" w:sz="4" w:space="0" w:color="auto"/>
              <w:right w:val="dotted" w:sz="4" w:space="0" w:color="auto"/>
            </w:tcBorders>
          </w:tcPr>
          <w:p>
            <w:pPr>
              <w:pStyle w:val="NoSpacing"/>
            </w:pPr>
            <w:r>
              <w:t>Up to 50% off Fargate usage, for a one-year or three-year commitment</w:t>
            </w:r>
          </w:p>
        </w:tc>
        <w:tc>
          <w:tcPr>
            <w:tcW w:w="3812" w:type="dxa"/>
            <w:tcBorders>
              <w:top w:val="dotted" w:sz="4" w:space="0" w:color="auto"/>
              <w:left w:val="dotted" w:sz="4" w:space="0" w:color="auto"/>
              <w:bottom w:val="dotted" w:sz="4" w:space="0" w:color="auto"/>
              <w:right w:val="dotted" w:sz="4" w:space="0" w:color="auto"/>
            </w:tcBorders>
          </w:tcPr>
          <w:p>
            <w:pPr>
              <w:pStyle w:val="NoSpacing"/>
            </w:pPr>
            <w:r>
              <w:t>Suits the steady floor of two tasks per service</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ECS Anywhere (on-premise)</w:t>
            </w:r>
          </w:p>
        </w:tc>
        <w:tc>
          <w:tcPr>
            <w:tcW w:w="3207" w:type="dxa"/>
            <w:tcBorders>
              <w:top w:val="dotted" w:sz="4" w:space="0" w:color="auto"/>
              <w:left w:val="dotted" w:sz="4" w:space="0" w:color="auto"/>
              <w:bottom w:val="dotted" w:sz="4" w:space="0" w:color="auto"/>
              <w:right w:val="dotted" w:sz="4" w:space="0" w:color="auto"/>
            </w:tcBorders>
          </w:tcPr>
          <w:p>
            <w:pPr>
              <w:pStyle w:val="NoSpacing"/>
            </w:pPr>
            <w:r>
              <w:t>USD 0.01025 per registered instance-hour</w:t>
            </w:r>
          </w:p>
        </w:tc>
        <w:tc>
          <w:tcPr>
            <w:tcW w:w="3812" w:type="dxa"/>
            <w:tcBorders>
              <w:top w:val="dotted" w:sz="4" w:space="0" w:color="auto"/>
              <w:left w:val="dotted" w:sz="4" w:space="0" w:color="auto"/>
              <w:bottom w:val="dotted" w:sz="4" w:space="0" w:color="auto"/>
              <w:right w:val="dotted" w:sz="4" w:space="0" w:color="auto"/>
            </w:tcBorders>
          </w:tcPr>
          <w:p>
            <w:pPr>
              <w:pStyle w:val="NoSpacing"/>
            </w:pPr>
            <w:r>
              <w:t>Plus the customer's own servers. Not the eClaims on-premise path (Section 6.2)</w:t>
            </w:r>
          </w:p>
        </w:tc>
      </w:tr>
    </w:tbl>
    <w:p/>
    <w:p>
      <w:r>
        <w:t>Worked example: one task of 1 vCPU and 2 GB running for a 730-hour month costs 730 × USD 0.04048 + 1,460 × USD 0.004445 ≈ USD 29.55 + USD 6.49 = USD 36.04. This is the unit cost behind Sections 4.4 and 5.4.</w:t>
      </w:r>
    </w:p>
    <w:p>
      <w:r>
        <w:t>Against Kubernetes on EC2 nodes there is no control-plane fee and no unused node capacity: the billable unit is the task, so utilisation is a property of task sizing rather than of bin packing. Against functions, cost is proportional to running time rather than to invocation count, which is more economical for a service that receives continuous traffic and less economical for one that is mostly idle.</w:t>
      </w:r>
    </w:p>
    <w:p>
      <w:pPr>
        <w:pStyle w:val="Heading2"/>
      </w:pPr>
      <w:bookmarkStart w:id="113" w:name="_Toc300000014"/>
      <w:r>
        <w:t>Kubernetes (Amazon EKS)</w:t>
      </w:r>
      <w:bookmarkEnd w:id="113"/>
    </w:p>
    <w:p>
      <w:r>
        <w:t>Kubernetes is an open-source container orchestration platform for deploying, scaling and managing containerised applications across a cluster of nodes. Its operating principle is declarative reconciliation: the desired state of an application is declared in YAML or JSON — replicas, image, resources, health checks — and the control plane works continuously to make the actual state match, replacing failed containers, rescheduling work away from lost nodes and rolling out new versions in a controlled sequence.</w:t>
      </w:r>
    </w:p>
    <w:p>
      <w:r>
        <w:t>Kubernetes is the most capable and the most portable of the three models. A conformant cluster presents the same API whether it runs in one cloud, in another or in a data centre, which makes it the only candidate that satisfies a cloud-agnostic or on-premise mandate directly. That capability is inseparable from its cost: the cluster, its version lifecycle, its networking and storage integration, its add-ons and its node pools are objects the team owns and operates.</w:t>
      </w:r>
    </w:p>
    <w:p>
      <w:r>
        <w:t>Amazon EKS is AWS's managed Kubernetes service. AWS runs the control plane — the API servers and the etcd store — across Availability Zones, and EKS is certified Kubernetes-conformant, so manifests and Helm charts written for it run on any conformant distribution, in AWS or on-premise. The team declares workloads as Kubernetes objects: Deployments, Services, Ingresses and HorizontalPodAutoscalers. EKS can supply compute in three ways:</w:t>
      </w:r>
    </w:p>
    <w:p>
      <w:pPr>
        <w:pStyle w:val="ListParagraph"/>
        <w:numPr>
          <w:ilvl w:val="0"/>
          <w:numId w:val="40"/>
        </w:numPr>
      </w:pPr>
      <w:r>
        <w:t>Managed node groups — EC2 instances as worker nodes, whose sizing, machine images, version upgrades and bin packing the team owns. This is the form compared in Section 4.</w:t>
      </w:r>
    </w:p>
    <w:p>
      <w:pPr>
        <w:pStyle w:val="ListParagraph"/>
        <w:numPr>
          <w:ilvl w:val="0"/>
          <w:numId w:val="40"/>
        </w:numPr>
      </w:pPr>
      <w:r>
        <w:t>AWS Fargate — pods selected by a Fargate profile each run in their own isolation boundary, at the same rates as ECS tasks and with no nodes to manage. This is the form compared in Section 5.</w:t>
      </w:r>
    </w:p>
    <w:p>
      <w:pPr>
        <w:pStyle w:val="ListParagraph"/>
        <w:numPr>
          <w:ilvl w:val="0"/>
          <w:numId w:val="40"/>
        </w:numPr>
      </w:pPr>
      <w:r>
        <w:t>EKS Auto Mode — AWS manages the nodes for a fee per instance.</w:t>
      </w:r>
    </w:p>
    <w:p>
      <w:r>
        <w:t>Several Kubernetes features — DaemonSets, EBS volumes, Spot capacity and Arm processors — are available only on nodes, so EKS estates commonly combine Fargate with node groups. Unlike an ECS cluster, every EKS cluster runs a Kubernetes version that the team must keep current: the Kubernetes project releases a new minor version on average every four months; EKS gives each version 14 months of standard support and then 12 months of extended support at a higher cluster fee; and when extended support ends, EKS upgrades the control plane automatically.</w:t>
      </w:r>
    </w:p>
    <w:p>
      <w:pPr>
        <w:pStyle w:val="Heading3"/>
      </w:pPr>
      <w:bookmarkStart w:id="114" w:name="_Toc300000015"/>
      <w:r>
        <w:t>Key Features</w:t>
      </w:r>
      <w:bookmarkEnd w:id="114"/>
    </w:p>
    <w:p>
      <w:pPr>
        <w:pStyle w:val="ListParagraph"/>
        <w:numPr>
          <w:ilvl w:val="0"/>
          <w:numId w:val="40"/>
        </w:numPr>
      </w:pPr>
      <w:r>
        <w:t>Conformant, managed control plane — the upstream Kubernetes API, operated by AWS across Availability Zones; more than 90 certified Kubernetes offerings accept the same manifests.</w:t>
      </w:r>
    </w:p>
    <w:p>
      <w:pPr>
        <w:pStyle w:val="ListParagraph"/>
        <w:numPr>
          <w:ilvl w:val="0"/>
          <w:numId w:val="40"/>
        </w:numPr>
      </w:pPr>
      <w:r>
        <w:t>Declarative configuration and self-healing — Deployments and ReplicaSets replace failed pods; liveness and readiness probes, PodDisruptionBudgets and topology spread constraints keep replicas healthy and spread across zones.</w:t>
      </w:r>
    </w:p>
    <w:p>
      <w:pPr>
        <w:pStyle w:val="ListParagraph"/>
        <w:numPr>
          <w:ilvl w:val="0"/>
          <w:numId w:val="40"/>
        </w:numPr>
      </w:pPr>
      <w:r>
        <w:t>Two-layer autoscaling — the Horizontal Pod Autoscaler scales pods on CPU, memory or custom metrics; on node groups, Cluster Autoscaler, Karpenter or Auto Mode scales the nodes beneath them.</w:t>
      </w:r>
    </w:p>
    <w:p>
      <w:pPr>
        <w:pStyle w:val="ListParagraph"/>
        <w:numPr>
          <w:ilvl w:val="0"/>
          <w:numId w:val="40"/>
        </w:numPr>
      </w:pPr>
      <w:r>
        <w:t>Automatic bin packing — on nodes, workloads are placed according to declared resource requests and limits, which raises utilisation on shared nodes.</w:t>
      </w:r>
    </w:p>
    <w:p>
      <w:pPr>
        <w:pStyle w:val="ListParagraph"/>
        <w:numPr>
          <w:ilvl w:val="0"/>
          <w:numId w:val="40"/>
        </w:numPr>
      </w:pPr>
      <w:r>
        <w:t>Load balancing through the AWS Load Balancer Controller — ALBs and Network Load Balancers provisioned from Ingress and Service objects; on Fargate, targets must be pod IP addresses.</w:t>
      </w:r>
    </w:p>
    <w:p>
      <w:pPr>
        <w:pStyle w:val="ListParagraph"/>
        <w:numPr>
          <w:ilvl w:val="0"/>
          <w:numId w:val="40"/>
        </w:numPr>
      </w:pPr>
      <w:r>
        <w:t>Release strategies — rolling updates are built in; blue-green and canary releases need an additional controller, such as Argo Rollouts or Flagger, or a service mesh.</w:t>
      </w:r>
    </w:p>
    <w:p>
      <w:pPr>
        <w:pStyle w:val="ListParagraph"/>
        <w:numPr>
          <w:ilvl w:val="0"/>
          <w:numId w:val="40"/>
        </w:numPr>
      </w:pPr>
      <w:r>
        <w:t>Workload identity — IAM roles for service accounts give each pod its own IAM role (EKS Pod Identity is available only on EC2 nodes); EKS access entries map IAM principals to Kubernetes role-based access control; Kubernetes Secrets can be envelope-encrypted with AWS KMS.</w:t>
      </w:r>
    </w:p>
    <w:p>
      <w:pPr>
        <w:pStyle w:val="ListParagraph"/>
        <w:numPr>
          <w:ilvl w:val="0"/>
          <w:numId w:val="40"/>
        </w:numPr>
      </w:pPr>
      <w:r>
        <w:t>Isolation on Fargate — each pod has its own kernel, CPU, memory and network interface, and can be given its own security groups.</w:t>
      </w:r>
    </w:p>
    <w:p>
      <w:pPr>
        <w:pStyle w:val="ListParagraph"/>
        <w:numPr>
          <w:ilvl w:val="0"/>
          <w:numId w:val="40"/>
        </w:numPr>
      </w:pPr>
      <w:r>
        <w:t>Observability — Container Insights through the CloudWatch Observability add-on, a built-in Fluent Bit log router on Fargate, the AWS Distro for OpenTelemetry, and Amazon Managed Service for Prometheus.</w:t>
      </w:r>
    </w:p>
    <w:p>
      <w:pPr>
        <w:pStyle w:val="ListParagraph"/>
        <w:numPr>
          <w:ilvl w:val="0"/>
          <w:numId w:val="40"/>
        </w:numPr>
      </w:pPr>
      <w:r>
        <w:t>Extensibility and ecosystem — custom resources, operators, Helm, GitOps (Argo CD, also available as a managed EKS capability, or Flux), service meshes and policy engines.</w:t>
      </w:r>
    </w:p>
    <w:p>
      <w:pPr>
        <w:pStyle w:val="ListParagraph"/>
        <w:numPr>
          <w:ilvl w:val="0"/>
          <w:numId w:val="40"/>
        </w:numPr>
      </w:pPr>
      <w:r>
        <w:t>On-premise forms:</w:t>
      </w:r>
    </w:p>
    <w:p>
      <w:pPr>
        <w:pStyle w:val="ListParagraph"/>
        <w:numPr>
          <w:ilvl w:val="1"/>
          <w:numId w:val="40"/>
        </w:numPr>
      </w:pPr>
      <w:r>
        <w:t>EKS Anywhere — Kubernetes software built by AWS on EKS Distro, running clusters on the customer's own VMware vSphere, bare-metal or Nutanix infrastructure, including air-gapped sites; the customer operates the cluster lifecycle.</w:t>
      </w:r>
    </w:p>
    <w:p>
      <w:pPr>
        <w:pStyle w:val="ListParagraph"/>
        <w:numPr>
          <w:ilvl w:val="1"/>
          <w:numId w:val="40"/>
        </w:numPr>
      </w:pPr>
      <w:r>
        <w:t>EKS Hybrid Nodes — on-premise servers join an EKS cluster whose control plane stays in AWS, over a reliable private connection (Site-to-Site VPN or Direct Connect); unsuitable for disconnected sites.</w:t>
      </w:r>
    </w:p>
    <w:p>
      <w:pPr>
        <w:pStyle w:val="ListParagraph"/>
        <w:numPr>
          <w:ilvl w:val="1"/>
          <w:numId w:val="40"/>
        </w:numPr>
      </w:pPr>
      <w:r>
        <w:t>Any distribution certified as conformant by the Cloud Native Computing Foundation (CNCF), such as Red Hat OpenShift. The SAD's on-premise profile names OpenShift alongside EKS Anywhere.</w:t>
      </w:r>
    </w:p>
    <w:p>
      <w:pPr>
        <w:pStyle w:val="ListParagraph"/>
        <w:numPr>
          <w:ilvl w:val="0"/>
          <w:numId w:val="40"/>
        </w:numPr>
      </w:pPr>
      <w:r>
        <w:t>Constraints to note:</w:t>
      </w:r>
    </w:p>
    <w:p>
      <w:pPr>
        <w:pStyle w:val="ListParagraph"/>
        <w:numPr>
          <w:ilvl w:val="1"/>
          <w:numId w:val="40"/>
        </w:numPr>
      </w:pPr>
      <w:r>
        <w:t>A steep learning curve, a cluster and its add-ons to keep patched and version-current, and resource requests and limits that need ongoing tuning.</w:t>
      </w:r>
    </w:p>
    <w:p>
      <w:pPr>
        <w:pStyle w:val="ListParagraph"/>
        <w:numPr>
          <w:ilvl w:val="1"/>
          <w:numId w:val="40"/>
        </w:numPr>
      </w:pPr>
      <w:r>
        <w:t>On Fargate: no DaemonSets, privileged containers, host networking, GPUs, EBS volumes, Arm processors or Fargate Spot; pods in private subnets only, with IP targets for load balancers; pods evicted periodically for patching, and restarted after each control-plane upgrade to pick up the matching kubelet version.</w:t>
      </w:r>
    </w:p>
    <w:p>
      <w:pPr>
        <w:pStyle w:val="Heading3"/>
      </w:pPr>
      <w:bookmarkStart w:id="115" w:name="_Toc300000016"/>
      <w:r>
        <w:t>Pricing Model</w:t>
      </w:r>
      <w:bookmarkEnd w:id="115"/>
    </w:p>
    <w:p>
      <w:r>
        <w:t>The cost of Kubernetes has three parts, and only the first two appear on an invoice. EKS charges for each cluster; the compute beneath it is charged separately; and the standing engineering effort to operate the platform — cluster version upgrades, add-on compatibility, node image patching, capacity tuning and on-call capability for the cluster as well as the application — is a continuing commitment that, for a small number of services operated by a small team, is the largest part of the total cost.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390"/>
        <w:gridCol w:w="3610"/>
        <w:gridCol w:w="3026"/>
      </w:tblGrid>
      <w:tr>
        <w:trPr>
          <w:cantSplit/>
          <w:tblHeader/>
        </w:trPr>
        <w:tc>
          <w:tcPr>
            <w:tcW w:w="239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Item</w:t>
            </w:r>
          </w:p>
        </w:tc>
        <w:tc>
          <w:tcPr>
            <w:tcW w:w="361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List price (US East, N. Virginia)</w:t>
            </w:r>
          </w:p>
        </w:tc>
        <w:tc>
          <w:tcPr>
            <w:tcW w:w="302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Note for eClaims</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EKS cluster, Kubernetes version in standard support (first 14 months)</w:t>
            </w:r>
          </w:p>
        </w:tc>
        <w:tc>
          <w:tcPr>
            <w:tcW w:w="3610" w:type="dxa"/>
            <w:tcBorders>
              <w:top w:val="dotted" w:sz="4" w:space="0" w:color="auto"/>
              <w:left w:val="dotted" w:sz="4" w:space="0" w:color="auto"/>
              <w:bottom w:val="dotted" w:sz="4" w:space="0" w:color="auto"/>
              <w:right w:val="dotted" w:sz="4" w:space="0" w:color="auto"/>
            </w:tcBorders>
          </w:tcPr>
          <w:p>
            <w:pPr>
              <w:pStyle w:val="NoSpacing"/>
            </w:pPr>
            <w:r>
              <w:t>USD 0.10 per cluster-hour, ≈ USD 73 per cluster per month</w:t>
            </w:r>
          </w:p>
        </w:tc>
        <w:tc>
          <w:tcPr>
            <w:tcW w:w="3026" w:type="dxa"/>
            <w:tcBorders>
              <w:top w:val="dotted" w:sz="4" w:space="0" w:color="auto"/>
              <w:left w:val="dotted" w:sz="4" w:space="0" w:color="auto"/>
              <w:bottom w:val="dotted" w:sz="4" w:space="0" w:color="auto"/>
              <w:right w:val="dotted" w:sz="4" w:space="0" w:color="auto"/>
            </w:tcBorders>
          </w:tcPr>
          <w:p>
            <w:pPr>
              <w:pStyle w:val="NoSpacing"/>
            </w:pPr>
            <w:r>
              <w:t>One cluster per environment plus the us-east-2 standby: ≈ USD 292 a month for four clusters</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EKS cluster, version in extended support (next 12 months)</w:t>
            </w:r>
          </w:p>
        </w:tc>
        <w:tc>
          <w:tcPr>
            <w:tcW w:w="3610" w:type="dxa"/>
            <w:tcBorders>
              <w:top w:val="dotted" w:sz="4" w:space="0" w:color="auto"/>
              <w:left w:val="dotted" w:sz="4" w:space="0" w:color="auto"/>
              <w:bottom w:val="dotted" w:sz="4" w:space="0" w:color="auto"/>
              <w:right w:val="dotted" w:sz="4" w:space="0" w:color="auto"/>
            </w:tcBorders>
          </w:tcPr>
          <w:p>
            <w:pPr>
              <w:pStyle w:val="NoSpacing"/>
            </w:pPr>
            <w:r>
              <w:t>USD 0.60 per cluster-hour, ≈ USD 438 per cluster per month</w:t>
            </w:r>
          </w:p>
        </w:tc>
        <w:tc>
          <w:tcPr>
            <w:tcW w:w="3026" w:type="dxa"/>
            <w:tcBorders>
              <w:top w:val="dotted" w:sz="4" w:space="0" w:color="auto"/>
              <w:left w:val="dotted" w:sz="4" w:space="0" w:color="auto"/>
              <w:bottom w:val="dotted" w:sz="4" w:space="0" w:color="auto"/>
              <w:right w:val="dotted" w:sz="4" w:space="0" w:color="auto"/>
            </w:tcBorders>
          </w:tcPr>
          <w:p>
            <w:pPr>
              <w:pStyle w:val="NoSpacing"/>
            </w:pPr>
            <w:r>
              <w:t>Includes the USD 0.10. A late upgrade costs an extra USD 0.50 an hour, ≈ USD 365 per cluster per month</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Pods on AWS Fargate</w:t>
            </w:r>
          </w:p>
        </w:tc>
        <w:tc>
          <w:tcPr>
            <w:tcW w:w="3610" w:type="dxa"/>
            <w:tcBorders>
              <w:top w:val="dotted" w:sz="4" w:space="0" w:color="auto"/>
              <w:left w:val="dotted" w:sz="4" w:space="0" w:color="auto"/>
              <w:bottom w:val="dotted" w:sz="4" w:space="0" w:color="auto"/>
              <w:right w:val="dotted" w:sz="4" w:space="0" w:color="auto"/>
            </w:tcBorders>
          </w:tcPr>
          <w:p>
            <w:pPr>
              <w:pStyle w:val="NoSpacing"/>
            </w:pPr>
            <w:r>
              <w:t>USD 0.04048 per vCPU-hour and USD 0.004445 per GB-hour (Linux/x86), the same as ECS</w:t>
            </w:r>
          </w:p>
        </w:tc>
        <w:tc>
          <w:tcPr>
            <w:tcW w:w="3026" w:type="dxa"/>
            <w:tcBorders>
              <w:top w:val="dotted" w:sz="4" w:space="0" w:color="auto"/>
              <w:left w:val="dotted" w:sz="4" w:space="0" w:color="auto"/>
              <w:bottom w:val="dotted" w:sz="4" w:space="0" w:color="auto"/>
              <w:right w:val="dotted" w:sz="4" w:space="0" w:color="auto"/>
            </w:tcBorders>
          </w:tcPr>
          <w:p>
            <w:pPr>
              <w:pStyle w:val="NoSpacing"/>
            </w:pPr>
            <w:r>
              <w:t>Savings Plans apply. Fargate Spot and Arm are not available on EKS</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Managed node groups</w:t>
            </w:r>
          </w:p>
        </w:tc>
        <w:tc>
          <w:tcPr>
            <w:tcW w:w="3610" w:type="dxa"/>
            <w:tcBorders>
              <w:top w:val="dotted" w:sz="4" w:space="0" w:color="auto"/>
              <w:left w:val="dotted" w:sz="4" w:space="0" w:color="auto"/>
              <w:bottom w:val="dotted" w:sz="4" w:space="0" w:color="auto"/>
              <w:right w:val="dotted" w:sz="4" w:space="0" w:color="auto"/>
            </w:tcBorders>
          </w:tcPr>
          <w:p>
            <w:pPr>
              <w:pStyle w:val="NoSpacing"/>
            </w:pPr>
            <w:r>
              <w:t>EC2 instance price plus EBS volumes; for example m6i.large (2 vCPU, 8 GiB) at USD 0.096 per hour, ≈ USD 70 per month on demand</w:t>
            </w:r>
          </w:p>
        </w:tc>
        <w:tc>
          <w:tcPr>
            <w:tcW w:w="3026" w:type="dxa"/>
            <w:tcBorders>
              <w:top w:val="dotted" w:sz="4" w:space="0" w:color="auto"/>
              <w:left w:val="dotted" w:sz="4" w:space="0" w:color="auto"/>
              <w:bottom w:val="dotted" w:sz="4" w:space="0" w:color="auto"/>
              <w:right w:val="dotted" w:sz="4" w:space="0" w:color="auto"/>
            </w:tcBorders>
          </w:tcPr>
          <w:p>
            <w:pPr>
              <w:pStyle w:val="NoSpacing"/>
            </w:pPr>
            <w:r>
              <w:t>Whole nodes are paid for, whether or not pods use the capacity</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EKS Auto Mode</w:t>
            </w:r>
          </w:p>
        </w:tc>
        <w:tc>
          <w:tcPr>
            <w:tcW w:w="3610" w:type="dxa"/>
            <w:tcBorders>
              <w:top w:val="dotted" w:sz="4" w:space="0" w:color="auto"/>
              <w:left w:val="dotted" w:sz="4" w:space="0" w:color="auto"/>
              <w:bottom w:val="dotted" w:sz="4" w:space="0" w:color="auto"/>
              <w:right w:val="dotted" w:sz="4" w:space="0" w:color="auto"/>
            </w:tcBorders>
          </w:tcPr>
          <w:p>
            <w:pPr>
              <w:pStyle w:val="NoSpacing"/>
            </w:pPr>
            <w:r>
              <w:t>EC2 instance price plus a management fee per instance</w:t>
            </w:r>
          </w:p>
        </w:tc>
        <w:tc>
          <w:tcPr>
            <w:tcW w:w="3026" w:type="dxa"/>
            <w:tcBorders>
              <w:top w:val="dotted" w:sz="4" w:space="0" w:color="auto"/>
              <w:left w:val="dotted" w:sz="4" w:space="0" w:color="auto"/>
              <w:bottom w:val="dotted" w:sz="4" w:space="0" w:color="auto"/>
              <w:right w:val="dotted" w:sz="4" w:space="0" w:color="auto"/>
            </w:tcBorders>
          </w:tcPr>
          <w:p>
            <w:pPr>
              <w:pStyle w:val="NoSpacing"/>
            </w:pPr>
            <w:r>
              <w:t>Removes node management; the cluster keeps its version lifecycle</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EKS Hybrid Nodes (on-premise nodes)</w:t>
            </w:r>
          </w:p>
        </w:tc>
        <w:tc>
          <w:tcPr>
            <w:tcW w:w="3610" w:type="dxa"/>
            <w:tcBorders>
              <w:top w:val="dotted" w:sz="4" w:space="0" w:color="auto"/>
              <w:left w:val="dotted" w:sz="4" w:space="0" w:color="auto"/>
              <w:bottom w:val="dotted" w:sz="4" w:space="0" w:color="auto"/>
              <w:right w:val="dotted" w:sz="4" w:space="0" w:color="auto"/>
            </w:tcBorders>
          </w:tcPr>
          <w:p>
            <w:pPr>
              <w:pStyle w:val="NoSpacing"/>
            </w:pPr>
            <w:r>
              <w:t>USD 0.020 per vCPU-hour for the first 576,000 vCPU-hours, falling in tiers to USD 0.006; plus the cluster fee</w:t>
            </w:r>
          </w:p>
        </w:tc>
        <w:tc>
          <w:tcPr>
            <w:tcW w:w="3026" w:type="dxa"/>
            <w:tcBorders>
              <w:top w:val="dotted" w:sz="4" w:space="0" w:color="auto"/>
              <w:left w:val="dotted" w:sz="4" w:space="0" w:color="auto"/>
              <w:bottom w:val="dotted" w:sz="4" w:space="0" w:color="auto"/>
              <w:right w:val="dotted" w:sz="4" w:space="0" w:color="auto"/>
            </w:tcBorders>
          </w:tcPr>
          <w:p>
            <w:pPr>
              <w:pStyle w:val="NoSpacing"/>
            </w:pPr>
            <w:r>
              <w:t>Plus the customer's own servers and the VPN or Direct Connect link</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EKS Anywhere (on-premise clusters)</w:t>
            </w:r>
          </w:p>
        </w:tc>
        <w:tc>
          <w:tcPr>
            <w:tcW w:w="3610" w:type="dxa"/>
            <w:tcBorders>
              <w:top w:val="dotted" w:sz="4" w:space="0" w:color="auto"/>
              <w:left w:val="dotted" w:sz="4" w:space="0" w:color="auto"/>
              <w:bottom w:val="dotted" w:sz="4" w:space="0" w:color="auto"/>
              <w:right w:val="dotted" w:sz="4" w:space="0" w:color="auto"/>
            </w:tcBorders>
          </w:tcPr>
          <w:p>
            <w:pPr>
              <w:pStyle w:val="NoSpacing"/>
            </w:pPr>
            <w:r>
              <w:t>Open-source software, no charge. Optional Enterprise Subscription: USD 24,000 per cluster per year (one-year term) or USD 18,000 (three-year term)</w:t>
            </w:r>
          </w:p>
        </w:tc>
        <w:tc>
          <w:tcPr>
            <w:tcW w:w="3026" w:type="dxa"/>
            <w:tcBorders>
              <w:top w:val="dotted" w:sz="4" w:space="0" w:color="auto"/>
              <w:left w:val="dotted" w:sz="4" w:space="0" w:color="auto"/>
              <w:bottom w:val="dotted" w:sz="4" w:space="0" w:color="auto"/>
              <w:right w:val="dotted" w:sz="4" w:space="0" w:color="auto"/>
            </w:tcBorders>
          </w:tcPr>
          <w:p>
            <w:pPr>
              <w:pStyle w:val="NoSpacing"/>
            </w:pPr>
            <w:r>
              <w:t>The subscription requires AWS Enterprise Support or Enterprise On-Ramp. The hardware is the customer's own</w:t>
            </w:r>
          </w:p>
        </w:tc>
      </w:tr>
    </w:tbl>
    <w:p/>
    <w:p>
      <w:r>
        <w:br w:type="page"/>
      </w:r>
    </w:p>
    <w:p>
      <w:pPr>
        <w:pStyle w:val="Heading1"/>
      </w:pPr>
      <w:bookmarkStart w:id="116" w:name="_Toc300000017"/>
      <w:r>
        <w:t>Comparison Analysis — Compute Model</w:t>
      </w:r>
      <w:bookmarkEnd w:id="116"/>
    </w:p>
    <w:p>
      <w:r>
        <w:t>All three models can run the eClaims services in some form. The comparison is therefore about fit: how much of what eClaims requires each model supplies natively, how much the workload has to be reshaped to suit it, and what the team must own and operate as a consequence. Section 4.1 fixes the attributes and weights, Section 4.2 scores the three models, Section 4.3 records native capability separately, Section 4.4 gives an indicative cost at eClaims scale, and Section 4.5 tests the weight most likely to be challenged.</w:t>
      </w:r>
    </w:p>
    <w:p>
      <w:pPr>
        <w:pStyle w:val="Heading2"/>
      </w:pPr>
      <w:bookmarkStart w:id="117" w:name="_Toc300000018"/>
      <w:r>
        <w:t>Point Matrix</w:t>
      </w:r>
      <w:bookmarkEnd w:id="117"/>
    </w:p>
    <w:p>
      <w:r>
        <w:t>Ten attributes discriminate between the compute models. Each is traced below to the requirement that justifies it, and the weights were fixed before scoring. Weight 5 marks an attribute whose absence would defeat a stated requirement outright; weight 4 an attribute whose absence would degrade operation or cost; weight 3 an attribute that affects cost of ownership or headroom rather than compliance with a requirement.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037"/>
        <w:gridCol w:w="1060"/>
        <w:gridCol w:w="4929"/>
      </w:tblGrid>
      <w:tr>
        <w:trPr>
          <w:cantSplit/>
          <w:tblHeader/>
        </w:trPr>
        <w:tc>
          <w:tcPr>
            <w:tcW w:w="303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Evaluation 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492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Traced to</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Long-running / stateful services</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4929" w:type="dxa"/>
            <w:tcBorders>
              <w:top w:val="dotted" w:sz="4" w:space="0" w:color="auto"/>
              <w:left w:val="dotted" w:sz="4" w:space="0" w:color="auto"/>
              <w:bottom w:val="dotted" w:sz="4" w:space="0" w:color="auto"/>
              <w:right w:val="dotted" w:sz="4" w:space="0" w:color="auto"/>
            </w:tcBorders>
          </w:tcPr>
          <w:p>
            <w:pPr>
              <w:pStyle w:val="NoSpacing"/>
            </w:pPr>
            <w:r>
              <w:t>Claim services hold pooled connections; work exceeds the 15-minute function limit (Section 2.3, row 7)</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Cold-start and latency predictability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4929" w:type="dxa"/>
            <w:tcBorders>
              <w:top w:val="dotted" w:sz="4" w:space="0" w:color="auto"/>
              <w:left w:val="dotted" w:sz="4" w:space="0" w:color="auto"/>
              <w:bottom w:val="dotted" w:sz="4" w:space="0" w:color="auto"/>
              <w:right w:val="dotted" w:sz="4" w:space="0" w:color="auto"/>
            </w:tcBorders>
          </w:tcPr>
          <w:p>
            <w:pPr>
              <w:pStyle w:val="NoSpacing"/>
            </w:pPr>
            <w:r>
              <w:t>NFR 3: 99% of requests under 5,000 ms, peak and non-peak (row 3)</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Operational overhead (5 = lowest)</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4929" w:type="dxa"/>
            <w:tcBorders>
              <w:top w:val="dotted" w:sz="4" w:space="0" w:color="auto"/>
              <w:left w:val="dotted" w:sz="4" w:space="0" w:color="auto"/>
              <w:bottom w:val="dotted" w:sz="4" w:space="0" w:color="auto"/>
              <w:right w:val="dotted" w:sz="4" w:space="0" w:color="auto"/>
            </w:tcBorders>
          </w:tcPr>
          <w:p>
            <w:pPr>
              <w:pStyle w:val="NoSpacing"/>
            </w:pPr>
            <w:r>
              <w:t>24×7 operation with a lean operations team (rows 6 and 8)</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Self-healing and automatic restart</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4929" w:type="dxa"/>
            <w:tcBorders>
              <w:top w:val="dotted" w:sz="4" w:space="0" w:color="auto"/>
              <w:left w:val="dotted" w:sz="4" w:space="0" w:color="auto"/>
              <w:bottom w:val="dotted" w:sz="4" w:space="0" w:color="auto"/>
              <w:right w:val="dotted" w:sz="4" w:space="0" w:color="auto"/>
            </w:tcBorders>
          </w:tcPr>
          <w:p>
            <w:pPr>
              <w:pStyle w:val="NoSpacing"/>
            </w:pPr>
            <w:r>
              <w:t>The system should restart on its own after any crash (row 1)</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Portability and cloud / on-premise support</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4929" w:type="dxa"/>
            <w:tcBorders>
              <w:top w:val="dotted" w:sz="4" w:space="0" w:color="auto"/>
              <w:left w:val="dotted" w:sz="4" w:space="0" w:color="auto"/>
              <w:bottom w:val="dotted" w:sz="4" w:space="0" w:color="auto"/>
              <w:right w:val="dotted" w:sz="4" w:space="0" w:color="auto"/>
            </w:tcBorders>
          </w:tcPr>
          <w:p>
            <w:pPr>
              <w:pStyle w:val="NoSpacing"/>
            </w:pPr>
            <w:r>
              <w:t>NFR 2: support both on-premise and cloud deployment (row 4)</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Autoscaling to demand</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4929" w:type="dxa"/>
            <w:tcBorders>
              <w:top w:val="dotted" w:sz="4" w:space="0" w:color="auto"/>
              <w:left w:val="dotted" w:sz="4" w:space="0" w:color="auto"/>
              <w:bottom w:val="dotted" w:sz="4" w:space="0" w:color="auto"/>
              <w:right w:val="dotted" w:sz="4" w:space="0" w:color="auto"/>
            </w:tcBorders>
          </w:tcPr>
          <w:p>
            <w:pPr>
              <w:pStyle w:val="NoSpacing"/>
            </w:pPr>
            <w:r>
              <w:t>NFR 2: auto-scale to match demand; 2–100 tasks per service (row 2)</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Cost at eClaims scale</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4929" w:type="dxa"/>
            <w:tcBorders>
              <w:top w:val="dotted" w:sz="4" w:space="0" w:color="auto"/>
              <w:left w:val="dotted" w:sz="4" w:space="0" w:color="auto"/>
              <w:bottom w:val="dotted" w:sz="4" w:space="0" w:color="auto"/>
              <w:right w:val="dotted" w:sz="4" w:space="0" w:color="auto"/>
            </w:tcBorders>
          </w:tcPr>
          <w:p>
            <w:pPr>
              <w:pStyle w:val="NoSpacing"/>
            </w:pPr>
            <w:r>
              <w:t>Run cost plus the standing effort to operate the platform (row 8)</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Complexity / learning curve (5 = simplest)</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4929" w:type="dxa"/>
            <w:tcBorders>
              <w:top w:val="dotted" w:sz="4" w:space="0" w:color="auto"/>
              <w:left w:val="dotted" w:sz="4" w:space="0" w:color="auto"/>
              <w:bottom w:val="dotted" w:sz="4" w:space="0" w:color="auto"/>
              <w:right w:val="dotted" w:sz="4" w:space="0" w:color="auto"/>
            </w:tcBorders>
          </w:tcPr>
          <w:p>
            <w:pPr>
              <w:pStyle w:val="NoSpacing"/>
            </w:pPr>
            <w:r>
              <w:t>Delivery team ramp-up and long-term maintainability (row 6)</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Security and IAM integration</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4929" w:type="dxa"/>
            <w:tcBorders>
              <w:top w:val="dotted" w:sz="4" w:space="0" w:color="auto"/>
              <w:left w:val="dotted" w:sz="4" w:space="0" w:color="auto"/>
              <w:bottom w:val="dotted" w:sz="4" w:space="0" w:color="auto"/>
              <w:right w:val="dotted" w:sz="4" w:space="0" w:color="auto"/>
            </w:tcBorders>
          </w:tcPr>
          <w:p>
            <w:pPr>
              <w:pStyle w:val="NoSpacing"/>
            </w:pPr>
            <w:r>
              <w:t>OWASP Top 10, encryption, role-based access control (row 5)</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Concurrency headroom</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4929" w:type="dxa"/>
            <w:tcBorders>
              <w:top w:val="dotted" w:sz="4" w:space="0" w:color="auto"/>
              <w:left w:val="dotted" w:sz="4" w:space="0" w:color="auto"/>
              <w:bottom w:val="dotted" w:sz="4" w:space="0" w:color="auto"/>
              <w:right w:val="dotted" w:sz="4" w:space="0" w:color="auto"/>
            </w:tcBorders>
          </w:tcPr>
          <w:p>
            <w:pPr>
              <w:pStyle w:val="NoSpacing"/>
            </w:pPr>
            <w:r>
              <w:t>Customer base above 200 million; peak claim volume (row 2)</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Total</w:t>
            </w:r>
          </w:p>
        </w:tc>
        <w:tc>
          <w:tcPr>
            <w:tcW w:w="1060" w:type="dxa"/>
            <w:tcBorders>
              <w:top w:val="dotted" w:sz="4" w:space="0" w:color="auto"/>
              <w:left w:val="dotted" w:sz="4" w:space="0" w:color="auto"/>
              <w:bottom w:val="dotted" w:sz="4" w:space="0" w:color="auto"/>
              <w:right w:val="dotted" w:sz="4" w:space="0" w:color="auto"/>
            </w:tcBorders>
          </w:tcPr>
          <w:p>
            <w:pPr>
              <w:pStyle w:val="NoSpacing"/>
            </w:pPr>
            <w:r>
              <w:t>41</w:t>
            </w:r>
          </w:p>
        </w:tc>
        <w:tc>
          <w:tcPr>
            <w:tcW w:w="4929" w:type="dxa"/>
            <w:tcBorders>
              <w:top w:val="dotted" w:sz="4" w:space="0" w:color="auto"/>
              <w:left w:val="dotted" w:sz="4" w:space="0" w:color="auto"/>
              <w:bottom w:val="dotted" w:sz="4" w:space="0" w:color="auto"/>
              <w:right w:val="dotted" w:sz="4" w:space="0" w:color="auto"/>
            </w:tcBorders>
          </w:tcPr>
          <w:p>
            <w:pPr>
              <w:pStyle w:val="NoSpacing"/>
            </w:pPr>
          </w:p>
        </w:tc>
      </w:tr>
    </w:tbl>
    <w:p/>
    <w:p>
      <w:r>
        <w:t>Portability and on-premise support carries weight 5 and is the attribute on which the recommended model is weakest. It is weighted at 5 deliberately, because the requirement states it plainly, and it is not quietly discounted to protect the conclusion. Sections 4.5 and 6.2 address that weakness explicitly instead.</w:t>
      </w:r>
    </w:p>
    <w:p>
      <w:pPr>
        <w:pStyle w:val="Heading2"/>
      </w:pPr>
      <w:bookmarkStart w:id="118" w:name="_Toc300000019"/>
      <w:r>
        <w:t>Comparison 1 — Weighted Scoring</w:t>
      </w:r>
      <w:bookmarkEnd w:id="118"/>
    </w:p>
    <w:p>
      <w:r>
        <w:t>Scoring legend: 5 = excellent, 4 = strong, 3 = adequate, 2 = limited, 1 = minimal. Scores reflect native capability relative to the eClaims requirement, not absolute product quality. For the operational-overhead and complexity attributes, a score of 5 denotes the lowest overhead and the simplest option respectively.</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326"/>
        <w:gridCol w:w="1060"/>
        <w:gridCol w:w="1898"/>
        <w:gridCol w:w="1844"/>
        <w:gridCol w:w="1898"/>
      </w:tblGrid>
      <w:tr>
        <w:trPr>
          <w:cantSplit/>
          <w:tblHeader/>
        </w:trPr>
        <w:tc>
          <w:tcPr>
            <w:tcW w:w="232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Evaluation 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189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Serverless functions (Lambda)</w:t>
            </w:r>
          </w:p>
        </w:tc>
        <w:tc>
          <w:tcPr>
            <w:tcW w:w="184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Serverless containers (ECS Fargate)</w:t>
            </w:r>
          </w:p>
        </w:tc>
        <w:tc>
          <w:tcPr>
            <w:tcW w:w="189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Kubernetes (EKS on EC2 nodes)</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Long-running / stateful services</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1</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Cold-start and latency predictability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2</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Operational overhead (5 = lowest)</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2</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Self-healing and automatic restart</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1898" w:type="dxa"/>
            <w:tcBorders>
              <w:top w:val="dotted" w:sz="4" w:space="0" w:color="auto"/>
              <w:left w:val="dotted" w:sz="4" w:space="0" w:color="auto"/>
              <w:bottom w:val="dotted" w:sz="4" w:space="0" w:color="auto"/>
              <w:right w:val="dotted" w:sz="4" w:space="0" w:color="auto"/>
            </w:tcBorders>
          </w:tcPr>
          <w:p>
            <w:pPr>
              <w:pStyle w:val="NoSpacing"/>
            </w:pPr>
            <w:r>
              <w:t>4</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Portability and cloud / on-premise support</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1</w:t>
            </w:r>
          </w:p>
        </w:tc>
        <w:tc>
          <w:tcPr>
            <w:tcW w:w="1844" w:type="dxa"/>
            <w:tcBorders>
              <w:top w:val="dotted" w:sz="4" w:space="0" w:color="auto"/>
              <w:left w:val="dotted" w:sz="4" w:space="0" w:color="auto"/>
              <w:bottom w:val="dotted" w:sz="4" w:space="0" w:color="auto"/>
              <w:right w:val="dotted" w:sz="4" w:space="0" w:color="auto"/>
            </w:tcBorders>
          </w:tcPr>
          <w:p>
            <w:pPr>
              <w:pStyle w:val="NoSpacing"/>
            </w:pPr>
            <w:r>
              <w:t>3</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Autoscaling to demand</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Cost at eClaims scale</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1898" w:type="dxa"/>
            <w:tcBorders>
              <w:top w:val="dotted" w:sz="4" w:space="0" w:color="auto"/>
              <w:left w:val="dotted" w:sz="4" w:space="0" w:color="auto"/>
              <w:bottom w:val="dotted" w:sz="4" w:space="0" w:color="auto"/>
              <w:right w:val="dotted" w:sz="4" w:space="0" w:color="auto"/>
            </w:tcBorders>
          </w:tcPr>
          <w:p>
            <w:pPr>
              <w:pStyle w:val="NoSpacing"/>
            </w:pPr>
            <w:r>
              <w:t>3</w:t>
            </w:r>
          </w:p>
        </w:tc>
        <w:tc>
          <w:tcPr>
            <w:tcW w:w="1844" w:type="dxa"/>
            <w:tcBorders>
              <w:top w:val="dotted" w:sz="4" w:space="0" w:color="auto"/>
              <w:left w:val="dotted" w:sz="4" w:space="0" w:color="auto"/>
              <w:bottom w:val="dotted" w:sz="4" w:space="0" w:color="auto"/>
              <w:right w:val="dotted" w:sz="4" w:space="0" w:color="auto"/>
            </w:tcBorders>
          </w:tcPr>
          <w:p>
            <w:pPr>
              <w:pStyle w:val="NoSpacing"/>
            </w:pPr>
            <w:r>
              <w:t>4</w:t>
            </w:r>
          </w:p>
        </w:tc>
        <w:tc>
          <w:tcPr>
            <w:tcW w:w="1898" w:type="dxa"/>
            <w:tcBorders>
              <w:top w:val="dotted" w:sz="4" w:space="0" w:color="auto"/>
              <w:left w:val="dotted" w:sz="4" w:space="0" w:color="auto"/>
              <w:bottom w:val="dotted" w:sz="4" w:space="0" w:color="auto"/>
              <w:right w:val="dotted" w:sz="4" w:space="0" w:color="auto"/>
            </w:tcBorders>
          </w:tcPr>
          <w:p>
            <w:pPr>
              <w:pStyle w:val="NoSpacing"/>
            </w:pPr>
            <w:r>
              <w:t>2</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Complexity / learning curve (5 = simplest)</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1898" w:type="dxa"/>
            <w:tcBorders>
              <w:top w:val="dotted" w:sz="4" w:space="0" w:color="auto"/>
              <w:left w:val="dotted" w:sz="4" w:space="0" w:color="auto"/>
              <w:bottom w:val="dotted" w:sz="4" w:space="0" w:color="auto"/>
              <w:right w:val="dotted" w:sz="4" w:space="0" w:color="auto"/>
            </w:tcBorders>
          </w:tcPr>
          <w:p>
            <w:pPr>
              <w:pStyle w:val="NoSpacing"/>
            </w:pPr>
            <w:r>
              <w:t>4</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2</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Security and IAM integration</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Concurrency headroom</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1898" w:type="dxa"/>
            <w:tcBorders>
              <w:top w:val="dotted" w:sz="4" w:space="0" w:color="auto"/>
              <w:left w:val="dotted" w:sz="4" w:space="0" w:color="auto"/>
              <w:bottom w:val="dotted" w:sz="4" w:space="0" w:color="auto"/>
              <w:right w:val="dotted" w:sz="4" w:space="0" w:color="auto"/>
            </w:tcBorders>
          </w:tcPr>
          <w:p>
            <w:pPr>
              <w:pStyle w:val="NoSpacing"/>
            </w:pPr>
            <w:r>
              <w:t>3</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Total Weighted Score</w:t>
            </w:r>
          </w:p>
        </w:tc>
        <w:tc>
          <w:tcPr>
            <w:tcW w:w="1060" w:type="dxa"/>
            <w:tcBorders>
              <w:top w:val="dotted" w:sz="4" w:space="0" w:color="auto"/>
              <w:left w:val="dotted" w:sz="4" w:space="0" w:color="auto"/>
              <w:bottom w:val="dotted" w:sz="4" w:space="0" w:color="auto"/>
              <w:right w:val="dotted" w:sz="4" w:space="0" w:color="auto"/>
            </w:tcBorders>
          </w:tcPr>
          <w:p>
            <w:pPr>
              <w:pStyle w:val="NoSpacing"/>
            </w:pPr>
            <w:r>
              <w:t>41</w:t>
            </w:r>
          </w:p>
        </w:tc>
        <w:tc>
          <w:tcPr>
            <w:tcW w:w="1898" w:type="dxa"/>
            <w:tcBorders>
              <w:top w:val="dotted" w:sz="4" w:space="0" w:color="auto"/>
              <w:left w:val="dotted" w:sz="4" w:space="0" w:color="auto"/>
              <w:bottom w:val="dotted" w:sz="4" w:space="0" w:color="auto"/>
              <w:right w:val="dotted" w:sz="4" w:space="0" w:color="auto"/>
            </w:tcBorders>
          </w:tcPr>
          <w:p>
            <w:pPr>
              <w:pStyle w:val="NoSpacing"/>
            </w:pPr>
            <w:r>
              <w:t>3.15 / 5</w:t>
            </w:r>
          </w:p>
        </w:tc>
        <w:tc>
          <w:tcPr>
            <w:tcW w:w="1844" w:type="dxa"/>
            <w:tcBorders>
              <w:top w:val="dotted" w:sz="4" w:space="0" w:color="auto"/>
              <w:left w:val="dotted" w:sz="4" w:space="0" w:color="auto"/>
              <w:bottom w:val="dotted" w:sz="4" w:space="0" w:color="auto"/>
              <w:right w:val="dotted" w:sz="4" w:space="0" w:color="auto"/>
            </w:tcBorders>
          </w:tcPr>
          <w:p>
            <w:pPr>
              <w:pStyle w:val="NoSpacing"/>
            </w:pPr>
            <w:r>
              <w:t>4.66 / 5</w:t>
            </w:r>
          </w:p>
        </w:tc>
        <w:tc>
          <w:tcPr>
            <w:tcW w:w="1898" w:type="dxa"/>
            <w:tcBorders>
              <w:top w:val="dotted" w:sz="4" w:space="0" w:color="auto"/>
              <w:left w:val="dotted" w:sz="4" w:space="0" w:color="auto"/>
              <w:bottom w:val="dotted" w:sz="4" w:space="0" w:color="auto"/>
              <w:right w:val="dotted" w:sz="4" w:space="0" w:color="auto"/>
            </w:tcBorders>
          </w:tcPr>
          <w:p>
            <w:pPr>
              <w:pStyle w:val="NoSpacing"/>
            </w:pPr>
            <w:r>
              <w:t>3.88 / 5</w:t>
            </w:r>
          </w:p>
        </w:tc>
      </w:tr>
    </w:tbl>
    <w:p/>
    <w:p>
      <w:r>
        <w:t>Serverless containers lead at 4.66, ahead of Kubernetes at 3.88 and serverless functions at 3.15. The shape of the result is more informative than the ranking. ECS Fargate does not win by being better at everything; it wins by being the only option that is strong on both of the two dimensions the requirements pull in opposite directions on — the execution model a long-lived stateful service needs, and the operational model a lean team running 24×7 can sustain.</w:t>
      </w:r>
    </w:p>
    <w:p>
      <w:r>
        <w:t>Serverless functions fail on execution model. They score 1 on long-running stateful services and 2 on latency predictability, against weights of 5 apiece: a function created per invocation cannot hold a database connection pool, and cold-start latency lands on a request path already bounded at 5,000 ms. They also score 1 on portability, being the most provider-specific of the three. Where they are strong — operational overhead, autoscaling, security isolation — ECS Fargate matches them, which is why the option adds nothing that survives its weaknesses.</w:t>
      </w:r>
    </w:p>
    <w:p>
      <w:r>
        <w:t>Kubernetes fails on nothing and wins outright on one attribute: portability and on-premise support, scoring 5 against Fargate's 3, at weight 5. It equals Fargate on long-running services, latency predictability, self-healing and concurrency headroom. Its total is lower because it loses five rows, three of them heavily: operational overhead 2 against 5 at weight 5, complexity 2 against 5, and cost 2 against 4, with smaller losses on security and IAM integration (3 against 5) and autoscaling (4 against 5). The gap between 3.88 and 4.66 is almost entirely the cost of owning a cluster.</w:t>
      </w:r>
    </w:p>
    <w:p>
      <w:r>
        <w:t>That is worth stating without softening. On a cloud-agnostic mandate, portability would outrank operational cost and Kubernetes would win. Under the eClaims assumption set — YCompany will adopt AWS as its cloud provider (SAD Section 10, Assumption 1), and the portable unit is the container image — the same rows favour ECS Fargate. Section 6.2 sets out why the portability gap is narrower than the score suggests, and Section 8 records the residual exposure as a named risk.</w:t>
      </w:r>
    </w:p>
    <w:p>
      <w:pPr>
        <w:pStyle w:val="Heading2"/>
      </w:pPr>
      <w:bookmarkStart w:id="119" w:name="_Toc300000020"/>
      <w:r>
        <w:t>Comparison 2 — Capability Comparison</w:t>
      </w:r>
      <w:bookmarkEnd w:id="119"/>
    </w:p>
    <w:p>
      <w:r>
        <w:t>Native means the capability is provided by the option itself. Partial means it is achievable but requires the team to build, integrate or operate something. No means the capability is absent.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00"/>
        <w:gridCol w:w="2380"/>
        <w:gridCol w:w="2288"/>
        <w:gridCol w:w="2458"/>
      </w:tblGrid>
      <w:tr>
        <w:trPr>
          <w:cantSplit/>
          <w:tblHeader/>
        </w:trPr>
        <w:tc>
          <w:tcPr>
            <w:tcW w:w="190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Key Capability</w:t>
            </w:r>
          </w:p>
        </w:tc>
        <w:tc>
          <w:tcPr>
            <w:tcW w:w="238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Serverless functions</w:t>
            </w:r>
          </w:p>
        </w:tc>
        <w:tc>
          <w:tcPr>
            <w:tcW w:w="228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ECS Fargate</w:t>
            </w:r>
          </w:p>
        </w:tc>
        <w:tc>
          <w:tcPr>
            <w:tcW w:w="245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Kubernetes (EKS on EC2 nodes)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Unit of deployment</w:t>
            </w:r>
          </w:p>
        </w:tc>
        <w:tc>
          <w:tcPr>
            <w:tcW w:w="2380" w:type="dxa"/>
            <w:tcBorders>
              <w:top w:val="dotted" w:sz="4" w:space="0" w:color="auto"/>
              <w:left w:val="dotted" w:sz="4" w:space="0" w:color="auto"/>
              <w:bottom w:val="dotted" w:sz="4" w:space="0" w:color="auto"/>
              <w:right w:val="dotted" w:sz="4" w:space="0" w:color="auto"/>
            </w:tcBorders>
          </w:tcPr>
          <w:p>
            <w:pPr>
              <w:pStyle w:val="NoSpacing"/>
            </w:pPr>
            <w:r>
              <w:t>A function</w:t>
            </w:r>
          </w:p>
        </w:tc>
        <w:tc>
          <w:tcPr>
            <w:tcW w:w="2288" w:type="dxa"/>
            <w:tcBorders>
              <w:top w:val="dotted" w:sz="4" w:space="0" w:color="auto"/>
              <w:left w:val="dotted" w:sz="4" w:space="0" w:color="auto"/>
              <w:bottom w:val="dotted" w:sz="4" w:space="0" w:color="auto"/>
              <w:right w:val="dotted" w:sz="4" w:space="0" w:color="auto"/>
            </w:tcBorders>
          </w:tcPr>
          <w:p>
            <w:pPr>
              <w:pStyle w:val="NoSpacing"/>
            </w:pPr>
            <w:r>
              <w:t>A container image</w:t>
            </w:r>
          </w:p>
        </w:tc>
        <w:tc>
          <w:tcPr>
            <w:tcW w:w="2458" w:type="dxa"/>
            <w:tcBorders>
              <w:top w:val="dotted" w:sz="4" w:space="0" w:color="auto"/>
              <w:left w:val="dotted" w:sz="4" w:space="0" w:color="auto"/>
              <w:bottom w:val="dotted" w:sz="4" w:space="0" w:color="auto"/>
              <w:right w:val="dotted" w:sz="4" w:space="0" w:color="auto"/>
            </w:tcBorders>
          </w:tcPr>
          <w:p>
            <w:pPr>
              <w:pStyle w:val="NoSpacing"/>
            </w:pPr>
            <w:r>
              <w:t>A container image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Maximum execution duration</w:t>
            </w:r>
          </w:p>
        </w:tc>
        <w:tc>
          <w:tcPr>
            <w:tcW w:w="2380" w:type="dxa"/>
            <w:tcBorders>
              <w:top w:val="dotted" w:sz="4" w:space="0" w:color="auto"/>
              <w:left w:val="dotted" w:sz="4" w:space="0" w:color="auto"/>
              <w:bottom w:val="dotted" w:sz="4" w:space="0" w:color="auto"/>
              <w:right w:val="dotted" w:sz="4" w:space="0" w:color="auto"/>
            </w:tcBorders>
          </w:tcPr>
          <w:p>
            <w:pPr>
              <w:pStyle w:val="NoSpacing"/>
            </w:pPr>
            <w:r>
              <w:t>No — 15 minutes</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unbounded</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 — unbounded</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Persistent connection pooling</w:t>
            </w:r>
          </w:p>
        </w:tc>
        <w:tc>
          <w:tcPr>
            <w:tcW w:w="2380" w:type="dxa"/>
            <w:tcBorders>
              <w:top w:val="dotted" w:sz="4" w:space="0" w:color="auto"/>
              <w:left w:val="dotted" w:sz="4" w:space="0" w:color="auto"/>
              <w:bottom w:val="dotted" w:sz="4" w:space="0" w:color="auto"/>
              <w:right w:val="dotted" w:sz="4" w:space="0" w:color="auto"/>
            </w:tcBorders>
          </w:tcPr>
          <w:p>
            <w:pPr>
              <w:pStyle w:val="NoSpacing"/>
            </w:pPr>
            <w:r>
              <w:t>No — per-instance lifecycle</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Cold start on the request path</w:t>
            </w:r>
          </w:p>
        </w:tc>
        <w:tc>
          <w:tcPr>
            <w:tcW w:w="2380" w:type="dxa"/>
            <w:tcBorders>
              <w:top w:val="dotted" w:sz="4" w:space="0" w:color="auto"/>
              <w:left w:val="dotted" w:sz="4" w:space="0" w:color="auto"/>
              <w:bottom w:val="dotted" w:sz="4" w:space="0" w:color="auto"/>
              <w:right w:val="dotted" w:sz="4" w:space="0" w:color="auto"/>
            </w:tcBorders>
          </w:tcPr>
          <w:p>
            <w:pPr>
              <w:pStyle w:val="NoSpacing"/>
            </w:pPr>
            <w:r>
              <w:t>Yes</w:t>
            </w:r>
          </w:p>
        </w:tc>
        <w:tc>
          <w:tcPr>
            <w:tcW w:w="2288" w:type="dxa"/>
            <w:tcBorders>
              <w:top w:val="dotted" w:sz="4" w:space="0" w:color="auto"/>
              <w:left w:val="dotted" w:sz="4" w:space="0" w:color="auto"/>
              <w:bottom w:val="dotted" w:sz="4" w:space="0" w:color="auto"/>
              <w:right w:val="dotted" w:sz="4" w:space="0" w:color="auto"/>
            </w:tcBorders>
          </w:tcPr>
          <w:p>
            <w:pPr>
              <w:pStyle w:val="NoSpacing"/>
            </w:pPr>
            <w:r>
              <w:t>No — task starts once</w:t>
            </w:r>
          </w:p>
        </w:tc>
        <w:tc>
          <w:tcPr>
            <w:tcW w:w="2458" w:type="dxa"/>
            <w:tcBorders>
              <w:top w:val="dotted" w:sz="4" w:space="0" w:color="auto"/>
              <w:left w:val="dotted" w:sz="4" w:space="0" w:color="auto"/>
              <w:bottom w:val="dotted" w:sz="4" w:space="0" w:color="auto"/>
              <w:right w:val="dotted" w:sz="4" w:space="0" w:color="auto"/>
            </w:tcBorders>
          </w:tcPr>
          <w:p>
            <w:pPr>
              <w:pStyle w:val="NoSpacing"/>
            </w:pPr>
            <w:r>
              <w:t>No — pod starts once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Host fleet to manage</w:t>
            </w:r>
          </w:p>
        </w:tc>
        <w:tc>
          <w:tcPr>
            <w:tcW w:w="2380" w:type="dxa"/>
            <w:tcBorders>
              <w:top w:val="dotted" w:sz="4" w:space="0" w:color="auto"/>
              <w:left w:val="dotted" w:sz="4" w:space="0" w:color="auto"/>
              <w:bottom w:val="dotted" w:sz="4" w:space="0" w:color="auto"/>
              <w:right w:val="dotted" w:sz="4" w:space="0" w:color="auto"/>
            </w:tcBorders>
          </w:tcPr>
          <w:p>
            <w:pPr>
              <w:pStyle w:val="NoSpacing"/>
            </w:pPr>
            <w:r>
              <w:t>None</w:t>
            </w:r>
          </w:p>
        </w:tc>
        <w:tc>
          <w:tcPr>
            <w:tcW w:w="2288" w:type="dxa"/>
            <w:tcBorders>
              <w:top w:val="dotted" w:sz="4" w:space="0" w:color="auto"/>
              <w:left w:val="dotted" w:sz="4" w:space="0" w:color="auto"/>
              <w:bottom w:val="dotted" w:sz="4" w:space="0" w:color="auto"/>
              <w:right w:val="dotted" w:sz="4" w:space="0" w:color="auto"/>
            </w:tcBorders>
          </w:tcPr>
          <w:p>
            <w:pPr>
              <w:pStyle w:val="NoSpacing"/>
            </w:pPr>
            <w:r>
              <w:t>None</w:t>
            </w:r>
          </w:p>
        </w:tc>
        <w:tc>
          <w:tcPr>
            <w:tcW w:w="2458" w:type="dxa"/>
            <w:tcBorders>
              <w:top w:val="dotted" w:sz="4" w:space="0" w:color="auto"/>
              <w:left w:val="dotted" w:sz="4" w:space="0" w:color="auto"/>
              <w:bottom w:val="dotted" w:sz="4" w:space="0" w:color="auto"/>
              <w:right w:val="dotted" w:sz="4" w:space="0" w:color="auto"/>
            </w:tcBorders>
          </w:tcPr>
          <w:p>
            <w:pPr>
              <w:pStyle w:val="NoSpacing"/>
            </w:pPr>
            <w:r>
              <w:t>Node groups, unless run on Fargate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Control plane to operate</w:t>
            </w:r>
          </w:p>
        </w:tc>
        <w:tc>
          <w:tcPr>
            <w:tcW w:w="2380" w:type="dxa"/>
            <w:tcBorders>
              <w:top w:val="dotted" w:sz="4" w:space="0" w:color="auto"/>
              <w:left w:val="dotted" w:sz="4" w:space="0" w:color="auto"/>
              <w:bottom w:val="dotted" w:sz="4" w:space="0" w:color="auto"/>
              <w:right w:val="dotted" w:sz="4" w:space="0" w:color="auto"/>
            </w:tcBorders>
          </w:tcPr>
          <w:p>
            <w:pPr>
              <w:pStyle w:val="NoSpacing"/>
            </w:pPr>
            <w:r>
              <w:t>None</w:t>
            </w:r>
          </w:p>
        </w:tc>
        <w:tc>
          <w:tcPr>
            <w:tcW w:w="2288" w:type="dxa"/>
            <w:tcBorders>
              <w:top w:val="dotted" w:sz="4" w:space="0" w:color="auto"/>
              <w:left w:val="dotted" w:sz="4" w:space="0" w:color="auto"/>
              <w:bottom w:val="dotted" w:sz="4" w:space="0" w:color="auto"/>
              <w:right w:val="dotted" w:sz="4" w:space="0" w:color="auto"/>
            </w:tcBorders>
          </w:tcPr>
          <w:p>
            <w:pPr>
              <w:pStyle w:val="NoSpacing"/>
            </w:pPr>
            <w:r>
              <w:t>None — no cluster version to own</w:t>
            </w:r>
          </w:p>
        </w:tc>
        <w:tc>
          <w:tcPr>
            <w:tcW w:w="2458" w:type="dxa"/>
            <w:tcBorders>
              <w:top w:val="dotted" w:sz="4" w:space="0" w:color="auto"/>
              <w:left w:val="dotted" w:sz="4" w:space="0" w:color="auto"/>
              <w:bottom w:val="dotted" w:sz="4" w:space="0" w:color="auto"/>
              <w:right w:val="dotted" w:sz="4" w:space="0" w:color="auto"/>
            </w:tcBorders>
          </w:tcPr>
          <w:p>
            <w:pPr>
              <w:pStyle w:val="NoSpacing"/>
            </w:pPr>
            <w:r>
              <w:t>Managed, but cluster and add-on versions are owned</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Self-healing</w:t>
            </w:r>
          </w:p>
        </w:tc>
        <w:tc>
          <w:tcPr>
            <w:tcW w:w="2380" w:type="dxa"/>
            <w:tcBorders>
              <w:top w:val="dotted" w:sz="4" w:space="0" w:color="auto"/>
              <w:left w:val="dotted" w:sz="4" w:space="0" w:color="auto"/>
              <w:bottom w:val="dotted" w:sz="4" w:space="0" w:color="auto"/>
              <w:right w:val="dotted" w:sz="4" w:space="0" w:color="auto"/>
            </w:tcBorders>
          </w:tcPr>
          <w:p>
            <w:pPr>
              <w:pStyle w:val="NoSpacing"/>
            </w:pPr>
            <w:r>
              <w:t>Native — retry and reinvoke</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health checks replace tasks</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 — reconciliation loop</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Autoscaling</w:t>
            </w:r>
          </w:p>
        </w:tc>
        <w:tc>
          <w:tcPr>
            <w:tcW w:w="2380" w:type="dxa"/>
            <w:tcBorders>
              <w:top w:val="dotted" w:sz="4" w:space="0" w:color="auto"/>
              <w:left w:val="dotted" w:sz="4" w:space="0" w:color="auto"/>
              <w:bottom w:val="dotted" w:sz="4" w:space="0" w:color="auto"/>
              <w:right w:val="dotted" w:sz="4" w:space="0" w:color="auto"/>
            </w:tcBorders>
          </w:tcPr>
          <w:p>
            <w:pPr>
              <w:pStyle w:val="NoSpacing"/>
            </w:pPr>
            <w:r>
              <w:t>Native — per invocation, to zero</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per service, on metrics</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 — pod and cluster autoscalers, two layers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Scale to zero</w:t>
            </w:r>
          </w:p>
        </w:tc>
        <w:tc>
          <w:tcPr>
            <w:tcW w:w="2380"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2288" w:type="dxa"/>
            <w:tcBorders>
              <w:top w:val="dotted" w:sz="4" w:space="0" w:color="auto"/>
              <w:left w:val="dotted" w:sz="4" w:space="0" w:color="auto"/>
              <w:bottom w:val="dotted" w:sz="4" w:space="0" w:color="auto"/>
              <w:right w:val="dotted" w:sz="4" w:space="0" w:color="auto"/>
            </w:tcBorders>
          </w:tcPr>
          <w:p>
            <w:pPr>
              <w:pStyle w:val="NoSpacing"/>
            </w:pPr>
            <w:r>
              <w:t>Partial — minimum task count</w:t>
            </w:r>
          </w:p>
        </w:tc>
        <w:tc>
          <w:tcPr>
            <w:tcW w:w="2458" w:type="dxa"/>
            <w:tcBorders>
              <w:top w:val="dotted" w:sz="4" w:space="0" w:color="auto"/>
              <w:left w:val="dotted" w:sz="4" w:space="0" w:color="auto"/>
              <w:bottom w:val="dotted" w:sz="4" w:space="0" w:color="auto"/>
              <w:right w:val="dotted" w:sz="4" w:space="0" w:color="auto"/>
            </w:tcBorders>
          </w:tcPr>
          <w:p>
            <w:pPr>
              <w:pStyle w:val="NoSpacing"/>
            </w:pPr>
            <w:r>
              <w:t>Partial — with additional components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Blue-green with automatic rollback</w:t>
            </w:r>
          </w:p>
        </w:tc>
        <w:tc>
          <w:tcPr>
            <w:tcW w:w="2380" w:type="dxa"/>
            <w:tcBorders>
              <w:top w:val="dotted" w:sz="4" w:space="0" w:color="auto"/>
              <w:left w:val="dotted" w:sz="4" w:space="0" w:color="auto"/>
              <w:bottom w:val="dotted" w:sz="4" w:space="0" w:color="auto"/>
              <w:right w:val="dotted" w:sz="4" w:space="0" w:color="auto"/>
            </w:tcBorders>
          </w:tcPr>
          <w:p>
            <w:pPr>
              <w:pStyle w:val="NoSpacing"/>
            </w:pPr>
            <w:r>
              <w:t>Partial — alias traffic shifting</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built in, or CodeDeploy with weighted ALB target groups</w:t>
            </w:r>
          </w:p>
        </w:tc>
        <w:tc>
          <w:tcPr>
            <w:tcW w:w="2458" w:type="dxa"/>
            <w:tcBorders>
              <w:top w:val="dotted" w:sz="4" w:space="0" w:color="auto"/>
              <w:left w:val="dotted" w:sz="4" w:space="0" w:color="auto"/>
              <w:bottom w:val="dotted" w:sz="4" w:space="0" w:color="auto"/>
              <w:right w:val="dotted" w:sz="4" w:space="0" w:color="auto"/>
            </w:tcBorders>
          </w:tcPr>
          <w:p>
            <w:pPr>
              <w:pStyle w:val="NoSpacing"/>
            </w:pPr>
            <w:r>
              <w:t>Partial — with a controller or service mesh</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Per-workload identity</w:t>
            </w:r>
          </w:p>
        </w:tc>
        <w:tc>
          <w:tcPr>
            <w:tcW w:w="2380" w:type="dxa"/>
            <w:tcBorders>
              <w:top w:val="dotted" w:sz="4" w:space="0" w:color="auto"/>
              <w:left w:val="dotted" w:sz="4" w:space="0" w:color="auto"/>
              <w:bottom w:val="dotted" w:sz="4" w:space="0" w:color="auto"/>
              <w:right w:val="dotted" w:sz="4" w:space="0" w:color="auto"/>
            </w:tcBorders>
          </w:tcPr>
          <w:p>
            <w:pPr>
              <w:pStyle w:val="NoSpacing"/>
            </w:pPr>
            <w:r>
              <w:t>Native — execution role</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IAM task role</w:t>
            </w:r>
          </w:p>
        </w:tc>
        <w:tc>
          <w:tcPr>
            <w:tcW w:w="2458" w:type="dxa"/>
            <w:tcBorders>
              <w:top w:val="dotted" w:sz="4" w:space="0" w:color="auto"/>
              <w:left w:val="dotted" w:sz="4" w:space="0" w:color="auto"/>
              <w:bottom w:val="dotted" w:sz="4" w:space="0" w:color="auto"/>
              <w:right w:val="dotted" w:sz="4" w:space="0" w:color="auto"/>
            </w:tcBorders>
          </w:tcPr>
          <w:p>
            <w:pPr>
              <w:pStyle w:val="NoSpacing"/>
            </w:pPr>
            <w:r>
              <w:t>Partial — IAM roles for service accounts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Resource management</w:t>
            </w:r>
          </w:p>
        </w:tc>
        <w:tc>
          <w:tcPr>
            <w:tcW w:w="2380" w:type="dxa"/>
            <w:tcBorders>
              <w:top w:val="dotted" w:sz="4" w:space="0" w:color="auto"/>
              <w:left w:val="dotted" w:sz="4" w:space="0" w:color="auto"/>
              <w:bottom w:val="dotted" w:sz="4" w:space="0" w:color="auto"/>
              <w:right w:val="dotted" w:sz="4" w:space="0" w:color="auto"/>
            </w:tcBorders>
          </w:tcPr>
          <w:p>
            <w:pPr>
              <w:pStyle w:val="NoSpacing"/>
            </w:pPr>
            <w:r>
              <w:t>Abstracted — memory setting only</w:t>
            </w:r>
          </w:p>
        </w:tc>
        <w:tc>
          <w:tcPr>
            <w:tcW w:w="2288" w:type="dxa"/>
            <w:tcBorders>
              <w:top w:val="dotted" w:sz="4" w:space="0" w:color="auto"/>
              <w:left w:val="dotted" w:sz="4" w:space="0" w:color="auto"/>
              <w:bottom w:val="dotted" w:sz="4" w:space="0" w:color="auto"/>
              <w:right w:val="dotted" w:sz="4" w:space="0" w:color="auto"/>
            </w:tcBorders>
          </w:tcPr>
          <w:p>
            <w:pPr>
              <w:pStyle w:val="NoSpacing"/>
            </w:pPr>
            <w:r>
              <w:t>Declared per task; no bin packing to tune</w:t>
            </w:r>
          </w:p>
        </w:tc>
        <w:tc>
          <w:tcPr>
            <w:tcW w:w="2458" w:type="dxa"/>
            <w:tcBorders>
              <w:top w:val="dotted" w:sz="4" w:space="0" w:color="auto"/>
              <w:left w:val="dotted" w:sz="4" w:space="0" w:color="auto"/>
              <w:bottom w:val="dotted" w:sz="4" w:space="0" w:color="auto"/>
              <w:right w:val="dotted" w:sz="4" w:space="0" w:color="auto"/>
            </w:tcBorders>
          </w:tcPr>
          <w:p>
            <w:pPr>
              <w:pStyle w:val="NoSpacing"/>
            </w:pPr>
            <w:r>
              <w:t>Requests and limits per pod; bin packing to tune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Observability integration</w:t>
            </w:r>
          </w:p>
        </w:tc>
        <w:tc>
          <w:tcPr>
            <w:tcW w:w="2380" w:type="dxa"/>
            <w:tcBorders>
              <w:top w:val="dotted" w:sz="4" w:space="0" w:color="auto"/>
              <w:left w:val="dotted" w:sz="4" w:space="0" w:color="auto"/>
              <w:bottom w:val="dotted" w:sz="4" w:space="0" w:color="auto"/>
              <w:right w:val="dotted" w:sz="4" w:space="0" w:color="auto"/>
            </w:tcBorders>
          </w:tcPr>
          <w:p>
            <w:pPr>
              <w:pStyle w:val="NoSpacing"/>
            </w:pPr>
            <w:r>
              <w:t>Native — CloudWatch</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CloudWatch, Container Insights, X-Ray</w:t>
            </w:r>
          </w:p>
        </w:tc>
        <w:tc>
          <w:tcPr>
            <w:tcW w:w="2458" w:type="dxa"/>
            <w:tcBorders>
              <w:top w:val="dotted" w:sz="4" w:space="0" w:color="auto"/>
              <w:left w:val="dotted" w:sz="4" w:space="0" w:color="auto"/>
              <w:bottom w:val="dotted" w:sz="4" w:space="0" w:color="auto"/>
              <w:right w:val="dotted" w:sz="4" w:space="0" w:color="auto"/>
            </w:tcBorders>
          </w:tcPr>
          <w:p>
            <w:pPr>
              <w:pStyle w:val="NoSpacing"/>
            </w:pPr>
            <w:r>
              <w:t>Partial — cluster-level stack to deploy and run</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On-premise deployment</w:t>
            </w:r>
          </w:p>
        </w:tc>
        <w:tc>
          <w:tcPr>
            <w:tcW w:w="2380" w:type="dxa"/>
            <w:tcBorders>
              <w:top w:val="dotted" w:sz="4" w:space="0" w:color="auto"/>
              <w:left w:val="dotted" w:sz="4" w:space="0" w:color="auto"/>
              <w:bottom w:val="dotted" w:sz="4" w:space="0" w:color="auto"/>
              <w:right w:val="dotted" w:sz="4" w:space="0" w:color="auto"/>
            </w:tcBorders>
          </w:tcPr>
          <w:p>
            <w:pPr>
              <w:pStyle w:val="NoSpacing"/>
            </w:pPr>
            <w:r>
              <w:t>No</w:t>
            </w:r>
          </w:p>
        </w:tc>
        <w:tc>
          <w:tcPr>
            <w:tcW w:w="2288" w:type="dxa"/>
            <w:tcBorders>
              <w:top w:val="dotted" w:sz="4" w:space="0" w:color="auto"/>
              <w:left w:val="dotted" w:sz="4" w:space="0" w:color="auto"/>
              <w:bottom w:val="dotted" w:sz="4" w:space="0" w:color="auto"/>
              <w:right w:val="dotted" w:sz="4" w:space="0" w:color="auto"/>
            </w:tcBorders>
          </w:tcPr>
          <w:p>
            <w:pPr>
              <w:pStyle w:val="NoSpacing"/>
            </w:pPr>
            <w:r>
              <w:t>No — ECS Anywhere runs on external instances, not Fargate, and cannot load-balance inbound services</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 — EKS Anywhere, Hybrid Nodes or any conformant distribution</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Cloud portability of the artefact</w:t>
            </w:r>
          </w:p>
        </w:tc>
        <w:tc>
          <w:tcPr>
            <w:tcW w:w="2380" w:type="dxa"/>
            <w:tcBorders>
              <w:top w:val="dotted" w:sz="4" w:space="0" w:color="auto"/>
              <w:left w:val="dotted" w:sz="4" w:space="0" w:color="auto"/>
              <w:bottom w:val="dotted" w:sz="4" w:space="0" w:color="auto"/>
              <w:right w:val="dotted" w:sz="4" w:space="0" w:color="auto"/>
            </w:tcBorders>
          </w:tcPr>
          <w:p>
            <w:pPr>
              <w:pStyle w:val="NoSpacing"/>
            </w:pPr>
            <w:r>
              <w:t>Partial — provider-specific packaging</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a standard OCI image</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 — image plus portable manifests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Suits long-running HTTP services</w:t>
            </w:r>
          </w:p>
        </w:tc>
        <w:tc>
          <w:tcPr>
            <w:tcW w:w="2380" w:type="dxa"/>
            <w:tcBorders>
              <w:top w:val="dotted" w:sz="4" w:space="0" w:color="auto"/>
              <w:left w:val="dotted" w:sz="4" w:space="0" w:color="auto"/>
              <w:bottom w:val="dotted" w:sz="4" w:space="0" w:color="auto"/>
              <w:right w:val="dotted" w:sz="4" w:space="0" w:color="auto"/>
            </w:tcBorders>
          </w:tcPr>
          <w:p>
            <w:pPr>
              <w:pStyle w:val="NoSpacing"/>
            </w:pPr>
            <w:r>
              <w:t>No</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Suits event-driven short tasks</w:t>
            </w:r>
          </w:p>
        </w:tc>
        <w:tc>
          <w:tcPr>
            <w:tcW w:w="2380"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2288" w:type="dxa"/>
            <w:tcBorders>
              <w:top w:val="dotted" w:sz="4" w:space="0" w:color="auto"/>
              <w:left w:val="dotted" w:sz="4" w:space="0" w:color="auto"/>
              <w:bottom w:val="dotted" w:sz="4" w:space="0" w:color="auto"/>
              <w:right w:val="dotted" w:sz="4" w:space="0" w:color="auto"/>
            </w:tcBorders>
          </w:tcPr>
          <w:p>
            <w:pPr>
              <w:pStyle w:val="NoSpacing"/>
            </w:pPr>
            <w:r>
              <w:t>Partial — scheduled and queue-driven tasks</w:t>
            </w:r>
          </w:p>
        </w:tc>
        <w:tc>
          <w:tcPr>
            <w:tcW w:w="2458" w:type="dxa"/>
            <w:tcBorders>
              <w:top w:val="dotted" w:sz="4" w:space="0" w:color="auto"/>
              <w:left w:val="dotted" w:sz="4" w:space="0" w:color="auto"/>
              <w:bottom w:val="dotted" w:sz="4" w:space="0" w:color="auto"/>
              <w:right w:val="dotted" w:sz="4" w:space="0" w:color="auto"/>
            </w:tcBorders>
          </w:tcPr>
          <w:p>
            <w:pPr>
              <w:pStyle w:val="NoSpacing"/>
            </w:pPr>
            <w:r>
              <w:t>Partial — jobs and cron jobs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Learning curve</w:t>
            </w:r>
          </w:p>
        </w:tc>
        <w:tc>
          <w:tcPr>
            <w:tcW w:w="2380" w:type="dxa"/>
            <w:tcBorders>
              <w:top w:val="dotted" w:sz="4" w:space="0" w:color="auto"/>
              <w:left w:val="dotted" w:sz="4" w:space="0" w:color="auto"/>
              <w:bottom w:val="dotted" w:sz="4" w:space="0" w:color="auto"/>
              <w:right w:val="dotted" w:sz="4" w:space="0" w:color="auto"/>
            </w:tcBorders>
          </w:tcPr>
          <w:p>
            <w:pPr>
              <w:pStyle w:val="NoSpacing"/>
            </w:pPr>
            <w:r>
              <w:t>Low</w:t>
            </w:r>
          </w:p>
        </w:tc>
        <w:tc>
          <w:tcPr>
            <w:tcW w:w="2288" w:type="dxa"/>
            <w:tcBorders>
              <w:top w:val="dotted" w:sz="4" w:space="0" w:color="auto"/>
              <w:left w:val="dotted" w:sz="4" w:space="0" w:color="auto"/>
              <w:bottom w:val="dotted" w:sz="4" w:space="0" w:color="auto"/>
              <w:right w:val="dotted" w:sz="4" w:space="0" w:color="auto"/>
            </w:tcBorders>
          </w:tcPr>
          <w:p>
            <w:pPr>
              <w:pStyle w:val="NoSpacing"/>
            </w:pPr>
            <w:r>
              <w:t>Low</w:t>
            </w:r>
          </w:p>
        </w:tc>
        <w:tc>
          <w:tcPr>
            <w:tcW w:w="2458" w:type="dxa"/>
            <w:tcBorders>
              <w:top w:val="dotted" w:sz="4" w:space="0" w:color="auto"/>
              <w:left w:val="dotted" w:sz="4" w:space="0" w:color="auto"/>
              <w:bottom w:val="dotted" w:sz="4" w:space="0" w:color="auto"/>
              <w:right w:val="dotted" w:sz="4" w:space="0" w:color="auto"/>
            </w:tcBorders>
          </w:tcPr>
          <w:p>
            <w:pPr>
              <w:pStyle w:val="NoSpacing"/>
            </w:pPr>
            <w:r>
              <w:t>High — Kubernetes itself, then its ecosystem</w:t>
            </w:r>
          </w:p>
        </w:tc>
      </w:tr>
    </w:tbl>
    <w:p/>
    <w:p>
      <w:r>
        <w:t>Read down the ECS Fargate column, the row pairing that decides the comparison is no host fleet and no control plane together with native support for long-running services. No other option has both: functions have the operational model without the execution model, and Kubernetes has the execution model at the price of a cluster. Read across, the row where Fargate is alone in its weakness is on-premise deployment — recorded here without qualification and answered in Section 6.2 rather than in a footnote.</w:t>
      </w:r>
    </w:p>
    <w:p>
      <w:pPr>
        <w:pStyle w:val="Heading2"/>
      </w:pPr>
      <w:bookmarkStart w:id="120" w:name="_Toc300000021"/>
      <w:r>
        <w:t>Comparison 3 — Indicative Cost at eClaims Scale</w:t>
      </w:r>
      <w:bookmarkEnd w:id="120"/>
    </w:p>
    <w:p>
      <w:r>
        <w:t>Basis, stated so that the figures can be recalculated if the assumption changes: eight backend services, each resting at 2 tasks and averaging 3 concurrently running tasks across the day, each task sized at 1 vCPU and 2 GB of memory, running continuously — 24 running tasks, or 17,520 task-hours in a 730-hour month. Load-balancer, NAT gateway, data-transfer, logging and data-store costs are common to all three models and are excluded. The basis is the us-east-1 production footprint; at the fourteen services the SAD lists (thirteen Layer 3 services plus the Auth Service) the Fargate figure rises in proportion, to ≈ USD 1,514 a month. The us-east-2 warm standby keeps each service at minimum capacity in a second Region; under Kubernetes that is a second production cluster with its own nodes, fee and version lifecycle. Neither changes the ranking in Section 4.2.</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540"/>
        <w:gridCol w:w="2140"/>
        <w:gridCol w:w="5346"/>
      </w:tblGrid>
      <w:tr>
        <w:trPr>
          <w:cantSplit/>
          <w:tblHeader/>
        </w:trPr>
        <w:tc>
          <w:tcPr>
            <w:tcW w:w="15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Option</w:t>
            </w:r>
          </w:p>
        </w:tc>
        <w:tc>
          <w:tcPr>
            <w:tcW w:w="21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Indicative monthly cost</w:t>
            </w:r>
          </w:p>
        </w:tc>
        <w:tc>
          <w:tcPr>
            <w:tcW w:w="534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Basis of estimate</w:t>
            </w:r>
          </w:p>
        </w:tc>
      </w:tr>
      <w:tr>
        <w:trPr>
          <w:cantSplit/>
        </w:trPr>
        <w:tc>
          <w:tcPr>
            <w:tcW w:w="1540" w:type="dxa"/>
            <w:tcBorders>
              <w:top w:val="dotted" w:sz="4" w:space="0" w:color="auto"/>
              <w:left w:val="dotted" w:sz="4" w:space="0" w:color="auto"/>
              <w:bottom w:val="dotted" w:sz="4" w:space="0" w:color="auto"/>
              <w:right w:val="dotted" w:sz="4" w:space="0" w:color="auto"/>
            </w:tcBorders>
          </w:tcPr>
          <w:p>
            <w:pPr>
              <w:pStyle w:val="NoSpacing"/>
            </w:pPr>
            <w:r>
              <w:t>Serverless functions (Lambda)</w:t>
            </w:r>
          </w:p>
        </w:tc>
        <w:tc>
          <w:tcPr>
            <w:tcW w:w="2140" w:type="dxa"/>
            <w:tcBorders>
              <w:top w:val="dotted" w:sz="4" w:space="0" w:color="auto"/>
              <w:left w:val="dotted" w:sz="4" w:space="0" w:color="auto"/>
              <w:bottom w:val="dotted" w:sz="4" w:space="0" w:color="auto"/>
              <w:right w:val="dotted" w:sz="4" w:space="0" w:color="auto"/>
            </w:tcBorders>
          </w:tcPr>
          <w:p>
            <w:pPr>
              <w:pStyle w:val="NoSpacing"/>
            </w:pPr>
            <w:r>
              <w:t>Not comparable — model mismatch</w:t>
            </w:r>
          </w:p>
        </w:tc>
        <w:tc>
          <w:tcPr>
            <w:tcW w:w="5346" w:type="dxa"/>
            <w:tcBorders>
              <w:top w:val="dotted" w:sz="4" w:space="0" w:color="auto"/>
              <w:left w:val="dotted" w:sz="4" w:space="0" w:color="auto"/>
              <w:bottom w:val="dotted" w:sz="4" w:space="0" w:color="auto"/>
              <w:right w:val="dotted" w:sz="4" w:space="0" w:color="auto"/>
            </w:tcBorders>
          </w:tcPr>
          <w:p>
            <w:pPr>
              <w:pStyle w:val="NoSpacing"/>
            </w:pPr>
            <w:r>
              <w:t>At continuous execution a function is billed for duration in the same way a task is, so the run rate would be of a similar order; the figure is not meaningful because the option cannot host these services without provisioned concurrency to suppress cold starts. RDS Proxy, which the SAD puts in front of every service (Section 4, Layer 5), would keep its connection count bounded, but each new function instance would still open its connections and clients on a cold start, at which point it is a more expensive and more constrained container platform.</w:t>
            </w:r>
          </w:p>
        </w:tc>
      </w:tr>
      <w:tr>
        <w:trPr>
          <w:cantSplit/>
        </w:trPr>
        <w:tc>
          <w:tcPr>
            <w:tcW w:w="1540" w:type="dxa"/>
            <w:tcBorders>
              <w:top w:val="dotted" w:sz="4" w:space="0" w:color="auto"/>
              <w:left w:val="dotted" w:sz="4" w:space="0" w:color="auto"/>
              <w:bottom w:val="dotted" w:sz="4" w:space="0" w:color="auto"/>
              <w:right w:val="dotted" w:sz="4" w:space="0" w:color="auto"/>
            </w:tcBorders>
          </w:tcPr>
          <w:p>
            <w:pPr>
              <w:pStyle w:val="NoSpacing"/>
            </w:pPr>
            <w:r>
              <w:t>Serverless containers (ECS Fargate)</w:t>
            </w:r>
          </w:p>
        </w:tc>
        <w:tc>
          <w:tcPr>
            <w:tcW w:w="2140" w:type="dxa"/>
            <w:tcBorders>
              <w:top w:val="dotted" w:sz="4" w:space="0" w:color="auto"/>
              <w:left w:val="dotted" w:sz="4" w:space="0" w:color="auto"/>
              <w:bottom w:val="dotted" w:sz="4" w:space="0" w:color="auto"/>
              <w:right w:val="dotted" w:sz="4" w:space="0" w:color="auto"/>
            </w:tcBorders>
          </w:tcPr>
          <w:p>
            <w:pPr>
              <w:pStyle w:val="NoSpacing"/>
            </w:pPr>
            <w:r>
              <w:t>≈ USD 865</w:t>
            </w:r>
          </w:p>
        </w:tc>
        <w:tc>
          <w:tcPr>
            <w:tcW w:w="5346" w:type="dxa"/>
            <w:tcBorders>
              <w:top w:val="dotted" w:sz="4" w:space="0" w:color="auto"/>
              <w:left w:val="dotted" w:sz="4" w:space="0" w:color="auto"/>
              <w:bottom w:val="dotted" w:sz="4" w:space="0" w:color="auto"/>
              <w:right w:val="dotted" w:sz="4" w:space="0" w:color="auto"/>
            </w:tcBorders>
          </w:tcPr>
          <w:p>
            <w:pPr>
              <w:pStyle w:val="NoSpacing"/>
            </w:pPr>
            <w:r>
              <w:t>17,520 vCPU-hours × USD 0.04048 ≈ USD 709, plus 35,040 GB-hours × USD 0.004445 ≈ USD 156. No control-plane fee, no idle host capacity, no cluster to operate. A Compute Savings Plan on the steady-state floor reduces this materially.</w:t>
            </w:r>
          </w:p>
        </w:tc>
      </w:tr>
      <w:tr>
        <w:trPr>
          <w:cantSplit/>
        </w:trPr>
        <w:tc>
          <w:tcPr>
            <w:tcW w:w="1540" w:type="dxa"/>
            <w:tcBorders>
              <w:top w:val="dotted" w:sz="4" w:space="0" w:color="auto"/>
              <w:left w:val="dotted" w:sz="4" w:space="0" w:color="auto"/>
              <w:bottom w:val="dotted" w:sz="4" w:space="0" w:color="auto"/>
              <w:right w:val="dotted" w:sz="4" w:space="0" w:color="auto"/>
            </w:tcBorders>
          </w:tcPr>
          <w:p>
            <w:pPr>
              <w:pStyle w:val="NoSpacing"/>
            </w:pPr>
            <w:r>
              <w:t>Kubernetes (EKS on EC2 nodes)</w:t>
            </w:r>
          </w:p>
        </w:tc>
        <w:tc>
          <w:tcPr>
            <w:tcW w:w="2140" w:type="dxa"/>
            <w:tcBorders>
              <w:top w:val="dotted" w:sz="4" w:space="0" w:color="auto"/>
              <w:left w:val="dotted" w:sz="4" w:space="0" w:color="auto"/>
              <w:bottom w:val="dotted" w:sz="4" w:space="0" w:color="auto"/>
              <w:right w:val="dotted" w:sz="4" w:space="0" w:color="auto"/>
            </w:tcBorders>
          </w:tcPr>
          <w:p>
            <w:pPr>
              <w:pStyle w:val="NoSpacing"/>
            </w:pPr>
            <w:r>
              <w:t>≈ USD 1,540 infrastructure, plus ≈ USD 73 control plane, plus 0.5–1.0 FTE</w:t>
            </w:r>
          </w:p>
        </w:tc>
        <w:tc>
          <w:tcPr>
            <w:tcW w:w="5346" w:type="dxa"/>
            <w:tcBorders>
              <w:top w:val="dotted" w:sz="4" w:space="0" w:color="auto"/>
              <w:left w:val="dotted" w:sz="4" w:space="0" w:color="auto"/>
              <w:bottom w:val="dotted" w:sz="4" w:space="0" w:color="auto"/>
              <w:right w:val="dotted" w:sz="4" w:space="0" w:color="auto"/>
            </w:tcBorders>
          </w:tcPr>
          <w:p>
            <w:pPr>
              <w:pStyle w:val="NoSpacing"/>
            </w:pPr>
            <w:r>
              <w:t>Nine m6i.xlarge nodes (4 vCPU, 16 GiB), three in each Availability Zone, at ≈ USD 140 each ≈ USD 1,260 on demand — 36 vCPU for the 24 vCPU the tasks reserve, sized for headroom and rolling upgrades rather than for average load — plus node storage and add-on capacity ≈ USD 280; USD 0.10 per cluster-hour ≈ USD 73. The standing platform-operations effort is the dominant term and does not appear on the invoice.</w:t>
            </w:r>
          </w:p>
        </w:tc>
      </w:tr>
    </w:tbl>
    <w:p/>
    <w:p>
      <w:r>
        <w:t>All figures are indicative public list prices as at the document date and are not quotations. Two observations follow, and they are the reason cost is scored 4 for Fargate and 2 for Kubernetes rather than the reverse. On the invoice alone Fargate is the cheaper option at this fleet size, because a node pool is sized for headroom, rolling upgrades and three Availability Zones rather than for average load; at high sustained utilisation, however, a well-packed EC2 node pool under Savings Plans would be cheaper per unit of compute than Fargate — a genuine advantage of the Kubernetes option that is not disputed. But the comparison is not decided on the invoice: the fractional full-time engineer required to keep a cluster patched, upgraded and tuned exceeds the entire compute bill for a fleet this size, and it arrives every month whether or not the platform changes.</w:t>
      </w:r>
    </w:p>
    <w:p>
      <w:r>
        <w:t>The crossover is worth naming for the record. At substantially larger scale — many more services, or sustained high utilisation across a large node pool — the per-unit premium on Fargate would eventually outweigh the operational saving, and the economics would favour node-based capacity. eClaims Phase 1 is not near that point, and the path is open: both models run the same container images, and ECS can itself move services to EC2-backed capacity without changing orchestrator (risk R3).</w:t>
      </w:r>
    </w:p>
    <w:p>
      <w:pPr>
        <w:pStyle w:val="Heading2"/>
      </w:pPr>
      <w:bookmarkStart w:id="121" w:name="_Toc300000022"/>
      <w:r>
        <w:t>Sensitivity</w:t>
      </w:r>
      <w:bookmarkEnd w:id="121"/>
    </w:p>
    <w:p>
      <w:r>
        <w:t>Portability carries weight 5 and is the attribute on which Kubernetes leads. The other weights total 36. Holding them constant, the totals as a function of the portability weight w are:</w:t>
      </w:r>
    </w:p>
    <w:p>
      <w:pPr>
        <w:pStyle w:val="ListParagraph"/>
        <w:numPr>
          <w:ilvl w:val="0"/>
          <w:numId w:val="40"/>
        </w:numPr>
      </w:pPr>
      <w:r>
        <w:t>Serverless containers (ECS Fargate): (176 + 3w) ÷ (36 + w)</w:t>
      </w:r>
    </w:p>
    <w:p>
      <w:pPr>
        <w:pStyle w:val="ListParagraph"/>
        <w:numPr>
          <w:ilvl w:val="0"/>
          <w:numId w:val="40"/>
        </w:numPr>
      </w:pPr>
      <w:r>
        <w:t>Kubernetes (EKS on EC2 nodes): (134 + 5w) ÷ (36 + w)</w:t>
      </w:r>
    </w:p>
    <w:p>
      <w:r>
        <w:t>Kubernetes would overtake only when w exceeds 21 — more than four times the highest weight used, and more than half of all the other weight in the matrix. That is equivalent to treating an on-premise or cloud-agnostic mandate as decisive. As Section 5.6 argues for the orchestrator, a firm mandate would act as a gate rather than a weight: it would rule out the options that cannot run on-premise, and Section 6.2 sets out the path eClaims would then take.</w:t>
      </w:r>
    </w:p>
    <w:p>
      <w:r>
        <w:br w:type="page"/>
      </w:r>
    </w:p>
    <w:p>
      <w:pPr>
        <w:pStyle w:val="Heading1"/>
      </w:pPr>
      <w:bookmarkStart w:id="122" w:name="_Toc300000023"/>
      <w:r>
        <w:t>Comparison Analysis — Container Orchestrator</w:t>
      </w:r>
      <w:bookmarkEnd w:id="122"/>
    </w:p>
    <w:p>
      <w:r>
        <w:t>Section 4 selects serverless containers. One narrowing question remains inside that answer, because two AWS services can orchestrate Fargate capacity: Amazon ECS and Amazon EKS. This is the final step of the same decision rather than a second one. Both options run the same container images on the same Fargate capacity at the same rates, and neither changes the application, so the comparison isolates the orchestration layer: what each control plane asks of the team. Section 5.1 explains why the attributes change, Section 5.2 scores seven of them, Section 5.3 shows the basis of each score, Section 5.4 prices the difference, Section 5.5 compares what each option asks of the team over the life of the platform, and Section 5.6 tests the portability weight.</w:t>
      </w:r>
    </w:p>
    <w:p>
      <w:pPr>
        <w:pStyle w:val="Heading2"/>
      </w:pPr>
      <w:bookmarkStart w:id="123" w:name="_Toc300000024"/>
      <w:r>
        <w:t>Why the attributes change</w:t>
      </w:r>
      <w:bookmarkEnd w:id="123"/>
    </w:p>
    <w:p>
      <w:r>
        <w:t>Once both options run the same Fargate tasks, the execution attributes that dominate Section 4 — long-running services, latency, self-healing and autoscaling — no longer separate them and drop out (Section 2.3, rows 1 to 3). The attributes that remain carry the decision: what each option costs, what it asks the team to maintain and learn, what it can host, how it isolates services, how far its deployment definitions travel, and how much control it offers. The weights follow the same consequence-of-failure scale as Section 4.1, applied to this narrower question:</w:t>
      </w:r>
    </w:p>
    <w:p>
      <w:pPr>
        <w:pStyle w:val="ListParagraph"/>
        <w:numPr>
          <w:ilvl w:val="0"/>
          <w:numId w:val="40"/>
        </w:numPr>
      </w:pPr>
      <w:r>
        <w:t>5 — the attribute decides whether the option serves a stated eClaims requirement or the Phase 1 business case.</w:t>
      </w:r>
    </w:p>
    <w:p>
      <w:pPr>
        <w:pStyle w:val="ListParagraph"/>
        <w:numPr>
          <w:ilvl w:val="0"/>
          <w:numId w:val="40"/>
        </w:numPr>
      </w:pPr>
      <w:r>
        <w:t>4 — the attribute governs how the platform is operated, upgraded and learned over its life (NFR 4); a shortfall degrades operation rather than failing a requirement.</w:t>
      </w:r>
    </w:p>
    <w:p>
      <w:pPr>
        <w:pStyle w:val="ListParagraph"/>
        <w:numPr>
          <w:ilvl w:val="0"/>
          <w:numId w:val="40"/>
        </w:numPr>
      </w:pPr>
      <w:r>
        <w:t>3 — both options meet the requirement, and the attribute separates them only at the margin.</w:t>
      </w:r>
    </w:p>
    <w:p>
      <w:pPr>
        <w:pStyle w:val="Heading2"/>
      </w:pPr>
      <w:bookmarkStart w:id="124" w:name="_Toc300000025"/>
      <w:r>
        <w:t>Point Matrix and Comparison 4 — Weighted Scoring</w:t>
      </w:r>
      <w:bookmarkEnd w:id="124"/>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140"/>
        <w:gridCol w:w="1060"/>
        <w:gridCol w:w="2745"/>
        <w:gridCol w:w="3081"/>
      </w:tblGrid>
      <w:tr>
        <w:trPr>
          <w:cantSplit/>
          <w:tblHeader/>
        </w:trPr>
        <w:tc>
          <w:tcPr>
            <w:tcW w:w="21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2745"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What is assessed</w:t>
            </w:r>
          </w:p>
        </w:tc>
        <w:tc>
          <w:tcPr>
            <w:tcW w:w="3081"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Why this weight</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Cost</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2745" w:type="dxa"/>
            <w:tcBorders>
              <w:top w:val="dotted" w:sz="4" w:space="0" w:color="auto"/>
              <w:left w:val="dotted" w:sz="4" w:space="0" w:color="auto"/>
              <w:bottom w:val="dotted" w:sz="4" w:space="0" w:color="auto"/>
              <w:right w:val="dotted" w:sz="4" w:space="0" w:color="auto"/>
            </w:tcBorders>
          </w:tcPr>
          <w:p>
            <w:pPr>
              <w:pStyle w:val="NoSpacing"/>
            </w:pPr>
            <w:r>
              <w:t>Run cost that differs between the options: orchestrator fees across the four clusters, exposure to extended-support fees, and access to discounted capacity (Fargate Spot, Graviton). Engineering effort is priced in Section 5.4 but scored under Maintainability and Complexity, so it is not counted twice.</w:t>
            </w:r>
          </w:p>
        </w:tc>
        <w:tc>
          <w:tcPr>
            <w:tcW w:w="3081" w:type="dxa"/>
            <w:tcBorders>
              <w:top w:val="dotted" w:sz="4" w:space="0" w:color="auto"/>
              <w:left w:val="dotted" w:sz="4" w:space="0" w:color="auto"/>
              <w:bottom w:val="dotted" w:sz="4" w:space="0" w:color="auto"/>
              <w:right w:val="dotted" w:sz="4" w:space="0" w:color="auto"/>
            </w:tcBorders>
          </w:tcPr>
          <w:p>
            <w:pPr>
              <w:pStyle w:val="NoSpacing"/>
            </w:pPr>
            <w:r>
              <w:t>Lower operating cost is an eClaims business outcome (SAD Section 1). Compute is billed identically, so these items are the whole of the difference on the invoice.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Maintainability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2745" w:type="dxa"/>
            <w:tcBorders>
              <w:top w:val="dotted" w:sz="4" w:space="0" w:color="auto"/>
              <w:left w:val="dotted" w:sz="4" w:space="0" w:color="auto"/>
              <w:bottom w:val="dotted" w:sz="4" w:space="0" w:color="auto"/>
              <w:right w:val="dotted" w:sz="4" w:space="0" w:color="auto"/>
            </w:tcBorders>
          </w:tcPr>
          <w:p>
            <w:pPr>
              <w:pStyle w:val="NoSpacing"/>
            </w:pPr>
            <w:r>
              <w:t>Work needed to keep the orchestrator current and supported: control-plane versions, add-ons and platform patching</w:t>
            </w:r>
          </w:p>
        </w:tc>
        <w:tc>
          <w:tcPr>
            <w:tcW w:w="3081" w:type="dxa"/>
            <w:tcBorders>
              <w:top w:val="dotted" w:sz="4" w:space="0" w:color="auto"/>
              <w:left w:val="dotted" w:sz="4" w:space="0" w:color="auto"/>
              <w:bottom w:val="dotted" w:sz="4" w:space="0" w:color="auto"/>
              <w:right w:val="dotted" w:sz="4" w:space="0" w:color="auto"/>
            </w:tcBorders>
          </w:tcPr>
          <w:p>
            <w:pPr>
              <w:pStyle w:val="NoSpacing"/>
            </w:pPr>
            <w:r>
              <w:t>NFR 4 requires maintainability and upgradeability. A shortfall degrades operation and adds cost, but does not fail a requirement outright.</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Flexibility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2745" w:type="dxa"/>
            <w:tcBorders>
              <w:top w:val="dotted" w:sz="4" w:space="0" w:color="auto"/>
              <w:left w:val="dotted" w:sz="4" w:space="0" w:color="auto"/>
              <w:bottom w:val="dotted" w:sz="4" w:space="0" w:color="auto"/>
              <w:right w:val="dotted" w:sz="4" w:space="0" w:color="auto"/>
            </w:tcBorders>
          </w:tcPr>
          <w:p>
            <w:pPr>
              <w:pStyle w:val="NoSpacing"/>
            </w:pPr>
            <w:r>
              <w:t>Ability to host every eClaims workload shape and capacity choice under one service model</w:t>
            </w:r>
          </w:p>
        </w:tc>
        <w:tc>
          <w:tcPr>
            <w:tcW w:w="3081" w:type="dxa"/>
            <w:tcBorders>
              <w:top w:val="dotted" w:sz="4" w:space="0" w:color="auto"/>
              <w:left w:val="dotted" w:sz="4" w:space="0" w:color="auto"/>
              <w:bottom w:val="dotted" w:sz="4" w:space="0" w:color="auto"/>
              <w:right w:val="dotted" w:sz="4" w:space="0" w:color="auto"/>
            </w:tcBorders>
          </w:tcPr>
          <w:p>
            <w:pPr>
              <w:pStyle w:val="NoSpacing"/>
            </w:pPr>
            <w:r>
              <w:t>The case study requires a design for evolution, flexibility and reuse (Section 5). A workload the orchestrator cannot host must run somewhere else.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Security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2745" w:type="dxa"/>
            <w:tcBorders>
              <w:top w:val="dotted" w:sz="4" w:space="0" w:color="auto"/>
              <w:left w:val="dotted" w:sz="4" w:space="0" w:color="auto"/>
              <w:bottom w:val="dotted" w:sz="4" w:space="0" w:color="auto"/>
              <w:right w:val="dotted" w:sz="4" w:space="0" w:color="auto"/>
            </w:tcBorders>
          </w:tcPr>
          <w:p>
            <w:pPr>
              <w:pStyle w:val="NoSpacing"/>
            </w:pPr>
            <w:r>
              <w:t>Per-service identity, secret delivery, network isolation, and the attack surface the team must secure</w:t>
            </w:r>
          </w:p>
        </w:tc>
        <w:tc>
          <w:tcPr>
            <w:tcW w:w="3081" w:type="dxa"/>
            <w:tcBorders>
              <w:top w:val="dotted" w:sz="4" w:space="0" w:color="auto"/>
              <w:left w:val="dotted" w:sz="4" w:space="0" w:color="auto"/>
              <w:bottom w:val="dotted" w:sz="4" w:space="0" w:color="auto"/>
              <w:right w:val="dotted" w:sz="4" w:space="0" w:color="auto"/>
            </w:tcBorders>
          </w:tcPr>
          <w:p>
            <w:pPr>
              <w:pStyle w:val="NoSpacing"/>
            </w:pPr>
            <w:r>
              <w:t>FR 2, FR 5 and NFR 5 apply, and both options can meet them. The attribute measures effort and attack surface, not compliance.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Portability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2745" w:type="dxa"/>
            <w:tcBorders>
              <w:top w:val="dotted" w:sz="4" w:space="0" w:color="auto"/>
              <w:left w:val="dotted" w:sz="4" w:space="0" w:color="auto"/>
              <w:bottom w:val="dotted" w:sz="4" w:space="0" w:color="auto"/>
              <w:right w:val="dotted" w:sz="4" w:space="0" w:color="auto"/>
            </w:tcBorders>
          </w:tcPr>
          <w:p>
            <w:pPr>
              <w:pStyle w:val="NoSpacing"/>
            </w:pPr>
            <w:r>
              <w:t>How far the deployment definitions, not only the images, move to on-premise or to another cloud without rework</w:t>
            </w:r>
          </w:p>
        </w:tc>
        <w:tc>
          <w:tcPr>
            <w:tcW w:w="3081" w:type="dxa"/>
            <w:tcBorders>
              <w:top w:val="dotted" w:sz="4" w:space="0" w:color="auto"/>
              <w:left w:val="dotted" w:sz="4" w:space="0" w:color="auto"/>
              <w:bottom w:val="dotted" w:sz="4" w:space="0" w:color="auto"/>
              <w:right w:val="dotted" w:sz="4" w:space="0" w:color="auto"/>
            </w:tcBorders>
          </w:tcPr>
          <w:p>
            <w:pPr>
              <w:pStyle w:val="NoSpacing"/>
            </w:pPr>
            <w:r>
              <w:t>NFR 2 plainly requires both on-premise and cloud deployment, so the attribute carries the top weight.</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Control</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2745" w:type="dxa"/>
            <w:tcBorders>
              <w:top w:val="dotted" w:sz="4" w:space="0" w:color="auto"/>
              <w:left w:val="dotted" w:sz="4" w:space="0" w:color="auto"/>
              <w:bottom w:val="dotted" w:sz="4" w:space="0" w:color="auto"/>
              <w:right w:val="dotted" w:sz="4" w:space="0" w:color="auto"/>
            </w:tcBorders>
          </w:tcPr>
          <w:p>
            <w:pPr>
              <w:pStyle w:val="NoSpacing"/>
            </w:pPr>
            <w:r>
              <w:t>Depth of control over scheduling, placement, admission policy, and extension through custom resources and operators</w:t>
            </w:r>
          </w:p>
        </w:tc>
        <w:tc>
          <w:tcPr>
            <w:tcW w:w="3081" w:type="dxa"/>
            <w:tcBorders>
              <w:top w:val="dotted" w:sz="4" w:space="0" w:color="auto"/>
              <w:left w:val="dotted" w:sz="4" w:space="0" w:color="auto"/>
              <w:bottom w:val="dotted" w:sz="4" w:space="0" w:color="auto"/>
              <w:right w:val="dotted" w:sz="4" w:space="0" w:color="auto"/>
            </w:tcBorders>
          </w:tcPr>
          <w:p>
            <w:pPr>
              <w:pStyle w:val="NoSpacing"/>
            </w:pPr>
            <w:r>
              <w:t>The eClaims services are uniform, stateless HTTP services. Advanced scheduling is headroom rather than a requirement.</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Complexity (5 = simplest)</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2745" w:type="dxa"/>
            <w:tcBorders>
              <w:top w:val="dotted" w:sz="4" w:space="0" w:color="auto"/>
              <w:left w:val="dotted" w:sz="4" w:space="0" w:color="auto"/>
              <w:bottom w:val="dotted" w:sz="4" w:space="0" w:color="auto"/>
              <w:right w:val="dotted" w:sz="4" w:space="0" w:color="auto"/>
            </w:tcBorders>
          </w:tcPr>
          <w:p>
            <w:pPr>
              <w:pStyle w:val="NoSpacing"/>
            </w:pPr>
            <w:r>
              <w:t>The concepts, tools and skills the team must master to run the platform safely</w:t>
            </w:r>
          </w:p>
        </w:tc>
        <w:tc>
          <w:tcPr>
            <w:tcW w:w="3081" w:type="dxa"/>
            <w:tcBorders>
              <w:top w:val="dotted" w:sz="4" w:space="0" w:color="auto"/>
              <w:left w:val="dotted" w:sz="4" w:space="0" w:color="auto"/>
              <w:bottom w:val="dotted" w:sz="4" w:space="0" w:color="auto"/>
              <w:right w:val="dotted" w:sz="4" w:space="0" w:color="auto"/>
            </w:tcBorders>
          </w:tcPr>
          <w:p>
            <w:pPr>
              <w:pStyle w:val="NoSpacing"/>
            </w:pPr>
            <w:r>
              <w:t>A steeper learning curve slows delivery and raises operational risk for a lean team that runs the platform 24×7.</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Total</w:t>
            </w:r>
          </w:p>
        </w:tc>
        <w:tc>
          <w:tcPr>
            <w:tcW w:w="1060" w:type="dxa"/>
            <w:tcBorders>
              <w:top w:val="dotted" w:sz="4" w:space="0" w:color="auto"/>
              <w:left w:val="dotted" w:sz="4" w:space="0" w:color="auto"/>
              <w:bottom w:val="dotted" w:sz="4" w:space="0" w:color="auto"/>
              <w:right w:val="dotted" w:sz="4" w:space="0" w:color="auto"/>
            </w:tcBorders>
          </w:tcPr>
          <w:p>
            <w:pPr>
              <w:pStyle w:val="NoSpacing"/>
            </w:pPr>
            <w:r>
              <w:t>29</w:t>
            </w:r>
          </w:p>
        </w:tc>
        <w:tc>
          <w:tcPr>
            <w:tcW w:w="2745" w:type="dxa"/>
            <w:tcBorders>
              <w:top w:val="dotted" w:sz="4" w:space="0" w:color="auto"/>
              <w:left w:val="dotted" w:sz="4" w:space="0" w:color="auto"/>
              <w:bottom w:val="dotted" w:sz="4" w:space="0" w:color="auto"/>
              <w:right w:val="dotted" w:sz="4" w:space="0" w:color="auto"/>
            </w:tcBorders>
          </w:tcPr>
          <w:p>
            <w:pPr>
              <w:pStyle w:val="NoSpacing"/>
            </w:pPr>
          </w:p>
        </w:tc>
        <w:tc>
          <w:tcPr>
            <w:tcW w:w="3081" w:type="dxa"/>
            <w:tcBorders>
              <w:top w:val="dotted" w:sz="4" w:space="0" w:color="auto"/>
              <w:left w:val="dotted" w:sz="4" w:space="0" w:color="auto"/>
              <w:bottom w:val="dotted" w:sz="4" w:space="0" w:color="auto"/>
              <w:right w:val="dotted" w:sz="4" w:space="0" w:color="auto"/>
            </w:tcBorders>
          </w:tcPr>
          <w:p>
            <w:pPr>
              <w:pStyle w:val="NoSpacing"/>
            </w:pPr>
          </w:p>
        </w:tc>
      </w:tr>
    </w:tbl>
    <w:p/>
    <w:p>
      <w:r>
        <w:t>Scoring legend as in Section 4.2. For Complexity, 5 denotes the simplest option.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759"/>
        <w:gridCol w:w="1257"/>
        <w:gridCol w:w="2505"/>
        <w:gridCol w:w="2505"/>
      </w:tblGrid>
      <w:tr>
        <w:trPr>
          <w:cantSplit/>
          <w:tblHeader/>
        </w:trPr>
        <w:tc>
          <w:tcPr>
            <w:tcW w:w="275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Evaluation Attribute</w:t>
            </w:r>
          </w:p>
        </w:tc>
        <w:tc>
          <w:tcPr>
            <w:tcW w:w="125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2505"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ECS on Fargate</w:t>
            </w:r>
          </w:p>
        </w:tc>
        <w:tc>
          <w:tcPr>
            <w:tcW w:w="2505"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EKS on Fargate</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Cost</w:t>
            </w:r>
          </w:p>
        </w:tc>
        <w:tc>
          <w:tcPr>
            <w:tcW w:w="1257"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Maintainability</w:t>
            </w:r>
          </w:p>
        </w:tc>
        <w:tc>
          <w:tcPr>
            <w:tcW w:w="1257" w:type="dxa"/>
            <w:tcBorders>
              <w:top w:val="dotted" w:sz="4" w:space="0" w:color="auto"/>
              <w:left w:val="dotted" w:sz="4" w:space="0" w:color="auto"/>
              <w:bottom w:val="dotted" w:sz="4" w:space="0" w:color="auto"/>
              <w:right w:val="dotted" w:sz="4" w:space="0" w:color="auto"/>
            </w:tcBorders>
          </w:tcPr>
          <w:p>
            <w:pPr>
              <w:pStyle w:val="NoSpacing"/>
            </w:pPr>
            <w:r>
              <w:t>4</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Flexibility</w:t>
            </w:r>
          </w:p>
        </w:tc>
        <w:tc>
          <w:tcPr>
            <w:tcW w:w="1257"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Security</w:t>
            </w:r>
          </w:p>
        </w:tc>
        <w:tc>
          <w:tcPr>
            <w:tcW w:w="1257" w:type="dxa"/>
            <w:tcBorders>
              <w:top w:val="dotted" w:sz="4" w:space="0" w:color="auto"/>
              <w:left w:val="dotted" w:sz="4" w:space="0" w:color="auto"/>
              <w:bottom w:val="dotted" w:sz="4" w:space="0" w:color="auto"/>
              <w:right w:val="dotted" w:sz="4" w:space="0" w:color="auto"/>
            </w:tcBorders>
          </w:tcPr>
          <w:p>
            <w:pPr>
              <w:pStyle w:val="NoSpacing"/>
            </w:pPr>
            <w:r>
              <w:t>3</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Portability</w:t>
            </w:r>
          </w:p>
        </w:tc>
        <w:tc>
          <w:tcPr>
            <w:tcW w:w="1257"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3</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Control</w:t>
            </w:r>
          </w:p>
        </w:tc>
        <w:tc>
          <w:tcPr>
            <w:tcW w:w="1257" w:type="dxa"/>
            <w:tcBorders>
              <w:top w:val="dotted" w:sz="4" w:space="0" w:color="auto"/>
              <w:left w:val="dotted" w:sz="4" w:space="0" w:color="auto"/>
              <w:bottom w:val="dotted" w:sz="4" w:space="0" w:color="auto"/>
              <w:right w:val="dotted" w:sz="4" w:space="0" w:color="auto"/>
            </w:tcBorders>
          </w:tcPr>
          <w:p>
            <w:pPr>
              <w:pStyle w:val="NoSpacing"/>
            </w:pPr>
            <w:r>
              <w:t>3</w:t>
            </w:r>
          </w:p>
        </w:tc>
        <w:tc>
          <w:tcPr>
            <w:tcW w:w="2505" w:type="dxa"/>
            <w:tcBorders>
              <w:top w:val="dotted" w:sz="4" w:space="0" w:color="auto"/>
              <w:left w:val="dotted" w:sz="4" w:space="0" w:color="auto"/>
              <w:bottom w:val="dotted" w:sz="4" w:space="0" w:color="auto"/>
              <w:right w:val="dotted" w:sz="4" w:space="0" w:color="auto"/>
            </w:tcBorders>
          </w:tcPr>
          <w:p>
            <w:pPr>
              <w:pStyle w:val="NoSpacing"/>
            </w:pPr>
            <w:r>
              <w:t>3</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Complexity (5 = simplest)</w:t>
            </w:r>
          </w:p>
        </w:tc>
        <w:tc>
          <w:tcPr>
            <w:tcW w:w="1257" w:type="dxa"/>
            <w:tcBorders>
              <w:top w:val="dotted" w:sz="4" w:space="0" w:color="auto"/>
              <w:left w:val="dotted" w:sz="4" w:space="0" w:color="auto"/>
              <w:bottom w:val="dotted" w:sz="4" w:space="0" w:color="auto"/>
              <w:right w:val="dotted" w:sz="4" w:space="0" w:color="auto"/>
            </w:tcBorders>
          </w:tcPr>
          <w:p>
            <w:pPr>
              <w:pStyle w:val="NoSpacing"/>
            </w:pPr>
            <w:r>
              <w:t>4</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Total Weighted Score</w:t>
            </w:r>
          </w:p>
        </w:tc>
        <w:tc>
          <w:tcPr>
            <w:tcW w:w="1257" w:type="dxa"/>
            <w:tcBorders>
              <w:top w:val="dotted" w:sz="4" w:space="0" w:color="auto"/>
              <w:left w:val="dotted" w:sz="4" w:space="0" w:color="auto"/>
              <w:bottom w:val="dotted" w:sz="4" w:space="0" w:color="auto"/>
              <w:right w:val="dotted" w:sz="4" w:space="0" w:color="auto"/>
            </w:tcBorders>
          </w:tcPr>
          <w:p>
            <w:pPr>
              <w:pStyle w:val="NoSpacing"/>
            </w:pPr>
            <w:r>
              <w:t>29</w:t>
            </w:r>
          </w:p>
        </w:tc>
        <w:tc>
          <w:tcPr>
            <w:tcW w:w="2505" w:type="dxa"/>
            <w:tcBorders>
              <w:top w:val="dotted" w:sz="4" w:space="0" w:color="auto"/>
              <w:left w:val="dotted" w:sz="4" w:space="0" w:color="auto"/>
              <w:bottom w:val="dotted" w:sz="4" w:space="0" w:color="auto"/>
              <w:right w:val="dotted" w:sz="4" w:space="0" w:color="auto"/>
            </w:tcBorders>
          </w:tcPr>
          <w:p>
            <w:pPr>
              <w:pStyle w:val="NoSpacing"/>
            </w:pPr>
            <w:r>
              <w:t>4.45 / 5</w:t>
            </w:r>
          </w:p>
        </w:tc>
        <w:tc>
          <w:tcPr>
            <w:tcW w:w="2505" w:type="dxa"/>
            <w:tcBorders>
              <w:top w:val="dotted" w:sz="4" w:space="0" w:color="auto"/>
              <w:left w:val="dotted" w:sz="4" w:space="0" w:color="auto"/>
              <w:bottom w:val="dotted" w:sz="4" w:space="0" w:color="auto"/>
              <w:right w:val="dotted" w:sz="4" w:space="0" w:color="auto"/>
            </w:tcBorders>
          </w:tcPr>
          <w:p>
            <w:pPr>
              <w:pStyle w:val="NoSpacing"/>
            </w:pPr>
            <w:r>
              <w:t>3.97 / 5</w:t>
            </w:r>
          </w:p>
        </w:tc>
      </w:tr>
    </w:tbl>
    <w:p/>
    <w:p>
      <w:r>
        <w:t>ECS leads at 4.45 against 3.97. It wins five attributes and loses two. ECS's weighted advantages total 30 points — cost (10), complexity (8), flexibility (5), maintainability (4) and security (3) — and EKS's total 16 — portability (10) and control (6). The net difference of 14 points (129 against 115) is the 0.48 gap between the totals. The result has the same shape as Section 4.2: Kubernetes wins on portability, and loses on the cost of owning it.</w:t>
      </w:r>
    </w:p>
    <w:p>
      <w:pPr>
        <w:pStyle w:val="Heading2"/>
      </w:pPr>
      <w:bookmarkStart w:id="125" w:name="_Toc300000026"/>
      <w:r>
        <w:t>Basis of each score</w:t>
      </w:r>
      <w:bookmarkEnd w:id="125"/>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140"/>
        <w:gridCol w:w="3889"/>
        <w:gridCol w:w="2997"/>
      </w:tblGrid>
      <w:tr>
        <w:trPr>
          <w:cantSplit/>
          <w:tblHeader/>
        </w:trPr>
        <w:tc>
          <w:tcPr>
            <w:tcW w:w="21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Attribute</w:t>
            </w:r>
          </w:p>
        </w:tc>
        <w:tc>
          <w:tcPr>
            <w:tcW w:w="388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ECS on Fargate</w:t>
            </w:r>
          </w:p>
        </w:tc>
        <w:tc>
          <w:tcPr>
            <w:tcW w:w="299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EKS on Fargate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Cost</w:t>
            </w:r>
          </w:p>
        </w:tc>
        <w:tc>
          <w:tcPr>
            <w:tcW w:w="3889" w:type="dxa"/>
            <w:tcBorders>
              <w:top w:val="dotted" w:sz="4" w:space="0" w:color="auto"/>
              <w:left w:val="dotted" w:sz="4" w:space="0" w:color="auto"/>
              <w:bottom w:val="dotted" w:sz="4" w:space="0" w:color="auto"/>
              <w:right w:val="dotted" w:sz="4" w:space="0" w:color="auto"/>
            </w:tcBorders>
          </w:tcPr>
          <w:p>
            <w:pPr>
              <w:pStyle w:val="NoSpacing"/>
            </w:pPr>
            <w:r>
              <w:t>5 — no orchestration or control-plane charge in any environment; both Fargate Spot and Graviton are available</w:t>
            </w:r>
          </w:p>
        </w:tc>
        <w:tc>
          <w:tcPr>
            <w:tcW w:w="2997" w:type="dxa"/>
            <w:tcBorders>
              <w:top w:val="dotted" w:sz="4" w:space="0" w:color="auto"/>
              <w:left w:val="dotted" w:sz="4" w:space="0" w:color="auto"/>
              <w:bottom w:val="dotted" w:sz="4" w:space="0" w:color="auto"/>
              <w:right w:val="dotted" w:sz="4" w:space="0" w:color="auto"/>
            </w:tcBorders>
          </w:tcPr>
          <w:p>
            <w:pPr>
              <w:pStyle w:val="NoSpacing"/>
            </w:pPr>
            <w:r>
              <w:t>3 — the same Fargate rates, plus USD 292 a month for four clusters, plus USD 365 per cluster-month if a version falls into extended support; neither Fargate Spot nor Arm is available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Maintainability</w:t>
            </w:r>
          </w:p>
        </w:tc>
        <w:tc>
          <w:tcPr>
            <w:tcW w:w="3889" w:type="dxa"/>
            <w:tcBorders>
              <w:top w:val="dotted" w:sz="4" w:space="0" w:color="auto"/>
              <w:left w:val="dotted" w:sz="4" w:space="0" w:color="auto"/>
              <w:bottom w:val="dotted" w:sz="4" w:space="0" w:color="auto"/>
              <w:right w:val="dotted" w:sz="4" w:space="0" w:color="auto"/>
            </w:tcBorders>
          </w:tcPr>
          <w:p>
            <w:pPr>
              <w:pStyle w:val="NoSpacing"/>
            </w:pPr>
            <w:r>
              <w:t>5 — no control-plane version; AWS patches Fargate and the scheduler replaces retired tasks; nothing for the team to upgrade</w:t>
            </w:r>
          </w:p>
        </w:tc>
        <w:tc>
          <w:tcPr>
            <w:tcW w:w="2997" w:type="dxa"/>
            <w:tcBorders>
              <w:top w:val="dotted" w:sz="4" w:space="0" w:color="auto"/>
              <w:left w:val="dotted" w:sz="4" w:space="0" w:color="auto"/>
              <w:bottom w:val="dotted" w:sz="4" w:space="0" w:color="auto"/>
              <w:right w:val="dotted" w:sz="4" w:space="0" w:color="auto"/>
            </w:tcBorders>
          </w:tcPr>
          <w:p>
            <w:pPr>
              <w:pStyle w:val="NoSpacing"/>
            </w:pPr>
            <w:r>
              <w:t>4 — a managed control plane and no nodes on Fargate, but each cluster must move through about three minor versions a year, with add-ons kept compatible and pods restarted after every upgrade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Flexibility</w:t>
            </w:r>
          </w:p>
        </w:tc>
        <w:tc>
          <w:tcPr>
            <w:tcW w:w="3889" w:type="dxa"/>
            <w:tcBorders>
              <w:top w:val="dotted" w:sz="4" w:space="0" w:color="auto"/>
              <w:left w:val="dotted" w:sz="4" w:space="0" w:color="auto"/>
              <w:bottom w:val="dotted" w:sz="4" w:space="0" w:color="auto"/>
              <w:right w:val="dotted" w:sz="4" w:space="0" w:color="auto"/>
            </w:tcBorders>
          </w:tcPr>
          <w:p>
            <w:pPr>
              <w:pStyle w:val="NoSpacing"/>
            </w:pPr>
            <w:r>
              <w:t>5 — hosts every eClaims workload shape (services, queue consumers, scheduled jobs, blue-green release) and every capacity choice (Fargate, Fargate Spot, Graviton, EC2) under one service model</w:t>
            </w:r>
          </w:p>
        </w:tc>
        <w:tc>
          <w:tcPr>
            <w:tcW w:w="2997" w:type="dxa"/>
            <w:tcBorders>
              <w:top w:val="dotted" w:sz="4" w:space="0" w:color="auto"/>
              <w:left w:val="dotted" w:sz="4" w:space="0" w:color="auto"/>
              <w:bottom w:val="dotted" w:sz="4" w:space="0" w:color="auto"/>
              <w:right w:val="dotted" w:sz="4" w:space="0" w:color="auto"/>
            </w:tcBorders>
          </w:tcPr>
          <w:p>
            <w:pPr>
              <w:pStyle w:val="NoSpacing"/>
            </w:pPr>
            <w:r>
              <w:t>4 — the richest workload primitives, but several are unavailable on Fargate (DaemonSets, EBS volumes, Spot, Arm) unless node groups are added</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Security</w:t>
            </w:r>
          </w:p>
        </w:tc>
        <w:tc>
          <w:tcPr>
            <w:tcW w:w="3889" w:type="dxa"/>
            <w:tcBorders>
              <w:top w:val="dotted" w:sz="4" w:space="0" w:color="auto"/>
              <w:left w:val="dotted" w:sz="4" w:space="0" w:color="auto"/>
              <w:bottom w:val="dotted" w:sz="4" w:space="0" w:color="auto"/>
              <w:right w:val="dotted" w:sz="4" w:space="0" w:color="auto"/>
            </w:tcBorders>
          </w:tcPr>
          <w:p>
            <w:pPr>
              <w:pStyle w:val="NoSpacing"/>
            </w:pPr>
            <w:r>
              <w:t>5 — an IAM role, security group and isolation boundary per task; secrets injected natively; all security expressed in IAM and VPC controls the team already runs</w:t>
            </w:r>
          </w:p>
        </w:tc>
        <w:tc>
          <w:tcPr>
            <w:tcW w:w="2997" w:type="dxa"/>
            <w:tcBorders>
              <w:top w:val="dotted" w:sz="4" w:space="0" w:color="auto"/>
              <w:left w:val="dotted" w:sz="4" w:space="0" w:color="auto"/>
              <w:bottom w:val="dotted" w:sz="4" w:space="0" w:color="auto"/>
              <w:right w:val="dotted" w:sz="4" w:space="0" w:color="auto"/>
            </w:tcBorders>
          </w:tcPr>
          <w:p>
            <w:pPr>
              <w:pStyle w:val="NoSpacing"/>
            </w:pPr>
            <w:r>
              <w:t>4 — equivalent per-pod controls on Fargate, but a larger attack surface: the cluster API endpoint, an OpenID Connect provider per cluster, Kubernetes role-based access control mapped to IAM, and add-ons with their own patch cycles</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Portability</w:t>
            </w:r>
          </w:p>
        </w:tc>
        <w:tc>
          <w:tcPr>
            <w:tcW w:w="3889" w:type="dxa"/>
            <w:tcBorders>
              <w:top w:val="dotted" w:sz="4" w:space="0" w:color="auto"/>
              <w:left w:val="dotted" w:sz="4" w:space="0" w:color="auto"/>
              <w:bottom w:val="dotted" w:sz="4" w:space="0" w:color="auto"/>
              <w:right w:val="dotted" w:sz="4" w:space="0" w:color="auto"/>
            </w:tcBorders>
          </w:tcPr>
          <w:p>
            <w:pPr>
              <w:pStyle w:val="NoSpacing"/>
            </w:pPr>
            <w:r>
              <w:t>3 — the image is portable, but task definitions, services and scaling policies are specific to ECS and must be rewritten to move; ECS Anywhere cannot place inbound HTTP services behind a load balancer</w:t>
            </w:r>
          </w:p>
        </w:tc>
        <w:tc>
          <w:tcPr>
            <w:tcW w:w="2997" w:type="dxa"/>
            <w:tcBorders>
              <w:top w:val="dotted" w:sz="4" w:space="0" w:color="auto"/>
              <w:left w:val="dotted" w:sz="4" w:space="0" w:color="auto"/>
              <w:bottom w:val="dotted" w:sz="4" w:space="0" w:color="auto"/>
              <w:right w:val="dotted" w:sz="4" w:space="0" w:color="auto"/>
            </w:tcBorders>
          </w:tcPr>
          <w:p>
            <w:pPr>
              <w:pStyle w:val="NoSpacing"/>
            </w:pPr>
            <w:r>
              <w:t>5 — manifests and Helm charts run on any conformant distribution; EKS Anywhere and Hybrid Nodes extend the same API on-premise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Control</w:t>
            </w:r>
          </w:p>
        </w:tc>
        <w:tc>
          <w:tcPr>
            <w:tcW w:w="3889" w:type="dxa"/>
            <w:tcBorders>
              <w:top w:val="dotted" w:sz="4" w:space="0" w:color="auto"/>
              <w:left w:val="dotted" w:sz="4" w:space="0" w:color="auto"/>
              <w:bottom w:val="dotted" w:sz="4" w:space="0" w:color="auto"/>
              <w:right w:val="dotted" w:sz="4" w:space="0" w:color="auto"/>
            </w:tcBorders>
          </w:tcPr>
          <w:p>
            <w:pPr>
              <w:pStyle w:val="NoSpacing"/>
            </w:pPr>
            <w:r>
              <w:t>3 — placement strategies and constraints only; no custom resources or admission control</w:t>
            </w:r>
          </w:p>
        </w:tc>
        <w:tc>
          <w:tcPr>
            <w:tcW w:w="2997" w:type="dxa"/>
            <w:tcBorders>
              <w:top w:val="dotted" w:sz="4" w:space="0" w:color="auto"/>
              <w:left w:val="dotted" w:sz="4" w:space="0" w:color="auto"/>
              <w:bottom w:val="dotted" w:sz="4" w:space="0" w:color="auto"/>
              <w:right w:val="dotted" w:sz="4" w:space="0" w:color="auto"/>
            </w:tcBorders>
          </w:tcPr>
          <w:p>
            <w:pPr>
              <w:pStyle w:val="NoSpacing"/>
            </w:pPr>
            <w:r>
              <w:t>5 — full Kubernetes control of scheduling, admission, extension and network policy</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Complexity</w:t>
            </w:r>
          </w:p>
        </w:tc>
        <w:tc>
          <w:tcPr>
            <w:tcW w:w="3889" w:type="dxa"/>
            <w:tcBorders>
              <w:top w:val="dotted" w:sz="4" w:space="0" w:color="auto"/>
              <w:left w:val="dotted" w:sz="4" w:space="0" w:color="auto"/>
              <w:bottom w:val="dotted" w:sz="4" w:space="0" w:color="auto"/>
              <w:right w:val="dotted" w:sz="4" w:space="0" w:color="auto"/>
            </w:tcBorders>
          </w:tcPr>
          <w:p>
            <w:pPr>
              <w:pStyle w:val="NoSpacing"/>
            </w:pPr>
            <w:r>
              <w:t>5 — a few AWS-native concepts, built on skills the team needs for the rest of eClaims: IAM, VPC, ALB, CloudWatch, Terraform</w:t>
            </w:r>
          </w:p>
        </w:tc>
        <w:tc>
          <w:tcPr>
            <w:tcW w:w="2997" w:type="dxa"/>
            <w:tcBorders>
              <w:top w:val="dotted" w:sz="4" w:space="0" w:color="auto"/>
              <w:left w:val="dotted" w:sz="4" w:space="0" w:color="auto"/>
              <w:bottom w:val="dotted" w:sz="4" w:space="0" w:color="auto"/>
              <w:right w:val="dotted" w:sz="4" w:space="0" w:color="auto"/>
            </w:tcBorders>
          </w:tcPr>
          <w:p>
            <w:pPr>
              <w:pStyle w:val="NoSpacing"/>
            </w:pPr>
            <w:r>
              <w:t>3 — Kubernetes objects plus AWS integration controllers, two access models to keep aligned, and a large ecosystem to choose from</w:t>
            </w:r>
          </w:p>
        </w:tc>
      </w:tr>
    </w:tbl>
    <w:p/>
    <w:p>
      <w:pPr>
        <w:pStyle w:val="Heading2"/>
      </w:pPr>
      <w:bookmarkStart w:id="126" w:name="_Toc300000027"/>
      <w:r>
        <w:t>Comparison 5 — Monthly Cost at eClaims Scale</w:t>
      </w:r>
      <w:bookmarkEnd w:id="126"/>
    </w:p>
    <w:p>
      <w:r>
        <w:t>The cost basis is that of Section 4.4, so that the two stages reconcile. Only us-east-1 production compute is shown, because development, staging and us-east-2 standby compute is billed identically under both options. The orchestrator fee covers all four clusters — development, staging, production and the us-east-2 standby — because EKS charges per cluster regardless of load. Load-balancer, NAT gateway, data-transfer, logging and data-store costs are common to both options and excluded.</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589"/>
        <w:gridCol w:w="4203"/>
        <w:gridCol w:w="2234"/>
      </w:tblGrid>
      <w:tr>
        <w:trPr>
          <w:cantSplit/>
          <w:tblHeader/>
        </w:trPr>
        <w:tc>
          <w:tcPr>
            <w:tcW w:w="258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Monthly cost (US East, N. Virginia, list price)</w:t>
            </w:r>
          </w:p>
        </w:tc>
        <w:tc>
          <w:tcPr>
            <w:tcW w:w="420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ECS on Fargate</w:t>
            </w:r>
          </w:p>
        </w:tc>
        <w:tc>
          <w:tcPr>
            <w:tcW w:w="223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EKS on Fargate</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Fargate vCPU: 17,520 vCPU-hours × USD 0.04048</w:t>
            </w:r>
          </w:p>
        </w:tc>
        <w:tc>
          <w:tcPr>
            <w:tcW w:w="4203" w:type="dxa"/>
            <w:tcBorders>
              <w:top w:val="dotted" w:sz="4" w:space="0" w:color="auto"/>
              <w:left w:val="dotted" w:sz="4" w:space="0" w:color="auto"/>
              <w:bottom w:val="dotted" w:sz="4" w:space="0" w:color="auto"/>
              <w:right w:val="dotted" w:sz="4" w:space="0" w:color="auto"/>
            </w:tcBorders>
          </w:tcPr>
          <w:p>
            <w:pPr>
              <w:pStyle w:val="NoSpacing"/>
            </w:pPr>
            <w:r>
              <w:t>USD 709</w:t>
            </w:r>
          </w:p>
        </w:tc>
        <w:tc>
          <w:tcPr>
            <w:tcW w:w="2234" w:type="dxa"/>
            <w:tcBorders>
              <w:top w:val="dotted" w:sz="4" w:space="0" w:color="auto"/>
              <w:left w:val="dotted" w:sz="4" w:space="0" w:color="auto"/>
              <w:bottom w:val="dotted" w:sz="4" w:space="0" w:color="auto"/>
              <w:right w:val="dotted" w:sz="4" w:space="0" w:color="auto"/>
            </w:tcBorders>
          </w:tcPr>
          <w:p>
            <w:pPr>
              <w:pStyle w:val="NoSpacing"/>
            </w:pPr>
            <w:r>
              <w:t>USD 709</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Fargate memory: 35,040 GB-hours × USD 0.004445</w:t>
            </w:r>
          </w:p>
        </w:tc>
        <w:tc>
          <w:tcPr>
            <w:tcW w:w="4203" w:type="dxa"/>
            <w:tcBorders>
              <w:top w:val="dotted" w:sz="4" w:space="0" w:color="auto"/>
              <w:left w:val="dotted" w:sz="4" w:space="0" w:color="auto"/>
              <w:bottom w:val="dotted" w:sz="4" w:space="0" w:color="auto"/>
              <w:right w:val="dotted" w:sz="4" w:space="0" w:color="auto"/>
            </w:tcBorders>
          </w:tcPr>
          <w:p>
            <w:pPr>
              <w:pStyle w:val="NoSpacing"/>
            </w:pPr>
            <w:r>
              <w:t>USD 156</w:t>
            </w:r>
          </w:p>
        </w:tc>
        <w:tc>
          <w:tcPr>
            <w:tcW w:w="2234" w:type="dxa"/>
            <w:tcBorders>
              <w:top w:val="dotted" w:sz="4" w:space="0" w:color="auto"/>
              <w:left w:val="dotted" w:sz="4" w:space="0" w:color="auto"/>
              <w:bottom w:val="dotted" w:sz="4" w:space="0" w:color="auto"/>
              <w:right w:val="dotted" w:sz="4" w:space="0" w:color="auto"/>
            </w:tcBorders>
          </w:tcPr>
          <w:p>
            <w:pPr>
              <w:pStyle w:val="NoSpacing"/>
            </w:pPr>
            <w:r>
              <w:t>USD 156</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Production compute (identical)</w:t>
            </w:r>
          </w:p>
        </w:tc>
        <w:tc>
          <w:tcPr>
            <w:tcW w:w="4203" w:type="dxa"/>
            <w:tcBorders>
              <w:top w:val="dotted" w:sz="4" w:space="0" w:color="auto"/>
              <w:left w:val="dotted" w:sz="4" w:space="0" w:color="auto"/>
              <w:bottom w:val="dotted" w:sz="4" w:space="0" w:color="auto"/>
              <w:right w:val="dotted" w:sz="4" w:space="0" w:color="auto"/>
            </w:tcBorders>
          </w:tcPr>
          <w:p>
            <w:pPr>
              <w:pStyle w:val="NoSpacing"/>
            </w:pPr>
            <w:r>
              <w:t>≈ USD 865</w:t>
            </w:r>
          </w:p>
        </w:tc>
        <w:tc>
          <w:tcPr>
            <w:tcW w:w="2234" w:type="dxa"/>
            <w:tcBorders>
              <w:top w:val="dotted" w:sz="4" w:space="0" w:color="auto"/>
              <w:left w:val="dotted" w:sz="4" w:space="0" w:color="auto"/>
              <w:bottom w:val="dotted" w:sz="4" w:space="0" w:color="auto"/>
              <w:right w:val="dotted" w:sz="4" w:space="0" w:color="auto"/>
            </w:tcBorders>
          </w:tcPr>
          <w:p>
            <w:pPr>
              <w:pStyle w:val="NoSpacing"/>
            </w:pPr>
            <w:r>
              <w:t>≈ USD 865</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Orchestrator fee: 4 clusters × 730 hours × USD 0.10</w:t>
            </w:r>
          </w:p>
        </w:tc>
        <w:tc>
          <w:tcPr>
            <w:tcW w:w="4203" w:type="dxa"/>
            <w:tcBorders>
              <w:top w:val="dotted" w:sz="4" w:space="0" w:color="auto"/>
              <w:left w:val="dotted" w:sz="4" w:space="0" w:color="auto"/>
              <w:bottom w:val="dotted" w:sz="4" w:space="0" w:color="auto"/>
              <w:right w:val="dotted" w:sz="4" w:space="0" w:color="auto"/>
            </w:tcBorders>
          </w:tcPr>
          <w:p>
            <w:pPr>
              <w:pStyle w:val="NoSpacing"/>
            </w:pPr>
            <w:r>
              <w:t>USD 0</w:t>
            </w:r>
          </w:p>
        </w:tc>
        <w:tc>
          <w:tcPr>
            <w:tcW w:w="2234" w:type="dxa"/>
            <w:tcBorders>
              <w:top w:val="dotted" w:sz="4" w:space="0" w:color="auto"/>
              <w:left w:val="dotted" w:sz="4" w:space="0" w:color="auto"/>
              <w:bottom w:val="dotted" w:sz="4" w:space="0" w:color="auto"/>
              <w:right w:val="dotted" w:sz="4" w:space="0" w:color="auto"/>
            </w:tcBorders>
          </w:tcPr>
          <w:p>
            <w:pPr>
              <w:pStyle w:val="NoSpacing"/>
            </w:pPr>
            <w:r>
              <w:t>USD 292</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Total on the invoice</w:t>
            </w:r>
          </w:p>
        </w:tc>
        <w:tc>
          <w:tcPr>
            <w:tcW w:w="4203" w:type="dxa"/>
            <w:tcBorders>
              <w:top w:val="dotted" w:sz="4" w:space="0" w:color="auto"/>
              <w:left w:val="dotted" w:sz="4" w:space="0" w:color="auto"/>
              <w:bottom w:val="dotted" w:sz="4" w:space="0" w:color="auto"/>
              <w:right w:val="dotted" w:sz="4" w:space="0" w:color="auto"/>
            </w:tcBorders>
          </w:tcPr>
          <w:p>
            <w:pPr>
              <w:pStyle w:val="NoSpacing"/>
            </w:pPr>
            <w:r>
              <w:t>≈ USD 865</w:t>
            </w:r>
          </w:p>
        </w:tc>
        <w:tc>
          <w:tcPr>
            <w:tcW w:w="2234" w:type="dxa"/>
            <w:tcBorders>
              <w:top w:val="dotted" w:sz="4" w:space="0" w:color="auto"/>
              <w:left w:val="dotted" w:sz="4" w:space="0" w:color="auto"/>
              <w:bottom w:val="dotted" w:sz="4" w:space="0" w:color="auto"/>
              <w:right w:val="dotted" w:sz="4" w:space="0" w:color="auto"/>
            </w:tcBorders>
          </w:tcPr>
          <w:p>
            <w:pPr>
              <w:pStyle w:val="NoSpacing"/>
            </w:pPr>
            <w:r>
              <w:t>≈ USD 1,157 (+34%)</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Extra cost if a cluster falls into extended support</w:t>
            </w:r>
          </w:p>
        </w:tc>
        <w:tc>
          <w:tcPr>
            <w:tcW w:w="4203" w:type="dxa"/>
            <w:tcBorders>
              <w:top w:val="dotted" w:sz="4" w:space="0" w:color="auto"/>
              <w:left w:val="dotted" w:sz="4" w:space="0" w:color="auto"/>
              <w:bottom w:val="dotted" w:sz="4" w:space="0" w:color="auto"/>
              <w:right w:val="dotted" w:sz="4" w:space="0" w:color="auto"/>
            </w:tcBorders>
          </w:tcPr>
          <w:p>
            <w:pPr>
              <w:pStyle w:val="NoSpacing"/>
            </w:pPr>
            <w:r>
              <w:t>None</w:t>
            </w:r>
          </w:p>
        </w:tc>
        <w:tc>
          <w:tcPr>
            <w:tcW w:w="2234" w:type="dxa"/>
            <w:tcBorders>
              <w:top w:val="dotted" w:sz="4" w:space="0" w:color="auto"/>
              <w:left w:val="dotted" w:sz="4" w:space="0" w:color="auto"/>
              <w:bottom w:val="dotted" w:sz="4" w:space="0" w:color="auto"/>
              <w:right w:val="dotted" w:sz="4" w:space="0" w:color="auto"/>
            </w:tcBorders>
          </w:tcPr>
          <w:p>
            <w:pPr>
              <w:pStyle w:val="NoSpacing"/>
            </w:pPr>
            <w:r>
              <w:t>+USD 365 per affected cluster per month</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Kubernetes version upgrades (effort, not invoiced)</w:t>
            </w:r>
          </w:p>
        </w:tc>
        <w:tc>
          <w:tcPr>
            <w:tcW w:w="4203" w:type="dxa"/>
            <w:tcBorders>
              <w:top w:val="dotted" w:sz="4" w:space="0" w:color="auto"/>
              <w:left w:val="dotted" w:sz="4" w:space="0" w:color="auto"/>
              <w:bottom w:val="dotted" w:sz="4" w:space="0" w:color="auto"/>
              <w:right w:val="dotted" w:sz="4" w:space="0" w:color="auto"/>
            </w:tcBorders>
          </w:tcPr>
          <w:p>
            <w:pPr>
              <w:pStyle w:val="NoSpacing"/>
            </w:pPr>
            <w:r>
              <w:t>None</w:t>
            </w:r>
          </w:p>
        </w:tc>
        <w:tc>
          <w:tcPr>
            <w:tcW w:w="2234" w:type="dxa"/>
            <w:tcBorders>
              <w:top w:val="dotted" w:sz="4" w:space="0" w:color="auto"/>
              <w:left w:val="dotted" w:sz="4" w:space="0" w:color="auto"/>
              <w:bottom w:val="dotted" w:sz="4" w:space="0" w:color="auto"/>
              <w:right w:val="dotted" w:sz="4" w:space="0" w:color="auto"/>
            </w:tcBorders>
          </w:tcPr>
          <w:p>
            <w:pPr>
              <w:pStyle w:val="NoSpacing"/>
            </w:pPr>
            <w:r>
              <w:t>≈ 15–21 person-days a year</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Discounts available</w:t>
            </w:r>
          </w:p>
        </w:tc>
        <w:tc>
          <w:tcPr>
            <w:tcW w:w="4203" w:type="dxa"/>
            <w:tcBorders>
              <w:top w:val="dotted" w:sz="4" w:space="0" w:color="auto"/>
              <w:left w:val="dotted" w:sz="4" w:space="0" w:color="auto"/>
              <w:bottom w:val="dotted" w:sz="4" w:space="0" w:color="auto"/>
              <w:right w:val="dotted" w:sz="4" w:space="0" w:color="auto"/>
            </w:tcBorders>
          </w:tcPr>
          <w:p>
            <w:pPr>
              <w:pStyle w:val="NoSpacing"/>
            </w:pPr>
            <w:r>
              <w:t>Compute Savings Plans; Graviton (≈ 20% lower rates); Fargate Spot (up to 70% off) for interruptible jobs and non-production</w:t>
            </w:r>
          </w:p>
        </w:tc>
        <w:tc>
          <w:tcPr>
            <w:tcW w:w="2234" w:type="dxa"/>
            <w:tcBorders>
              <w:top w:val="dotted" w:sz="4" w:space="0" w:color="auto"/>
              <w:left w:val="dotted" w:sz="4" w:space="0" w:color="auto"/>
              <w:bottom w:val="dotted" w:sz="4" w:space="0" w:color="auto"/>
              <w:right w:val="dotted" w:sz="4" w:space="0" w:color="auto"/>
            </w:tcBorders>
          </w:tcPr>
          <w:p>
            <w:pPr>
              <w:pStyle w:val="NoSpacing"/>
            </w:pPr>
            <w:r>
              <w:t>Compute Savings Plans only</w:t>
            </w:r>
          </w:p>
        </w:tc>
      </w:tr>
    </w:tbl>
    <w:p/>
    <w:p>
      <w:r>
        <w:t>The upgrade-effort line is a planning estimate. Kubernetes releases about three minor versions a year, and each must be taken through all four clusters in turn. For each version, reviewing deprecations and add-on compatibility and upgrading development takes about two person-days; staging, production and the us-east-2 standby then take about one person-day each, including the rolling restart of Fargate pods and regression tests. That is roughly five person-days per version, or fifteen a year, rising towards twenty-one when an add-on or Helm chart needs changes. It excludes wider Kubernetes platform work — controllers, observability agents, access control — which Section 4.4 estimates at 0.5 to 1.0 full-time engineer for a node-based cluster, and it is scored under Maintainability and Complexity rather than under Cost.</w:t>
      </w:r>
    </w:p>
    <w:p>
      <w:r>
        <w:t>Two sensitivities leave the conclusion unchanged. At fourteen services on the same basis (42 tasks; 30,660 vCPU-hours and 61,320 GB-hours), compute rises to ≈ USD 1,514 a month under both options, and the EKS fee of USD 292 becomes 19% of compute instead of 34%. Combining development and staging in one cluster would cut the EKS fee to ≈ USD 219 a month, at the cost of rehearsing upgrades on a shared cluster.</w:t>
      </w:r>
    </w:p>
    <w:p>
      <w:r>
        <w:t>On the invoice the difference is modest: USD 292 a month, or USD 3,504 a year. It is not what decides the matter. For that fee EKS provides a Kubernetes API that Phase 1 does not need and, beyond the invoice, a version lifecycle to run in four clusters about every four months for the life of the platform.</w:t>
      </w:r>
    </w:p>
    <w:p>
      <w:pPr>
        <w:pStyle w:val="Heading2"/>
      </w:pPr>
      <w:bookmarkStart w:id="127" w:name="_Toc300000028"/>
      <w:r>
        <w:t>Comparison 6 — Operational Comparison</w:t>
      </w:r>
      <w:bookmarkEnd w:id="127"/>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00"/>
        <w:gridCol w:w="3602"/>
        <w:gridCol w:w="3524"/>
      </w:tblGrid>
      <w:tr>
        <w:trPr>
          <w:cantSplit/>
          <w:tblHeader/>
        </w:trPr>
        <w:tc>
          <w:tcPr>
            <w:tcW w:w="190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Aspect</w:t>
            </w:r>
          </w:p>
        </w:tc>
        <w:tc>
          <w:tcPr>
            <w:tcW w:w="3602"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ECS on Fargate</w:t>
            </w:r>
          </w:p>
        </w:tc>
        <w:tc>
          <w:tcPr>
            <w:tcW w:w="352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EKS on Fargate or managed node groups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Control-plane version</w:t>
            </w:r>
          </w:p>
        </w:tc>
        <w:tc>
          <w:tcPr>
            <w:tcW w:w="3602" w:type="dxa"/>
            <w:tcBorders>
              <w:top w:val="dotted" w:sz="4" w:space="0" w:color="auto"/>
              <w:left w:val="dotted" w:sz="4" w:space="0" w:color="auto"/>
              <w:bottom w:val="dotted" w:sz="4" w:space="0" w:color="auto"/>
              <w:right w:val="dotted" w:sz="4" w:space="0" w:color="auto"/>
            </w:tcBorders>
          </w:tcPr>
          <w:p>
            <w:pPr>
              <w:pStyle w:val="NoSpacing"/>
            </w:pPr>
            <w:r>
              <w:t>None. AWS evolves the ECS API without customer upgrades</w:t>
            </w:r>
          </w:p>
        </w:tc>
        <w:tc>
          <w:tcPr>
            <w:tcW w:w="3524" w:type="dxa"/>
            <w:tcBorders>
              <w:top w:val="dotted" w:sz="4" w:space="0" w:color="auto"/>
              <w:left w:val="dotted" w:sz="4" w:space="0" w:color="auto"/>
              <w:bottom w:val="dotted" w:sz="4" w:space="0" w:color="auto"/>
              <w:right w:val="dotted" w:sz="4" w:space="0" w:color="auto"/>
            </w:tcBorders>
          </w:tcPr>
          <w:p>
            <w:pPr>
              <w:pStyle w:val="NoSpacing"/>
            </w:pPr>
            <w:r>
              <w:t>One Kubernetes minor version per cluster; a new minor version about every four months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Support window</w:t>
            </w:r>
          </w:p>
        </w:tc>
        <w:tc>
          <w:tcPr>
            <w:tcW w:w="3602" w:type="dxa"/>
            <w:tcBorders>
              <w:top w:val="dotted" w:sz="4" w:space="0" w:color="auto"/>
              <w:left w:val="dotted" w:sz="4" w:space="0" w:color="auto"/>
              <w:bottom w:val="dotted" w:sz="4" w:space="0" w:color="auto"/>
              <w:right w:val="dotted" w:sz="4" w:space="0" w:color="auto"/>
            </w:tcBorders>
          </w:tcPr>
          <w:p>
            <w:pPr>
              <w:pStyle w:val="NoSpacing"/>
            </w:pPr>
            <w:r>
              <w:t>Not applicable</w:t>
            </w:r>
          </w:p>
        </w:tc>
        <w:tc>
          <w:tcPr>
            <w:tcW w:w="3524" w:type="dxa"/>
            <w:tcBorders>
              <w:top w:val="dotted" w:sz="4" w:space="0" w:color="auto"/>
              <w:left w:val="dotted" w:sz="4" w:space="0" w:color="auto"/>
              <w:bottom w:val="dotted" w:sz="4" w:space="0" w:color="auto"/>
              <w:right w:val="dotted" w:sz="4" w:space="0" w:color="auto"/>
            </w:tcBorders>
          </w:tcPr>
          <w:p>
            <w:pPr>
              <w:pStyle w:val="NoSpacing"/>
            </w:pPr>
            <w:r>
              <w:t>14 months of standard support, then 12 months of extended support at USD 0.60 per cluster-hour. The control plane is upgraded automatically when extended support ends, or when standard support ends if extended support is disabled</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Upgrade mechanics</w:t>
            </w:r>
          </w:p>
        </w:tc>
        <w:tc>
          <w:tcPr>
            <w:tcW w:w="3602" w:type="dxa"/>
            <w:tcBorders>
              <w:top w:val="dotted" w:sz="4" w:space="0" w:color="auto"/>
              <w:left w:val="dotted" w:sz="4" w:space="0" w:color="auto"/>
              <w:bottom w:val="dotted" w:sz="4" w:space="0" w:color="auto"/>
              <w:right w:val="dotted" w:sz="4" w:space="0" w:color="auto"/>
            </w:tcBorders>
          </w:tcPr>
          <w:p>
            <w:pPr>
              <w:pStyle w:val="NoSpacing"/>
            </w:pPr>
            <w:r>
              <w:t>Nothing to upgrade. AWS retires old Fargate platform revisions and the scheduler replaces tasks, starting the new before stopping the old. Default notice is seven days (fourteen on request), or EC2 event windows</w:t>
            </w:r>
          </w:p>
        </w:tc>
        <w:tc>
          <w:tcPr>
            <w:tcW w:w="3524" w:type="dxa"/>
            <w:tcBorders>
              <w:top w:val="dotted" w:sz="4" w:space="0" w:color="auto"/>
              <w:left w:val="dotted" w:sz="4" w:space="0" w:color="auto"/>
              <w:bottom w:val="dotted" w:sz="4" w:space="0" w:color="auto"/>
              <w:right w:val="dotted" w:sz="4" w:space="0" w:color="auto"/>
            </w:tcBorders>
          </w:tcPr>
          <w:p>
            <w:pPr>
              <w:pStyle w:val="NoSpacing"/>
            </w:pPr>
            <w:r>
              <w:t>In each cluster, one minor version at a time: the control plane, then the add-ons (Amazon VPC CNI, CoreDNS, kube-proxy, AWS Load Balancer Controller, observability agents), then a rolling restart of Fargate pods. Node groups are updated separately. An in-place upgrade can be rolled back within seven days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Hosts to maintain</w:t>
            </w:r>
          </w:p>
        </w:tc>
        <w:tc>
          <w:tcPr>
            <w:tcW w:w="3602" w:type="dxa"/>
            <w:tcBorders>
              <w:top w:val="dotted" w:sz="4" w:space="0" w:color="auto"/>
              <w:left w:val="dotted" w:sz="4" w:space="0" w:color="auto"/>
              <w:bottom w:val="dotted" w:sz="4" w:space="0" w:color="auto"/>
              <w:right w:val="dotted" w:sz="4" w:space="0" w:color="auto"/>
            </w:tcBorders>
          </w:tcPr>
          <w:p>
            <w:pPr>
              <w:pStyle w:val="NoSpacing"/>
            </w:pPr>
            <w:r>
              <w:t>None</w:t>
            </w:r>
          </w:p>
        </w:tc>
        <w:tc>
          <w:tcPr>
            <w:tcW w:w="3524" w:type="dxa"/>
            <w:tcBorders>
              <w:top w:val="dotted" w:sz="4" w:space="0" w:color="auto"/>
              <w:left w:val="dotted" w:sz="4" w:space="0" w:color="auto"/>
              <w:bottom w:val="dotted" w:sz="4" w:space="0" w:color="auto"/>
              <w:right w:val="dotted" w:sz="4" w:space="0" w:color="auto"/>
            </w:tcBorders>
          </w:tcPr>
          <w:p>
            <w:pPr>
              <w:pStyle w:val="NoSpacing"/>
            </w:pPr>
            <w:r>
              <w:t>None on Fargate. On managed node groups: machine images, node versions and capacity (Auto Mode automates these for a fee)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Skills</w:t>
            </w:r>
          </w:p>
        </w:tc>
        <w:tc>
          <w:tcPr>
            <w:tcW w:w="3602" w:type="dxa"/>
            <w:tcBorders>
              <w:top w:val="dotted" w:sz="4" w:space="0" w:color="auto"/>
              <w:left w:val="dotted" w:sz="4" w:space="0" w:color="auto"/>
              <w:bottom w:val="dotted" w:sz="4" w:space="0" w:color="auto"/>
              <w:right w:val="dotted" w:sz="4" w:space="0" w:color="auto"/>
            </w:tcBorders>
          </w:tcPr>
          <w:p>
            <w:pPr>
              <w:pStyle w:val="NoSpacing"/>
            </w:pPr>
            <w:r>
              <w:t>The AWS skills eClaims already needs: IAM, VPC, ALB, CloudWatch, Terraform</w:t>
            </w:r>
          </w:p>
        </w:tc>
        <w:tc>
          <w:tcPr>
            <w:tcW w:w="3524" w:type="dxa"/>
            <w:tcBorders>
              <w:top w:val="dotted" w:sz="4" w:space="0" w:color="auto"/>
              <w:left w:val="dotted" w:sz="4" w:space="0" w:color="auto"/>
              <w:bottom w:val="dotted" w:sz="4" w:space="0" w:color="auto"/>
              <w:right w:val="dotted" w:sz="4" w:space="0" w:color="auto"/>
            </w:tcBorders>
          </w:tcPr>
          <w:p>
            <w:pPr>
              <w:pStyle w:val="NoSpacing"/>
            </w:pPr>
            <w:r>
              <w:t>Kubernetes administration on top of the same AWS skills; two access models (IAM and Kubernetes role-based access control) to keep aligned</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Ecosystem</w:t>
            </w:r>
          </w:p>
        </w:tc>
        <w:tc>
          <w:tcPr>
            <w:tcW w:w="3602" w:type="dxa"/>
            <w:tcBorders>
              <w:top w:val="dotted" w:sz="4" w:space="0" w:color="auto"/>
              <w:left w:val="dotted" w:sz="4" w:space="0" w:color="auto"/>
              <w:bottom w:val="dotted" w:sz="4" w:space="0" w:color="auto"/>
              <w:right w:val="dotted" w:sz="4" w:space="0" w:color="auto"/>
            </w:tcBorders>
          </w:tcPr>
          <w:p>
            <w:pPr>
              <w:pStyle w:val="NoSpacing"/>
            </w:pPr>
            <w:r>
              <w:t>AWS-centred: Terraform modules, the AWS CDK and AWS Partner tooling</w:t>
            </w:r>
          </w:p>
        </w:tc>
        <w:tc>
          <w:tcPr>
            <w:tcW w:w="3524" w:type="dxa"/>
            <w:tcBorders>
              <w:top w:val="dotted" w:sz="4" w:space="0" w:color="auto"/>
              <w:left w:val="dotted" w:sz="4" w:space="0" w:color="auto"/>
              <w:bottom w:val="dotted" w:sz="4" w:space="0" w:color="auto"/>
              <w:right w:val="dotted" w:sz="4" w:space="0" w:color="auto"/>
            </w:tcBorders>
          </w:tcPr>
          <w:p>
            <w:pPr>
              <w:pStyle w:val="NoSpacing"/>
            </w:pPr>
            <w:r>
              <w:t>The CNCF ecosystem: Helm, operators, GitOps (Argo CD, Flux), service meshes and policy engines, across more than 90 certified distributions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Release strategies</w:t>
            </w:r>
          </w:p>
        </w:tc>
        <w:tc>
          <w:tcPr>
            <w:tcW w:w="3602" w:type="dxa"/>
            <w:tcBorders>
              <w:top w:val="dotted" w:sz="4" w:space="0" w:color="auto"/>
              <w:left w:val="dotted" w:sz="4" w:space="0" w:color="auto"/>
              <w:bottom w:val="dotted" w:sz="4" w:space="0" w:color="auto"/>
              <w:right w:val="dotted" w:sz="4" w:space="0" w:color="auto"/>
            </w:tcBorders>
          </w:tcPr>
          <w:p>
            <w:pPr>
              <w:pStyle w:val="NoSpacing"/>
            </w:pPr>
            <w:r>
              <w:t>Rolling, blue-green, linear and canary built in; CodeDeploy blue-green as the SAD specifies</w:t>
            </w:r>
          </w:p>
        </w:tc>
        <w:tc>
          <w:tcPr>
            <w:tcW w:w="3524" w:type="dxa"/>
            <w:tcBorders>
              <w:top w:val="dotted" w:sz="4" w:space="0" w:color="auto"/>
              <w:left w:val="dotted" w:sz="4" w:space="0" w:color="auto"/>
              <w:bottom w:val="dotted" w:sz="4" w:space="0" w:color="auto"/>
              <w:right w:val="dotted" w:sz="4" w:space="0" w:color="auto"/>
            </w:tcBorders>
          </w:tcPr>
          <w:p>
            <w:pPr>
              <w:pStyle w:val="NoSpacing"/>
            </w:pPr>
            <w:r>
              <w:t>Rolling built in; blue-green and canary need Argo Rollouts, Flagger or a service mesh</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Autoscaling</w:t>
            </w:r>
          </w:p>
        </w:tc>
        <w:tc>
          <w:tcPr>
            <w:tcW w:w="3602" w:type="dxa"/>
            <w:tcBorders>
              <w:top w:val="dotted" w:sz="4" w:space="0" w:color="auto"/>
              <w:left w:val="dotted" w:sz="4" w:space="0" w:color="auto"/>
              <w:bottom w:val="dotted" w:sz="4" w:space="0" w:color="auto"/>
              <w:right w:val="dotted" w:sz="4" w:space="0" w:color="auto"/>
            </w:tcBorders>
          </w:tcPr>
          <w:p>
            <w:pPr>
              <w:pStyle w:val="NoSpacing"/>
            </w:pPr>
            <w:r>
              <w:t>Service Auto Scaling per service: target tracking, step and scheduled</w:t>
            </w:r>
          </w:p>
        </w:tc>
        <w:tc>
          <w:tcPr>
            <w:tcW w:w="3524" w:type="dxa"/>
            <w:tcBorders>
              <w:top w:val="dotted" w:sz="4" w:space="0" w:color="auto"/>
              <w:left w:val="dotted" w:sz="4" w:space="0" w:color="auto"/>
              <w:bottom w:val="dotted" w:sz="4" w:space="0" w:color="auto"/>
              <w:right w:val="dotted" w:sz="4" w:space="0" w:color="auto"/>
            </w:tcBorders>
          </w:tcPr>
          <w:p>
            <w:pPr>
              <w:pStyle w:val="NoSpacing"/>
            </w:pPr>
            <w:r>
              <w:t>Horizontal Pod Autoscaler, plus a node autoscaler on node groups; scheduled scaling needs an add-on</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Observability</w:t>
            </w:r>
          </w:p>
        </w:tc>
        <w:tc>
          <w:tcPr>
            <w:tcW w:w="3602" w:type="dxa"/>
            <w:tcBorders>
              <w:top w:val="dotted" w:sz="4" w:space="0" w:color="auto"/>
              <w:left w:val="dotted" w:sz="4" w:space="0" w:color="auto"/>
              <w:bottom w:val="dotted" w:sz="4" w:space="0" w:color="auto"/>
              <w:right w:val="dotted" w:sz="4" w:space="0" w:color="auto"/>
            </w:tcBorders>
          </w:tcPr>
          <w:p>
            <w:pPr>
              <w:pStyle w:val="NoSpacing"/>
            </w:pPr>
            <w:r>
              <w:t>awslogs or FireLens to CloudWatch Logs; Container Insights; X-Ray</w:t>
            </w:r>
          </w:p>
        </w:tc>
        <w:tc>
          <w:tcPr>
            <w:tcW w:w="3524" w:type="dxa"/>
            <w:tcBorders>
              <w:top w:val="dotted" w:sz="4" w:space="0" w:color="auto"/>
              <w:left w:val="dotted" w:sz="4" w:space="0" w:color="auto"/>
              <w:bottom w:val="dotted" w:sz="4" w:space="0" w:color="auto"/>
              <w:right w:val="dotted" w:sz="4" w:space="0" w:color="auto"/>
            </w:tcBorders>
          </w:tcPr>
          <w:p>
            <w:pPr>
              <w:pStyle w:val="NoSpacing"/>
            </w:pPr>
            <w:r>
              <w:t>CloudWatch Observability add-on, or Fluent Bit with the AWS Distro for OpenTelemetry; Amazon Managed Service for Prometheus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On-premise path</w:t>
            </w:r>
          </w:p>
        </w:tc>
        <w:tc>
          <w:tcPr>
            <w:tcW w:w="3602" w:type="dxa"/>
            <w:tcBorders>
              <w:top w:val="dotted" w:sz="4" w:space="0" w:color="auto"/>
              <w:left w:val="dotted" w:sz="4" w:space="0" w:color="auto"/>
              <w:bottom w:val="dotted" w:sz="4" w:space="0" w:color="auto"/>
              <w:right w:val="dotted" w:sz="4" w:space="0" w:color="auto"/>
            </w:tcBorders>
          </w:tcPr>
          <w:p>
            <w:pPr>
              <w:pStyle w:val="NoSpacing"/>
            </w:pPr>
            <w:r>
              <w:t>ECS Anywhere: control plane in AWS; EXTERNAL launch type, not Fargate; no service load balancing, service discovery or awsvpc networking. Unsuitable for the eClaims inbound HTTP services</w:t>
            </w:r>
          </w:p>
        </w:tc>
        <w:tc>
          <w:tcPr>
            <w:tcW w:w="3524" w:type="dxa"/>
            <w:tcBorders>
              <w:top w:val="dotted" w:sz="4" w:space="0" w:color="auto"/>
              <w:left w:val="dotted" w:sz="4" w:space="0" w:color="auto"/>
              <w:bottom w:val="dotted" w:sz="4" w:space="0" w:color="auto"/>
              <w:right w:val="dotted" w:sz="4" w:space="0" w:color="auto"/>
            </w:tcBorders>
          </w:tcPr>
          <w:p>
            <w:pPr>
              <w:pStyle w:val="NoSpacing"/>
            </w:pPr>
            <w:r>
              <w:t>EKS Anywhere (fully on-premise, can run air-gapped); EKS Hybrid Nodes (control plane in AWS, on-premise nodes over VPN or Direct Connect); or any conformant distribution. This is the route the SAD's on-premise profile takes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Gaps on Fargate</w:t>
            </w:r>
          </w:p>
        </w:tc>
        <w:tc>
          <w:tcPr>
            <w:tcW w:w="3602" w:type="dxa"/>
            <w:tcBorders>
              <w:top w:val="dotted" w:sz="4" w:space="0" w:color="auto"/>
              <w:left w:val="dotted" w:sz="4" w:space="0" w:color="auto"/>
              <w:bottom w:val="dotted" w:sz="4" w:space="0" w:color="auto"/>
              <w:right w:val="dotted" w:sz="4" w:space="0" w:color="auto"/>
            </w:tcBorders>
          </w:tcPr>
          <w:p>
            <w:pPr>
              <w:pStyle w:val="NoSpacing"/>
            </w:pPr>
            <w:r>
              <w:t>None that affect eClaims: Fargate Spot, Graviton, and EBS and EFS volumes are all available</w:t>
            </w:r>
          </w:p>
        </w:tc>
        <w:tc>
          <w:tcPr>
            <w:tcW w:w="3524" w:type="dxa"/>
            <w:tcBorders>
              <w:top w:val="dotted" w:sz="4" w:space="0" w:color="auto"/>
              <w:left w:val="dotted" w:sz="4" w:space="0" w:color="auto"/>
              <w:bottom w:val="dotted" w:sz="4" w:space="0" w:color="auto"/>
              <w:right w:val="dotted" w:sz="4" w:space="0" w:color="auto"/>
            </w:tcBorders>
          </w:tcPr>
          <w:p>
            <w:pPr>
              <w:pStyle w:val="NoSpacing"/>
            </w:pPr>
            <w:r>
              <w:t>No Fargate Spot, Arm, DaemonSets or EBS volumes; load balancers with IP targets only</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Quotas that matter</w:t>
            </w:r>
          </w:p>
        </w:tc>
        <w:tc>
          <w:tcPr>
            <w:tcW w:w="3602" w:type="dxa"/>
            <w:tcBorders>
              <w:top w:val="dotted" w:sz="4" w:space="0" w:color="auto"/>
              <w:left w:val="dotted" w:sz="4" w:space="0" w:color="auto"/>
              <w:bottom w:val="dotted" w:sz="4" w:space="0" w:color="auto"/>
              <w:right w:val="dotted" w:sz="4" w:space="0" w:color="auto"/>
            </w:tcBorders>
          </w:tcPr>
          <w:p>
            <w:pPr>
              <w:pStyle w:val="NoSpacing"/>
            </w:pPr>
            <w:r>
              <w:t>Up to 5,000 tasks per service and 500 Fargate task launches per service per minute. The Fargate On-Demand vCPU quota starts at 6 vCPU in a new account and must be raised before go-live</w:t>
            </w:r>
          </w:p>
        </w:tc>
        <w:tc>
          <w:tcPr>
            <w:tcW w:w="3524" w:type="dxa"/>
            <w:tcBorders>
              <w:top w:val="dotted" w:sz="4" w:space="0" w:color="auto"/>
              <w:left w:val="dotted" w:sz="4" w:space="0" w:color="auto"/>
              <w:bottom w:val="dotted" w:sz="4" w:space="0" w:color="auto"/>
              <w:right w:val="dotted" w:sz="4" w:space="0" w:color="auto"/>
            </w:tcBorders>
          </w:tcPr>
          <w:p>
            <w:pPr>
              <w:pStyle w:val="NoSpacing"/>
            </w:pPr>
            <w:r>
              <w:t>The same account-level Fargate vCPU and launch-rate quotas, shared by ECS tasks and EKS pods</w:t>
            </w:r>
          </w:p>
        </w:tc>
      </w:tr>
    </w:tbl>
    <w:p/>
    <w:p>
      <w:r>
        <w:t>The first five rows favour ECS: ECS on Fargate leaves no version, host or add-on in the team's scope, while EKS leaves a version lifecycle in every cluster even when there is no node to manage. The on-premise row favours EKS: ECS has no credible on-premise form for the eClaims services, while Kubernetes has several. Section 6.2 reconciles the two.</w:t>
      </w:r>
    </w:p>
    <w:p>
      <w:pPr>
        <w:pStyle w:val="Heading2"/>
      </w:pPr>
      <w:bookmarkStart w:id="128" w:name="_Toc300000029"/>
      <w:r>
        <w:t>Sensitivity</w:t>
      </w:r>
      <w:bookmarkEnd w:id="128"/>
    </w:p>
    <w:p>
      <w:r>
        <w:t>The matrix has no separate on-premise attribute: Portability, weighted 5, carries it. The other six weights total 24. Holding them constant, the totals as a function of the Portability weight w are:</w:t>
      </w:r>
    </w:p>
    <w:p>
      <w:pPr>
        <w:pStyle w:val="ListParagraph"/>
        <w:numPr>
          <w:ilvl w:val="0"/>
          <w:numId w:val="40"/>
        </w:numPr>
      </w:pPr>
      <w:r>
        <w:t>Amazon ECS: (114 + 3w) ÷ (24 + w)</w:t>
      </w:r>
    </w:p>
    <w:p>
      <w:pPr>
        <w:pStyle w:val="ListParagraph"/>
        <w:numPr>
          <w:ilvl w:val="0"/>
          <w:numId w:val="40"/>
        </w:numPr>
      </w:pPr>
      <w:r>
        <w:t>Amazon EKS: (90 + 5w) ÷ (24 + w)</w:t>
      </w:r>
    </w:p>
    <w:p>
      <w:r>
        <w:t>The denominators are equal, so EKS overtakes ECS when 90 + 5w exceeds 114 + 3w, that is, when w exceeds 12. At w = 12 the options tie at 150 ÷ 36 = 4.17; at w = 13 EKS leads with 155 ÷ 37 = 4.19 against 153 ÷ 37 = 4.14. Each point of Portability weight moves two weighted points to EKS, and ECS leads by 14 points, so Portability would need seven more points of weight — more than double the scale's maximum of 5, a third of all the weight in the matrix, and more than Cost and Complexity combined. The result also holds in the other direction: with Portability at 5 and every other attribute cut to the minimum weight of 3, ECS still leads, 99 ÷ 23 = 4.30 against 94 ÷ 23 = 4.09.</w:t>
      </w:r>
    </w:p>
    <w:p>
      <w:r>
        <w:t>A mandate is a gate, not a weight. The matrix ranks two options that both meet the Phase 1 requirements. A firm on-premise mandate would not raise a weight; it would rule out any option that cannot run on-premise, and ECS on Fargate cannot. In that case the recommendation changes to Kubernetes in both estates — EKS in AWS, and EKS Anywhere, Hybrid Nodes or another conformant distribution on-premise — so that one orchestration API and one set of manifests serve both, instead of ECS in the cloud and Kubernetes on-premise side by side. This is the same conclusion Section 4.5 reaches for the compute model.</w:t>
      </w:r>
    </w:p>
    <w:p>
      <w:r>
        <w:br w:type="page"/>
      </w:r>
    </w:p>
    <w:p>
      <w:pPr>
        <w:pStyle w:val="Heading1"/>
      </w:pPr>
      <w:bookmarkStart w:id="129" w:name="_Toc300000030"/>
      <w:r>
        <w:t>Recommendation</w:t>
      </w:r>
      <w:bookmarkEnd w:id="129"/>
    </w:p>
    <w:p>
      <w:pPr>
        <w:pStyle w:val="Heading2"/>
      </w:pPr>
      <w:bookmarkStart w:id="130" w:name="_Toc300000031"/>
      <w:r>
        <w:t>Compute platform and orchestrator</w:t>
      </w:r>
      <w:bookmarkEnd w:id="130"/>
    </w:p>
    <w:p>
      <w:r>
        <w:t>Amazon ECS on AWS Fargate is recommended as the compute and deployment platform for the eClaims microservices. Each service is deployed as an ECS service of long-lived Fargate tasks that is:</w:t>
      </w:r>
    </w:p>
    <w:p>
      <w:pPr>
        <w:pStyle w:val="ListParagraph"/>
        <w:numPr>
          <w:ilvl w:val="0"/>
          <w:numId w:val="40"/>
        </w:numPr>
      </w:pPr>
      <w:r>
        <w:t>spread across three Availability Zones behind the Application Load Balancer, in us-east-1 and again in the us-east-2 warm standby;</w:t>
      </w:r>
    </w:p>
    <w:p>
      <w:pPr>
        <w:pStyle w:val="ListParagraph"/>
        <w:numPr>
          <w:ilvl w:val="0"/>
          <w:numId w:val="40"/>
        </w:numPr>
      </w:pPr>
      <w:r>
        <w:t>scaled by target tracking on request and resource metrics, from a floor of two tasks;</w:t>
      </w:r>
    </w:p>
    <w:p>
      <w:pPr>
        <w:pStyle w:val="ListParagraph"/>
        <w:numPr>
          <w:ilvl w:val="0"/>
          <w:numId w:val="40"/>
        </w:numPr>
      </w:pPr>
      <w:r>
        <w:t>released blue-green with automatic rollback, through CodeDeploy as the SAD's pipeline specifies or through ECS's built-in deployments.</w:t>
      </w:r>
    </w:p>
    <w:p>
      <w:r>
        <w:t>This is the platform the SAD specifies (Sections 4 and 8), and it is the answer to both stages of the analysis.</w:t>
      </w:r>
    </w:p>
    <w:p>
      <w:r>
        <w:t>On the compute model, ECS Fargate scores 4.66 out of 5 and is the only option strong on both of the dimensions the requirements pull apart (Section 4.2). On execution model it behaves as a server: a task holds its PostgreSQL pool and Redis client for its lifetime, starts once rather than per request and has no maximum duration, so the 5,000 ms latency budget is not spent on cold starts and long-running reporting and document work needs no separate home. On operating model it behaves as a managed service: there is no instance to patch, no node group to scale, no cluster version to track and no control plane to own, which is what makes 24×7 operation by a lean team sustainable. Health checks replace a failed task automatically across three Availability Zones, answering the self-restart requirement directly, and an IAM role per task gives least-privilege identity per service rather than per host.</w:t>
      </w:r>
    </w:p>
    <w:p>
      <w:r>
        <w:t>On the orchestrator, ECS scores 4.45 against 3.97 for EKS on the same Fargate capacity (Section 5.2). The two are equal on every execution requirement, so the decision rests on what each asks YCompany to own. ECS asks for nothing beyond the service definitions: no orchestrator fee, no version to upgrade and no add-on to keep compatible, and it keeps Fargate Spot and Graviton available for cost control. EKS asks for a Kubernetes version lifecycle in each of four clusters, a second access model and USD 292 a month in cluster fees, in return for portability and control that Phase 1 does not need.</w:t>
      </w:r>
    </w:p>
    <w:p>
      <w:pPr>
        <w:pStyle w:val="Heading2"/>
      </w:pPr>
      <w:bookmarkStart w:id="131" w:name="_Toc300000032"/>
      <w:r>
        <w:t>Meeting the on-premise requirement</w:t>
      </w:r>
      <w:bookmarkEnd w:id="131"/>
    </w:p>
    <w:p>
      <w:r>
        <w:t>The on-premise requirement (NFR 2) needs to be addressed plainly, because the recommended platform does not satisfy it directly. AWS Fargate is AWS-only. ECS Anywhere is not the on-premise route: its control plane stays in AWS, it cannot use Fargate, and it supports neither service load balancing nor service discovery, which the eClaims inbound HTTP services need. Terraform delivers portability of infrastructure definition, not equivalence of runtime.</w:t>
      </w:r>
    </w:p>
    <w:p>
      <w:r>
        <w:t>What eClaims delivers against the requirement is a portable artefact and a pre-analysed path, presented as such:</w:t>
      </w:r>
    </w:p>
    <w:p>
      <w:pPr>
        <w:pStyle w:val="ListParagraph"/>
        <w:numPr>
          <w:ilvl w:val="0"/>
          <w:numId w:val="40"/>
        </w:numPr>
      </w:pPr>
      <w:r>
        <w:t>The container image, not the orchestrator, is the portable unit. Every eClaims service is a standard OCI container image that starts Uvicorn internally, configured through environment variables and secret references, with no dependency on ECS or Fargate. The proof of concept already runs the same images under Docker Compose (SAD Section 8, POC coverage).</w:t>
      </w:r>
    </w:p>
    <w:p>
      <w:pPr>
        <w:pStyle w:val="ListParagraph"/>
        <w:numPr>
          <w:ilvl w:val="0"/>
          <w:numId w:val="40"/>
        </w:numPr>
      </w:pPr>
      <w:r>
        <w:t>If YCompany mandates on-premise hosting, eClaims moves to Kubernetes: EKS Anywhere, EKS Hybrid Nodes or another CNCF-conformant distribution such as OpenShift, as the SAD's on-premise profile states (Section 4, Deployment Options).</w:t>
      </w:r>
    </w:p>
    <w:p>
      <w:pPr>
        <w:pStyle w:val="ListParagraph"/>
        <w:numPr>
          <w:ilvl w:val="0"/>
          <w:numId w:val="40"/>
        </w:numPr>
      </w:pPr>
      <w:r>
        <w:t>Each ECS service definition is then rewritten as a Kubernetes Deployment, Service, HorizontalPodAutoscaler and Ingress. Images, configuration keys and application code are unchanged. That is bounded infrastructure work, recorded as risk R1 with its scope named, and not an application rewrite.</w:t>
      </w:r>
    </w:p>
    <w:p>
      <w:pPr>
        <w:pStyle w:val="ListParagraph"/>
        <w:numPr>
          <w:ilvl w:val="0"/>
          <w:numId w:val="40"/>
        </w:numPr>
      </w:pPr>
      <w:r>
        <w:t>Under a firm mandate the decision is re-run and eClaims standardises on Kubernetes in both estates rather than operating two orchestrators (Section 5.6).</w:t>
      </w:r>
    </w:p>
    <w:p>
      <w:r>
        <w:t>This is the same posture the Workflow Orchestration Engine DAR takes in naming Camunda as its on-premise fallback, and it matches the on-premise deployment profile in SAD Section 4.</w:t>
      </w:r>
    </w:p>
    <w:p>
      <w:pPr>
        <w:pStyle w:val="Heading2"/>
      </w:pPr>
      <w:bookmarkStart w:id="132" w:name="_Toc300000033"/>
      <w:r>
        <w:t>When to revisit</w:t>
      </w:r>
      <w:bookmarkEnd w:id="132"/>
    </w:p>
    <w:p>
      <w:r>
        <w:t>The recommendation should be revisited if any of the following becomes true. Kubernetes on EKS — 3.88 as a compute model, 3.97 as an orchestrator — is the credible runner-up in each case:</w:t>
      </w:r>
    </w:p>
    <w:p>
      <w:pPr>
        <w:pStyle w:val="ListParagraph"/>
        <w:numPr>
          <w:ilvl w:val="0"/>
          <w:numId w:val="40"/>
        </w:numPr>
      </w:pPr>
      <w:r>
        <w:t>YCompany mandates on-premise or multi-cloud hosting for eClaims.</w:t>
      </w:r>
    </w:p>
    <w:p>
      <w:pPr>
        <w:pStyle w:val="ListParagraph"/>
        <w:numPr>
          <w:ilvl w:val="0"/>
          <w:numId w:val="40"/>
        </w:numPr>
      </w:pPr>
      <w:r>
        <w:t>YCompany already operates a production Kubernetes platform and the team that runs it, so another workload costs almost nothing extra.</w:t>
      </w:r>
    </w:p>
    <w:p>
      <w:pPr>
        <w:pStyle w:val="ListParagraph"/>
        <w:numPr>
          <w:ilvl w:val="0"/>
          <w:numId w:val="40"/>
        </w:numPr>
      </w:pPr>
      <w:r>
        <w:t>eClaims grows into workloads that need capabilities only Kubernetes offers, such as operators, DaemonSets or a service mesh.</w:t>
      </w:r>
    </w:p>
    <w:p>
      <w:pPr>
        <w:pStyle w:val="ListParagraph"/>
        <w:numPr>
          <w:ilvl w:val="0"/>
          <w:numId w:val="40"/>
        </w:numPr>
      </w:pPr>
      <w:r>
        <w:t>eClaims reaches a scale at which bin packing on nodes saves more than Fargate's operational simplicity is worth. ECS can first move services to EC2-backed capacity without changing orchestrator.</w:t>
      </w:r>
    </w:p>
    <w:p>
      <w:r>
        <w:t>Serverless functions at 3.15 are not recommended for the service fleet, but they remain the right tool for genuinely event-driven glue — S3-triggered document processing, scheduled housekeeping, EventBridge handlers — and the SAD uses them there. The two models are complementary at the edges; the recommendation concerns the platform that hosts the services.</w:t>
      </w:r>
    </w:p>
    <w:p>
      <w:pPr>
        <w:pStyle w:val="Heading2"/>
      </w:pPr>
      <w:bookmarkStart w:id="133" w:name="_Toc300000034"/>
      <w:r>
        <w:t>Weaknesses on the record</w:t>
      </w:r>
      <w:bookmarkEnd w:id="133"/>
    </w:p>
    <w:p>
      <w:r>
        <w:t>The recommendation is made with its remaining weaknesses stated:</w:t>
      </w:r>
    </w:p>
    <w:p>
      <w:pPr>
        <w:pStyle w:val="ListParagraph"/>
        <w:numPr>
          <w:ilvl w:val="0"/>
          <w:numId w:val="40"/>
        </w:numPr>
      </w:pPr>
      <w:r>
        <w:t>Fargate cannot run on-premise, and ECS definitions are specific to AWS (risks R1 and R2).</w:t>
      </w:r>
    </w:p>
    <w:p>
      <w:pPr>
        <w:pStyle w:val="ListParagraph"/>
        <w:numPr>
          <w:ilvl w:val="0"/>
          <w:numId w:val="40"/>
        </w:numPr>
      </w:pPr>
      <w:r>
        <w:t>Per unit, Fargate compute costs more than well-utilised EC2 capacity, a trade that is favourable at eClaims Phase 1 scale and would need revisiting at substantially larger scale (R3).</w:t>
      </w:r>
    </w:p>
    <w:p>
      <w:pPr>
        <w:pStyle w:val="ListParagraph"/>
        <w:numPr>
          <w:ilvl w:val="0"/>
          <w:numId w:val="40"/>
        </w:numPr>
      </w:pPr>
      <w:r>
        <w:t>Task sizes come from fixed combinations, and Fargate quotas must be raised before go-live (R4).</w:t>
      </w:r>
    </w:p>
    <w:p>
      <w:pPr>
        <w:pStyle w:val="ListParagraph"/>
        <w:numPr>
          <w:ilvl w:val="0"/>
          <w:numId w:val="40"/>
        </w:numPr>
      </w:pPr>
      <w:r>
        <w:t>Scale-to-zero is not available as it is for functions, so a resting floor of capacity is always paid for.</w:t>
      </w:r>
    </w:p>
    <w:p>
      <w:pPr>
        <w:pStyle w:val="ListParagraph"/>
        <w:numPr>
          <w:ilvl w:val="0"/>
          <w:numId w:val="40"/>
        </w:numPr>
      </w:pPr>
      <w:r>
        <w:t>There is no GPU support and no privileged container access, neither of which eClaims requires.</w:t>
      </w:r>
    </w:p>
    <w:p>
      <w:r>
        <w:t>Section 8 sets out the mitigations.</w:t>
      </w:r>
    </w:p>
    <w:p>
      <w:r>
        <w:br w:type="page"/>
      </w:r>
    </w:p>
    <w:p>
      <w:pPr>
        <w:pStyle w:val="Heading1"/>
      </w:pPr>
      <w:bookmarkStart w:id="134" w:name="_Toc300000035"/>
      <w:r>
        <w:t>Assumptions</w:t>
      </w:r>
      <w:bookmarkEnd w:id="134"/>
    </w:p>
    <w:p>
      <w:r>
        <w:t>The following assumptions underpin this evaluation and recommendation. A material change to any of them should trigger a review.</w:t>
      </w:r>
    </w:p>
    <w:p>
      <w:pPr>
        <w:pStyle w:val="ListParagraph"/>
        <w:numPr>
          <w:ilvl w:val="0"/>
          <w:numId w:val="40"/>
        </w:numPr>
      </w:pPr>
      <w:r>
        <w:t>AWS is the target cloud — YCompany will adopt AWS as its cloud provider (SAD Section 10, Assumption 1), and Phase 1 is delivered on AWS; the on-premise profile is designed now and implemented only if YCompany mandates on-premise hosting (Assumption 10). The recommendation depends on this assumption more than on any other: withdrawing it restores the cloud-agnostic mandate under which Kubernetes is the stronger option.</w:t>
      </w:r>
    </w:p>
    <w:p>
      <w:pPr>
        <w:pStyle w:val="ListParagraph"/>
        <w:numPr>
          <w:ilvl w:val="0"/>
          <w:numId w:val="40"/>
        </w:numPr>
      </w:pPr>
      <w:r>
        <w:t>Regions — us-east-1 is the primary Region across three Availability Zones, and us-east-2 is a warm standby running the same services at minimum capacity (SAD Section 4, Deployment Topology). All prices are us-east-1 list prices, accessed on 30 September 2026; Fargate and the EKS control plane are priced the same in us-east-2 (accessed 29 October 2026).</w:t>
      </w:r>
    </w:p>
    <w:p>
      <w:pPr>
        <w:pStyle w:val="ListParagraph"/>
        <w:numPr>
          <w:ilvl w:val="0"/>
          <w:numId w:val="40"/>
        </w:numPr>
      </w:pPr>
      <w:r>
        <w:t>The container image is the portable unit — services are standard OCI images, built by the CI pipeline and stored in Amazon ECR, configured at runtime, with no dependency on ECS or Fargate behaviour.</w:t>
      </w:r>
    </w:p>
    <w:p>
      <w:pPr>
        <w:pStyle w:val="ListParagraph"/>
        <w:numPr>
          <w:ilvl w:val="0"/>
          <w:numId w:val="40"/>
        </w:numPr>
      </w:pPr>
      <w:r>
        <w:t>Infrastructure is defined in Terraform — infrastructure-as-code portability, which is not the same as runtime equivalence; the distinction is stated in Section 6.2 and carried as risk R1.</w:t>
      </w:r>
    </w:p>
    <w:p>
      <w:pPr>
        <w:pStyle w:val="ListParagraph"/>
        <w:numPr>
          <w:ilvl w:val="0"/>
          <w:numId w:val="40"/>
        </w:numPr>
      </w:pPr>
      <w:r>
        <w:t>The workload is a fleet of long-lived HTTP services — not a set of event-triggered functions and not a large, heterogeneous workload estate. The alternatives would score differently against a different workload shape.</w:t>
      </w:r>
    </w:p>
    <w:p>
      <w:pPr>
        <w:pStyle w:val="ListParagraph"/>
        <w:numPr>
          <w:ilvl w:val="0"/>
          <w:numId w:val="40"/>
        </w:numPr>
      </w:pPr>
      <w:r>
        <w:t>Scale basis — eight backend services averaging three concurrent tasks each at 1 vCPU and 2 GB, as derived in Section 4.4; costs scale with task-hours. The SAD lists thirteen Layer 3 services plus the Auth Service, and Sections 4.4 and 5.4 show the fourteen-service case. The service count changes compute cost equally under ECS and EKS, so it does not change the orchestrator decision.</w:t>
      </w:r>
    </w:p>
    <w:p>
      <w:pPr>
        <w:pStyle w:val="ListParagraph"/>
        <w:numPr>
          <w:ilvl w:val="0"/>
          <w:numId w:val="40"/>
        </w:numPr>
      </w:pPr>
      <w:r>
        <w:t>Four clusters — development, staging and production in us-east-1, and the production standby in us-east-2, each a separate cluster under either orchestrator. The EKS fee is charged per cluster; ECS clusters carry no charge.</w:t>
      </w:r>
    </w:p>
    <w:p>
      <w:pPr>
        <w:pStyle w:val="ListParagraph"/>
        <w:numPr>
          <w:ilvl w:val="0"/>
          <w:numId w:val="40"/>
        </w:numPr>
      </w:pPr>
      <w:r>
        <w:t>No existing Kubernetes platform is assumed — YCompany is not assumed to operate a Kubernetes platform or a team that runs one 24×7. If either is in place, the operational-overhead, Maintainability and Complexity scores move towards Kubernetes. The delivery team can build the Kubernetes on-premise profile if it is required.</w:t>
      </w:r>
    </w:p>
    <w:p>
      <w:pPr>
        <w:pStyle w:val="ListParagraph"/>
        <w:numPr>
          <w:ilvl w:val="0"/>
          <w:numId w:val="40"/>
        </w:numPr>
      </w:pPr>
      <w:r>
        <w:t>Data persists outside the compute tier — state lives in RDS, ElastiCache, S3 and OpenSearch, so tasks and pods are disposable and no option needs persistent local volumes.</w:t>
      </w:r>
    </w:p>
    <w:p>
      <w:pPr>
        <w:pStyle w:val="ListParagraph"/>
        <w:numPr>
          <w:ilvl w:val="0"/>
          <w:numId w:val="40"/>
        </w:numPr>
      </w:pPr>
      <w:r>
        <w:t>Autoscaling and managed services are used — capacity follows load automatically, and AWS-managed services are preferred where they remove operational work. Concurrency headroom is assessed at peak rather than average load.</w:t>
      </w:r>
    </w:p>
    <w:p>
      <w:pPr>
        <w:pStyle w:val="ListParagraph"/>
        <w:numPr>
          <w:ilvl w:val="0"/>
          <w:numId w:val="40"/>
        </w:numPr>
      </w:pPr>
      <w:r>
        <w:t>Operational effort is a cost — the standing effort to operate the platform is treated as real and recurring rather than negligible; the 15 to 21 person-days a year for Kubernetes upgrades is a planning estimate, not a measurement.</w:t>
      </w:r>
    </w:p>
    <w:p>
      <w:pPr>
        <w:pStyle w:val="ListParagraph"/>
        <w:numPr>
          <w:ilvl w:val="0"/>
          <w:numId w:val="40"/>
        </w:numPr>
      </w:pPr>
      <w:r>
        <w:t>Pricing is indicative — public list prices as at the document date, exclusive of taxes, Savings Plans, enterprise discounts and committed-use agreements, and not quotations.</w:t>
      </w:r>
    </w:p>
    <w:p>
      <w:r>
        <w:br w:type="page"/>
      </w:r>
    </w:p>
    <w:p>
      <w:pPr>
        <w:pStyle w:val="Heading1"/>
      </w:pPr>
      <w:bookmarkStart w:id="135" w:name="_Toc300000036"/>
      <w:r>
        <w:t>Risks</w:t>
      </w:r>
      <w:bookmarkEnd w:id="135"/>
    </w:p>
    <w:p>
      <w:r>
        <w:t>The following risks arise from the recommended option, with the mitigation carried in the architecture rather than deferred to implementation. Likelihood and impact are rated High, Medium or Low for eClaims Phase 1.</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708"/>
        <w:gridCol w:w="1843"/>
        <w:gridCol w:w="2395"/>
        <w:gridCol w:w="1387"/>
        <w:gridCol w:w="2693"/>
      </w:tblGrid>
      <w:tr>
        <w:trPr>
          <w:cantSplit/>
          <w:tblHeader/>
        </w:trPr>
        <w:tc>
          <w:tcPr>
            <w:tcW w:w="70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Risk ID</w:t>
            </w:r>
          </w:p>
        </w:tc>
        <w:tc>
          <w:tcPr>
            <w:tcW w:w="184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Risk Area</w:t>
            </w:r>
          </w:p>
        </w:tc>
        <w:tc>
          <w:tcPr>
            <w:tcW w:w="2395"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Risk Description</w:t>
            </w:r>
          </w:p>
        </w:tc>
        <w:tc>
          <w:tcPr>
            <w:tcW w:w="138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Likelihood / Impact</w:t>
            </w:r>
          </w:p>
        </w:tc>
        <w:tc>
          <w:tcPr>
            <w:tcW w:w="269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Mitigation Strategy</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R1</w:t>
            </w:r>
          </w:p>
        </w:tc>
        <w:tc>
          <w:tcPr>
            <w:tcW w:w="1843" w:type="dxa"/>
            <w:tcBorders>
              <w:top w:val="dotted" w:sz="4" w:space="0" w:color="auto"/>
              <w:left w:val="dotted" w:sz="4" w:space="0" w:color="auto"/>
              <w:bottom w:val="dotted" w:sz="4" w:space="0" w:color="auto"/>
              <w:right w:val="dotted" w:sz="4" w:space="0" w:color="auto"/>
            </w:tcBorders>
          </w:tcPr>
          <w:p>
            <w:pPr>
              <w:pStyle w:val="NoSpacing"/>
            </w:pPr>
            <w:r>
              <w:t>Late on-premise mandate</w:t>
            </w:r>
          </w:p>
        </w:tc>
        <w:tc>
          <w:tcPr>
            <w:tcW w:w="2395" w:type="dxa"/>
            <w:tcBorders>
              <w:top w:val="dotted" w:sz="4" w:space="0" w:color="auto"/>
              <w:left w:val="dotted" w:sz="4" w:space="0" w:color="auto"/>
              <w:bottom w:val="dotted" w:sz="4" w:space="0" w:color="auto"/>
              <w:right w:val="dotted" w:sz="4" w:space="0" w:color="auto"/>
            </w:tcBorders>
          </w:tcPr>
          <w:p>
            <w:pPr>
              <w:pStyle w:val="NoSpacing"/>
            </w:pPr>
            <w:r>
              <w:t>A regulatory or organisational decision requires eClaims to run on-premise. Fargate is AWS-only, and ECS Anywhere runs on external instances, still depends on an AWS-hosted control plane and does not suit inbound HTTP services. This is the option's single largest weakness.</w:t>
            </w:r>
          </w:p>
        </w:tc>
        <w:tc>
          <w:tcPr>
            <w:tcW w:w="1387" w:type="dxa"/>
            <w:tcBorders>
              <w:top w:val="dotted" w:sz="4" w:space="0" w:color="auto"/>
              <w:left w:val="dotted" w:sz="4" w:space="0" w:color="auto"/>
              <w:bottom w:val="dotted" w:sz="4" w:space="0" w:color="auto"/>
              <w:right w:val="dotted" w:sz="4" w:space="0" w:color="auto"/>
            </w:tcBorders>
          </w:tcPr>
          <w:p>
            <w:pPr>
              <w:pStyle w:val="NoSpacing"/>
            </w:pPr>
            <w:r>
              <w:t>Medium / High</w:t>
            </w:r>
          </w:p>
        </w:tc>
        <w:tc>
          <w:tcPr>
            <w:tcW w:w="2693" w:type="dxa"/>
            <w:tcBorders>
              <w:top w:val="dotted" w:sz="4" w:space="0" w:color="auto"/>
              <w:left w:val="dotted" w:sz="4" w:space="0" w:color="auto"/>
              <w:bottom w:val="dotted" w:sz="4" w:space="0" w:color="auto"/>
              <w:right w:val="dotted" w:sz="4" w:space="0" w:color="auto"/>
            </w:tcBorders>
          </w:tcPr>
          <w:p>
            <w:pPr>
              <w:pStyle w:val="NoSpacing"/>
            </w:pPr>
            <w:r>
              <w:t>Kubernetes is the path already analysed (Section 6.2; SAD Section 4, Deployment Options). Services are standard OCI images with externalised configuration, so the move is confined to re-expressing task definitions, scaling policies and load-balancer bindings as Kubernetes manifests. Keep it proven at low cost: a periodic CI job deploys the same images to a local conformant cluster from a minimal Helm chart, so working manifests exist before they are needed. On a firm mandate, re-run this decision and standardise on Kubernetes in both estates.</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R2</w:t>
            </w:r>
          </w:p>
        </w:tc>
        <w:tc>
          <w:tcPr>
            <w:tcW w:w="1843" w:type="dxa"/>
            <w:tcBorders>
              <w:top w:val="dotted" w:sz="4" w:space="0" w:color="auto"/>
              <w:left w:val="dotted" w:sz="4" w:space="0" w:color="auto"/>
              <w:bottom w:val="dotted" w:sz="4" w:space="0" w:color="auto"/>
              <w:right w:val="dotted" w:sz="4" w:space="0" w:color="auto"/>
            </w:tcBorders>
          </w:tcPr>
          <w:p>
            <w:pPr>
              <w:pStyle w:val="NoSpacing"/>
            </w:pPr>
            <w:r>
              <w:t>ECS and AWS platform lock-in</w:t>
            </w:r>
          </w:p>
        </w:tc>
        <w:tc>
          <w:tcPr>
            <w:tcW w:w="2395" w:type="dxa"/>
            <w:tcBorders>
              <w:top w:val="dotted" w:sz="4" w:space="0" w:color="auto"/>
              <w:left w:val="dotted" w:sz="4" w:space="0" w:color="auto"/>
              <w:bottom w:val="dotted" w:sz="4" w:space="0" w:color="auto"/>
              <w:right w:val="dotted" w:sz="4" w:space="0" w:color="auto"/>
            </w:tcBorders>
          </w:tcPr>
          <w:p>
            <w:pPr>
              <w:pStyle w:val="NoSpacing"/>
            </w:pPr>
            <w:r>
              <w:t>Task definitions, services, scaling policies, load-balancer bindings and the CodeDeploy release path are specific to ECS and AWS, so leaving ECS means rebuilding the deployment layer.</w:t>
            </w:r>
          </w:p>
        </w:tc>
        <w:tc>
          <w:tcPr>
            <w:tcW w:w="1387" w:type="dxa"/>
            <w:tcBorders>
              <w:top w:val="dotted" w:sz="4" w:space="0" w:color="auto"/>
              <w:left w:val="dotted" w:sz="4" w:space="0" w:color="auto"/>
              <w:bottom w:val="dotted" w:sz="4" w:space="0" w:color="auto"/>
              <w:right w:val="dotted" w:sz="4" w:space="0" w:color="auto"/>
            </w:tcBorders>
          </w:tcPr>
          <w:p>
            <w:pPr>
              <w:pStyle w:val="NoSpacing"/>
            </w:pPr>
            <w:r>
              <w:t>Low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Keep every ECS-specific setting in Terraform modules and none in application code. Use one health endpoint for ECS health checks, ALB target groups and Kubernetes probes alike. As part of the on-premise profile, maintain the mapping from each ECS object to its Kubernetes equivalent: task definition to pod specification, service to Deployment and Service, scaling policy to HorizontalPodAutoscaler, target group to Ingress.</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R3</w:t>
            </w:r>
          </w:p>
        </w:tc>
        <w:tc>
          <w:tcPr>
            <w:tcW w:w="1843" w:type="dxa"/>
            <w:tcBorders>
              <w:top w:val="dotted" w:sz="4" w:space="0" w:color="auto"/>
              <w:left w:val="dotted" w:sz="4" w:space="0" w:color="auto"/>
              <w:bottom w:val="dotted" w:sz="4" w:space="0" w:color="auto"/>
              <w:right w:val="dotted" w:sz="4" w:space="0" w:color="auto"/>
            </w:tcBorders>
          </w:tcPr>
          <w:p>
            <w:pPr>
              <w:pStyle w:val="NoSpacing"/>
            </w:pPr>
            <w:r>
              <w:t>Compute cost premium at scale</w:t>
            </w:r>
          </w:p>
        </w:tc>
        <w:tc>
          <w:tcPr>
            <w:tcW w:w="2395" w:type="dxa"/>
            <w:tcBorders>
              <w:top w:val="dotted" w:sz="4" w:space="0" w:color="auto"/>
              <w:left w:val="dotted" w:sz="4" w:space="0" w:color="auto"/>
              <w:bottom w:val="dotted" w:sz="4" w:space="0" w:color="auto"/>
              <w:right w:val="dotted" w:sz="4" w:space="0" w:color="auto"/>
            </w:tcBorders>
          </w:tcPr>
          <w:p>
            <w:pPr>
              <w:pStyle w:val="NoSpacing"/>
            </w:pPr>
            <w:r>
              <w:t>Per unit, Fargate costs more than well-utilised EC2 capacity, so at much higher sustained load the compute bill would grow faster than on instances.</w:t>
            </w:r>
          </w:p>
        </w:tc>
        <w:tc>
          <w:tcPr>
            <w:tcW w:w="1387" w:type="dxa"/>
            <w:tcBorders>
              <w:top w:val="dotted" w:sz="4" w:space="0" w:color="auto"/>
              <w:left w:val="dotted" w:sz="4" w:space="0" w:color="auto"/>
              <w:bottom w:val="dotted" w:sz="4" w:space="0" w:color="auto"/>
              <w:right w:val="dotted" w:sz="4" w:space="0" w:color="auto"/>
            </w:tcBorders>
          </w:tcPr>
          <w:p>
            <w:pPr>
              <w:pStyle w:val="NoSpacing"/>
            </w:pPr>
            <w:r>
              <w:t>Medium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Right-size tasks from load-test data rather than for peak. Cover the steady floor with a Compute Savings Plan (up to 50% off). Move services to Graviton (about 20% lower rates), and interruptible jobs and non-production environments to Fargate Spot (up to 70% off). Track cost per service with budgets and anomaly alerts. Treat the crossover in Section 4.4 as a review trigger: if sustained use reaches it, move services to EC2-backed ECS capacity, including ECS Managed Instances, without changing orchestrator.</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R4</w:t>
            </w:r>
          </w:p>
        </w:tc>
        <w:tc>
          <w:tcPr>
            <w:tcW w:w="1843" w:type="dxa"/>
            <w:tcBorders>
              <w:top w:val="dotted" w:sz="4" w:space="0" w:color="auto"/>
              <w:left w:val="dotted" w:sz="4" w:space="0" w:color="auto"/>
              <w:bottom w:val="dotted" w:sz="4" w:space="0" w:color="auto"/>
              <w:right w:val="dotted" w:sz="4" w:space="0" w:color="auto"/>
            </w:tcBorders>
          </w:tcPr>
          <w:p>
            <w:pPr>
              <w:pStyle w:val="NoSpacing"/>
            </w:pPr>
            <w:r>
              <w:t>Fargate limits and quotas</w:t>
            </w:r>
          </w:p>
        </w:tc>
        <w:tc>
          <w:tcPr>
            <w:tcW w:w="2395" w:type="dxa"/>
            <w:tcBorders>
              <w:top w:val="dotted" w:sz="4" w:space="0" w:color="auto"/>
              <w:left w:val="dotted" w:sz="4" w:space="0" w:color="auto"/>
              <w:bottom w:val="dotted" w:sz="4" w:space="0" w:color="auto"/>
              <w:right w:val="dotted" w:sz="4" w:space="0" w:color="auto"/>
            </w:tcBorders>
          </w:tcPr>
          <w:p>
            <w:pPr>
              <w:pStyle w:val="NoSpacing"/>
            </w:pPr>
            <w:r>
              <w:t>The Fargate On-Demand vCPU quota starts at 6 vCPU in a new account. Launches are rate-limited: 500 tasks per service per minute, and a sustained 20 tasks per second per account. Task sizes come from fixed combinations. A catastrophe-day spike, or a blue-green deployment that briefly doubles the task count, could hit a quota.</w:t>
            </w:r>
          </w:p>
        </w:tc>
        <w:tc>
          <w:tcPr>
            <w:tcW w:w="1387" w:type="dxa"/>
            <w:tcBorders>
              <w:top w:val="dotted" w:sz="4" w:space="0" w:color="auto"/>
              <w:left w:val="dotted" w:sz="4" w:space="0" w:color="auto"/>
              <w:bottom w:val="dotted" w:sz="4" w:space="0" w:color="auto"/>
              <w:right w:val="dotted" w:sz="4" w:space="0" w:color="auto"/>
            </w:tcBorders>
          </w:tcPr>
          <w:p>
            <w:pPr>
              <w:pStyle w:val="NoSpacing"/>
            </w:pPr>
            <w:r>
              <w:t>Medium / High</w:t>
            </w:r>
          </w:p>
        </w:tc>
        <w:tc>
          <w:tcPr>
            <w:tcW w:w="2693" w:type="dxa"/>
            <w:tcBorders>
              <w:top w:val="dotted" w:sz="4" w:space="0" w:color="auto"/>
              <w:left w:val="dotted" w:sz="4" w:space="0" w:color="auto"/>
              <w:bottom w:val="dotted" w:sz="4" w:space="0" w:color="auto"/>
              <w:right w:val="dotted" w:sz="4" w:space="0" w:color="auto"/>
            </w:tcBorders>
          </w:tcPr>
          <w:p>
            <w:pPr>
              <w:pStyle w:val="NoSpacing"/>
            </w:pPr>
            <w:r>
              <w:t>Before go-live, size the vCPU quota from the maximum task counts in SAD Section 9.4 (20 for Claims, 10 for each other service) at the chosen task size, doubled for blue-green — about 150 to 300 vCPU for fourteen services. Raise the quota through Service Quotas in each account and Region, and alarm on quota utilisation. Confirm task sizes and scale-out timing in the load tests in SAD Section 9.5. eClaims needs no GPUs or privileged containers.</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R5</w:t>
            </w:r>
          </w:p>
        </w:tc>
        <w:tc>
          <w:tcPr>
            <w:tcW w:w="1843" w:type="dxa"/>
            <w:tcBorders>
              <w:top w:val="dotted" w:sz="4" w:space="0" w:color="auto"/>
              <w:left w:val="dotted" w:sz="4" w:space="0" w:color="auto"/>
              <w:bottom w:val="dotted" w:sz="4" w:space="0" w:color="auto"/>
              <w:right w:val="dotted" w:sz="4" w:space="0" w:color="auto"/>
            </w:tcBorders>
          </w:tcPr>
          <w:p>
            <w:pPr>
              <w:pStyle w:val="NoSpacing"/>
            </w:pPr>
            <w:r>
              <w:t>Scale-out lag under a demand spike</w:t>
            </w:r>
          </w:p>
        </w:tc>
        <w:tc>
          <w:tcPr>
            <w:tcW w:w="2395" w:type="dxa"/>
            <w:tcBorders>
              <w:top w:val="dotted" w:sz="4" w:space="0" w:color="auto"/>
              <w:left w:val="dotted" w:sz="4" w:space="0" w:color="auto"/>
              <w:bottom w:val="dotted" w:sz="4" w:space="0" w:color="auto"/>
              <w:right w:val="dotted" w:sz="4" w:space="0" w:color="auto"/>
            </w:tcBorders>
          </w:tcPr>
          <w:p>
            <w:pPr>
              <w:pStyle w:val="NoSpacing"/>
            </w:pPr>
            <w:r>
              <w:t>A Fargate task takes tens of seconds to pull its image and become healthy, so a sharp spike can arrive faster than new capacity, putting the 5,000 ms target at risk during the scale-out window.</w:t>
            </w:r>
          </w:p>
        </w:tc>
        <w:tc>
          <w:tcPr>
            <w:tcW w:w="1387" w:type="dxa"/>
            <w:tcBorders>
              <w:top w:val="dotted" w:sz="4" w:space="0" w:color="auto"/>
              <w:left w:val="dotted" w:sz="4" w:space="0" w:color="auto"/>
              <w:bottom w:val="dotted" w:sz="4" w:space="0" w:color="auto"/>
              <w:right w:val="dotted" w:sz="4" w:space="0" w:color="auto"/>
            </w:tcBorders>
          </w:tcPr>
          <w:p>
            <w:pPr>
              <w:pStyle w:val="NoSpacing"/>
            </w:pPr>
            <w:r>
              <w:t>Medium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A resting floor of at least two tasks per service across Availability Zones (SAD Section 9.3), with scheduled pre-scaling for known peaks; target tracking on request count with conservative thresholds so scaling begins before saturation; slim container images to shorten pull time; Redis caching and SQS-based decoupling to absorb the spike while capacity arrives.</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R6</w:t>
            </w:r>
          </w:p>
        </w:tc>
        <w:tc>
          <w:tcPr>
            <w:tcW w:w="1843" w:type="dxa"/>
            <w:tcBorders>
              <w:top w:val="dotted" w:sz="4" w:space="0" w:color="auto"/>
              <w:left w:val="dotted" w:sz="4" w:space="0" w:color="auto"/>
              <w:bottom w:val="dotted" w:sz="4" w:space="0" w:color="auto"/>
              <w:right w:val="dotted" w:sz="4" w:space="0" w:color="auto"/>
            </w:tcBorders>
          </w:tcPr>
          <w:p>
            <w:pPr>
              <w:pStyle w:val="NoSpacing"/>
            </w:pPr>
            <w:r>
              <w:t>Fargate platform maintenance during a peak</w:t>
            </w:r>
          </w:p>
        </w:tc>
        <w:tc>
          <w:tcPr>
            <w:tcW w:w="2395" w:type="dxa"/>
            <w:tcBorders>
              <w:top w:val="dotted" w:sz="4" w:space="0" w:color="auto"/>
              <w:left w:val="dotted" w:sz="4" w:space="0" w:color="auto"/>
              <w:bottom w:val="dotted" w:sz="4" w:space="0" w:color="auto"/>
              <w:right w:val="dotted" w:sz="4" w:space="0" w:color="auto"/>
            </w:tcBorders>
          </w:tcPr>
          <w:p>
            <w:pPr>
              <w:pStyle w:val="NoSpacing"/>
            </w:pPr>
            <w:r>
              <w:t>AWS retires old platform revisions on its own schedule. Replacements during a claims surge add churn, and a replacement that fails to start reduces capacity.</w:t>
            </w:r>
          </w:p>
        </w:tc>
        <w:tc>
          <w:tcPr>
            <w:tcW w:w="1387" w:type="dxa"/>
            <w:tcBorders>
              <w:top w:val="dotted" w:sz="4" w:space="0" w:color="auto"/>
              <w:left w:val="dotted" w:sz="4" w:space="0" w:color="auto"/>
              <w:bottom w:val="dotted" w:sz="4" w:space="0" w:color="auto"/>
              <w:right w:val="dotted" w:sz="4" w:space="0" w:color="auto"/>
            </w:tcBorders>
          </w:tcPr>
          <w:p>
            <w:pPr>
              <w:pStyle w:val="NoSpacing"/>
            </w:pPr>
            <w:r>
              <w:t>Low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Services start each replacement task before stopping the old one. Keep at least two tasks per service across Availability Zones (SAD Section 9.4). Set the fourteen-day retirement wait, or EC2 event windows, so replacements happen outside peak hours. Route AWS Health retirement notices through EventBridge to the operations channel.</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R7</w:t>
            </w:r>
          </w:p>
        </w:tc>
        <w:tc>
          <w:tcPr>
            <w:tcW w:w="1843" w:type="dxa"/>
            <w:tcBorders>
              <w:top w:val="dotted" w:sz="4" w:space="0" w:color="auto"/>
              <w:left w:val="dotted" w:sz="4" w:space="0" w:color="auto"/>
              <w:bottom w:val="dotted" w:sz="4" w:space="0" w:color="auto"/>
              <w:right w:val="dotted" w:sz="4" w:space="0" w:color="auto"/>
            </w:tcBorders>
          </w:tcPr>
          <w:p>
            <w:pPr>
              <w:pStyle w:val="NoSpacing"/>
            </w:pPr>
            <w:r>
              <w:t>Least-privilege drift in task roles</w:t>
            </w:r>
          </w:p>
        </w:tc>
        <w:tc>
          <w:tcPr>
            <w:tcW w:w="2395" w:type="dxa"/>
            <w:tcBorders>
              <w:top w:val="dotted" w:sz="4" w:space="0" w:color="auto"/>
              <w:left w:val="dotted" w:sz="4" w:space="0" w:color="auto"/>
              <w:bottom w:val="dotted" w:sz="4" w:space="0" w:color="auto"/>
              <w:right w:val="dotted" w:sz="4" w:space="0" w:color="auto"/>
            </w:tcBorders>
          </w:tcPr>
          <w:p>
            <w:pPr>
              <w:pStyle w:val="NoSpacing"/>
            </w:pPr>
            <w:r>
              <w:t>An IAM role per task is a strength only while the roles stay narrow; permissions accumulate over time and a broad task role weakens the isolation the option was credited with.</w:t>
            </w:r>
          </w:p>
        </w:tc>
        <w:tc>
          <w:tcPr>
            <w:tcW w:w="1387" w:type="dxa"/>
            <w:tcBorders>
              <w:top w:val="dotted" w:sz="4" w:space="0" w:color="auto"/>
              <w:left w:val="dotted" w:sz="4" w:space="0" w:color="auto"/>
              <w:bottom w:val="dotted" w:sz="4" w:space="0" w:color="auto"/>
              <w:right w:val="dotted" w:sz="4" w:space="0" w:color="auto"/>
            </w:tcBorders>
          </w:tcPr>
          <w:p>
            <w:pPr>
              <w:pStyle w:val="NoSpacing"/>
            </w:pPr>
            <w:r>
              <w:t>Medium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Task roles are defined in Terraform and reviewed as code; permissions are scoped per service to named resources; IAM Access Analyzer findings are reviewed on the same cadence as dependency scanning.</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R8</w:t>
            </w:r>
          </w:p>
        </w:tc>
        <w:tc>
          <w:tcPr>
            <w:tcW w:w="1843" w:type="dxa"/>
            <w:tcBorders>
              <w:top w:val="dotted" w:sz="4" w:space="0" w:color="auto"/>
              <w:left w:val="dotted" w:sz="4" w:space="0" w:color="auto"/>
              <w:bottom w:val="dotted" w:sz="4" w:space="0" w:color="auto"/>
              <w:right w:val="dotted" w:sz="4" w:space="0" w:color="auto"/>
            </w:tcBorders>
          </w:tcPr>
          <w:p>
            <w:pPr>
              <w:pStyle w:val="NoSpacing"/>
            </w:pPr>
            <w:r>
              <w:t>Observability gaps at the task boundary</w:t>
            </w:r>
          </w:p>
        </w:tc>
        <w:tc>
          <w:tcPr>
            <w:tcW w:w="2395" w:type="dxa"/>
            <w:tcBorders>
              <w:top w:val="dotted" w:sz="4" w:space="0" w:color="auto"/>
              <w:left w:val="dotted" w:sz="4" w:space="0" w:color="auto"/>
              <w:bottom w:val="dotted" w:sz="4" w:space="0" w:color="auto"/>
              <w:right w:val="dotted" w:sz="4" w:space="0" w:color="auto"/>
            </w:tcBorders>
          </w:tcPr>
          <w:p>
            <w:pPr>
              <w:pStyle w:val="NoSpacing"/>
            </w:pPr>
            <w:r>
              <w:t>Tasks are replaced automatically and their local state is lost with them, so a failure diagnosed after the fact has no host to inspect.</w:t>
            </w:r>
          </w:p>
        </w:tc>
        <w:tc>
          <w:tcPr>
            <w:tcW w:w="1387" w:type="dxa"/>
            <w:tcBorders>
              <w:top w:val="dotted" w:sz="4" w:space="0" w:color="auto"/>
              <w:left w:val="dotted" w:sz="4" w:space="0" w:color="auto"/>
              <w:bottom w:val="dotted" w:sz="4" w:space="0" w:color="auto"/>
              <w:right w:val="dotted" w:sz="4" w:space="0" w:color="auto"/>
            </w:tcBorders>
          </w:tcPr>
          <w:p>
            <w:pPr>
              <w:pStyle w:val="NoSpacing"/>
            </w:pPr>
            <w:r>
              <w:t>Low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Structured JSON logs are shipped to CloudWatch Logs off-host; Container Insights supplies task-level metrics and X-Ray distributed traces; stopped-task reasons and exit codes are retained and alarmed, so a replacement is an event with a record rather than a silent recovery.</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R9</w:t>
            </w:r>
          </w:p>
        </w:tc>
        <w:tc>
          <w:tcPr>
            <w:tcW w:w="1843" w:type="dxa"/>
            <w:tcBorders>
              <w:top w:val="dotted" w:sz="4" w:space="0" w:color="auto"/>
              <w:left w:val="dotted" w:sz="4" w:space="0" w:color="auto"/>
              <w:bottom w:val="dotted" w:sz="4" w:space="0" w:color="auto"/>
              <w:right w:val="dotted" w:sz="4" w:space="0" w:color="auto"/>
            </w:tcBorders>
          </w:tcPr>
          <w:p>
            <w:pPr>
              <w:pStyle w:val="NoSpacing"/>
            </w:pPr>
            <w:r>
              <w:t>Kubernetes skills gap if the on-premise path is triggered</w:t>
            </w:r>
          </w:p>
        </w:tc>
        <w:tc>
          <w:tcPr>
            <w:tcW w:w="2395" w:type="dxa"/>
            <w:tcBorders>
              <w:top w:val="dotted" w:sz="4" w:space="0" w:color="auto"/>
              <w:left w:val="dotted" w:sz="4" w:space="0" w:color="auto"/>
              <w:bottom w:val="dotted" w:sz="4" w:space="0" w:color="auto"/>
              <w:right w:val="dotted" w:sz="4" w:space="0" w:color="auto"/>
            </w:tcBorders>
          </w:tcPr>
          <w:p>
            <w:pPr>
              <w:pStyle w:val="NoSpacing"/>
            </w:pPr>
            <w:r>
              <w:t>Phase 1 builds ECS skills, and YCompany's operations team may lack the cluster-operations skills Kubernetes needs.</w:t>
            </w:r>
          </w:p>
        </w:tc>
        <w:tc>
          <w:tcPr>
            <w:tcW w:w="1387" w:type="dxa"/>
            <w:tcBorders>
              <w:top w:val="dotted" w:sz="4" w:space="0" w:color="auto"/>
              <w:left w:val="dotted" w:sz="4" w:space="0" w:color="auto"/>
              <w:bottom w:val="dotted" w:sz="4" w:space="0" w:color="auto"/>
              <w:right w:val="dotted" w:sz="4" w:space="0" w:color="auto"/>
            </w:tcBorders>
          </w:tcPr>
          <w:p>
            <w:pPr>
              <w:pStyle w:val="NoSpacing"/>
            </w:pPr>
            <w:r>
              <w:t>Medium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Keep the on-premise profile's manifests in the repository and in use (R1). Name Kubernetes-skilled engineers in the delivery team for any transition. Budget Kubernetes training and vendor support in the on-premise implementation, which is outside the Phase 1 estimate (SAD Section 10, Assumption 10): the EKS Anywhere Enterprise Subscription (USD 24,000 per cluster per year) or a supported distribution.</w:t>
            </w:r>
          </w:p>
        </w:tc>
      </w:tr>
    </w:tbl>
    <w:p/>
    <w:p>
      <w:r>
        <w:br w:type="page"/>
      </w:r>
    </w:p>
    <w:p>
      <w:pPr>
        <w:pStyle w:val="Heading1"/>
      </w:pPr>
      <w:bookmarkStart w:id="136" w:name="_Toc300000037"/>
      <w:r>
        <w:t>Appendix</w:t>
      </w:r>
      <w:bookmarkEnd w:id="136"/>
    </w:p>
    <w:p>
      <w:pPr>
        <w:pStyle w:val="Heading2"/>
      </w:pPr>
      <w:bookmarkStart w:id="137" w:name="_Toc300000038"/>
      <w:r>
        <w:t>References</w:t>
      </w:r>
      <w:bookmarkEnd w:id="137"/>
    </w:p>
    <w:p>
      <w:r>
        <w:t>The following documents and sources were used in preparing this DAR. Web sources were accessed on 30 September 2026 unless stated otherwise.</w:t>
      </w:r>
    </w:p>
    <w:p>
      <w:r>
        <w:rPr>
          <w:b/>
        </w:rPr>
        <w:t>eClaims documents</w:t>
      </w:r>
    </w:p>
    <w:p>
      <w:pPr>
        <w:pStyle w:val="ListParagraph"/>
        <w:numPr>
          <w:ilvl w:val="0"/>
          <w:numId w:val="40"/>
        </w:numPr>
      </w:pPr>
      <w:r>
        <w:t>eClaims Solution Approach Document (SAD) v1.9 — docs/sad/solution-approach-document.md: Section 4 (Layers 3 to 6, Deployment Topology, CI/CD Pipeline, Deployment Options), Section 7, Section 8 including POC coverage, Section 9 (9.1 to 9.5), Section 10 (Assumptions 1 and 10)</w:t>
      </w:r>
    </w:p>
    <w:p>
      <w:pPr>
        <w:pStyle w:val="ListParagraph"/>
        <w:numPr>
          <w:ilvl w:val="0"/>
          <w:numId w:val="40"/>
        </w:numPr>
      </w:pPr>
      <w:r>
        <w:t>eClaims Case Study — requirements/eClaims - Insurance -Senior Staff Engineer.pdf: Section 5 (Design Requirements), Section 5.1 (Functional Requirements) and Section 5.2 (Non-Functional Requirements)</w:t>
      </w:r>
    </w:p>
    <w:p>
      <w:pPr>
        <w:pStyle w:val="ListParagraph"/>
        <w:numPr>
          <w:ilvl w:val="0"/>
          <w:numId w:val="40"/>
        </w:numPr>
      </w:pPr>
      <w:r>
        <w:t>eClaims Proof-of-Concept implementation — src/backend/claims-service and src/backend/auth-service (container images started by Uvicorn)</w:t>
      </w:r>
    </w:p>
    <w:p>
      <w:pPr>
        <w:pStyle w:val="ListParagraph"/>
        <w:numPr>
          <w:ilvl w:val="0"/>
          <w:numId w:val="40"/>
        </w:numPr>
      </w:pPr>
      <w:r>
        <w:t>DAR — Backend Framework Selection — docs/dar/Utsav_eClaims_DAR_Backend.docx</w:t>
      </w:r>
    </w:p>
    <w:p>
      <w:pPr>
        <w:pStyle w:val="ListParagraph"/>
        <w:numPr>
          <w:ilvl w:val="0"/>
          <w:numId w:val="40"/>
        </w:numPr>
      </w:pPr>
      <w:r>
        <w:t>DAR — Workflow Orchestration Engine Selection — docs/dar/Utsav_eClaims_DAR_Orchestration_Engine.docx (Camunda named as the on-premise fallback)</w:t>
      </w:r>
    </w:p>
    <w:p>
      <w:r>
        <w:rPr>
          <w:b/>
        </w:rPr>
        <w:t>AWS pricing (US East, N. Virginia)</w:t>
      </w:r>
    </w:p>
    <w:p>
      <w:pPr>
        <w:pStyle w:val="ListParagraph"/>
        <w:numPr>
          <w:ilvl w:val="0"/>
          <w:numId w:val="40"/>
        </w:numPr>
      </w:pPr>
      <w:r>
        <w:t>AWS Fargate Pricing — https://aws.amazon.com/fargate/pricing/</w:t>
      </w:r>
    </w:p>
    <w:p>
      <w:pPr>
        <w:pStyle w:val="ListParagraph"/>
        <w:numPr>
          <w:ilvl w:val="0"/>
          <w:numId w:val="40"/>
        </w:numPr>
      </w:pPr>
      <w:r>
        <w:t>Amazon ECS Pricing — https://aws.amazon.com/ecs/pricing/</w:t>
      </w:r>
    </w:p>
    <w:p>
      <w:pPr>
        <w:pStyle w:val="ListParagraph"/>
        <w:numPr>
          <w:ilvl w:val="0"/>
          <w:numId w:val="40"/>
        </w:numPr>
      </w:pPr>
      <w:r>
        <w:t>Amazon EKS Pricing — https://aws.amazon.com/eks/pricing/</w:t>
      </w:r>
    </w:p>
    <w:p>
      <w:pPr>
        <w:pStyle w:val="ListParagraph"/>
        <w:numPr>
          <w:ilvl w:val="0"/>
          <w:numId w:val="40"/>
        </w:numPr>
      </w:pPr>
      <w:r>
        <w:t>Amazon EKS Anywhere Pricing — https://aws.amazon.com/eks/eks-anywhere/pricing/</w:t>
      </w:r>
    </w:p>
    <w:p>
      <w:pPr>
        <w:pStyle w:val="ListParagraph"/>
        <w:numPr>
          <w:ilvl w:val="0"/>
          <w:numId w:val="40"/>
        </w:numPr>
      </w:pPr>
      <w:r>
        <w:t>Amazon EC2 On-Demand Pricing — https://aws.amazon.com/ec2/pricing/on-demand/</w:t>
      </w:r>
    </w:p>
    <w:p>
      <w:pPr>
        <w:pStyle w:val="ListParagraph"/>
        <w:numPr>
          <w:ilvl w:val="0"/>
          <w:numId w:val="40"/>
        </w:numPr>
      </w:pPr>
      <w:r>
        <w:t>AWS Lambda Pricing — https://aws.amazon.com/lambda/pricing/</w:t>
      </w:r>
    </w:p>
    <w:p>
      <w:pPr>
        <w:pStyle w:val="ListParagraph"/>
        <w:numPr>
          <w:ilvl w:val="0"/>
          <w:numId w:val="40"/>
        </w:numPr>
      </w:pPr>
      <w:r>
        <w:t>AWS Price List API, Amazon ECS offer file for us-east-1 — https://pricing.us-east-1.amazonaws.com/offers/v1.0/aws/AmazonECS/current/us-east-1/index.json (published 11 September 2026)</w:t>
      </w:r>
    </w:p>
    <w:p>
      <w:pPr>
        <w:pStyle w:val="ListParagraph"/>
        <w:numPr>
          <w:ilvl w:val="0"/>
          <w:numId w:val="40"/>
        </w:numPr>
      </w:pPr>
      <w:r>
        <w:t>AWS Price List API, Amazon EKS offer file for us-east-1 — https://pricing.us-east-1.amazonaws.com/offers/v1.0/aws/AmazonEKS/current/us-east-1/index.json (published 28 September 2026)</w:t>
      </w:r>
    </w:p>
    <w:p>
      <w:r>
        <w:rPr>
          <w:b/>
        </w:rPr>
        <w:t>AWS documentation</w:t>
      </w:r>
    </w:p>
    <w:p>
      <w:pPr>
        <w:pStyle w:val="ListParagraph"/>
        <w:numPr>
          <w:ilvl w:val="0"/>
          <w:numId w:val="40"/>
        </w:numPr>
      </w:pPr>
      <w:r>
        <w:t>Amazon ECS Developer Guide — https://docs.aws.amazon.com/ecs/</w:t>
      </w:r>
    </w:p>
    <w:p>
      <w:pPr>
        <w:pStyle w:val="ListParagraph"/>
        <w:numPr>
          <w:ilvl w:val="0"/>
          <w:numId w:val="40"/>
        </w:numPr>
      </w:pPr>
      <w:r>
        <w:t>Amazon ECS task definition differences for Fargate — https://docs.aws.amazon.com/AmazonECS/latest/developerguide/fargate-tasks-services.html</w:t>
      </w:r>
    </w:p>
    <w:p>
      <w:pPr>
        <w:pStyle w:val="ListParagraph"/>
        <w:numPr>
          <w:ilvl w:val="0"/>
          <w:numId w:val="40"/>
        </w:numPr>
      </w:pPr>
      <w:r>
        <w:t>Amazon ECS clusters for Fargate (Fargate Spot) — https://docs.aws.amazon.com/AmazonECS/latest/developerguide/fargate-capacity-providers.html</w:t>
      </w:r>
    </w:p>
    <w:p>
      <w:pPr>
        <w:pStyle w:val="ListParagraph"/>
        <w:numPr>
          <w:ilvl w:val="0"/>
          <w:numId w:val="40"/>
        </w:numPr>
      </w:pPr>
      <w:r>
        <w:t>Task retirement and maintenance for AWS Fargate on Amazon ECS — https://docs.aws.amazon.com/AmazonECS/latest/developerguide/task-maintenance.html</w:t>
      </w:r>
    </w:p>
    <w:p>
      <w:pPr>
        <w:pStyle w:val="ListParagraph"/>
        <w:numPr>
          <w:ilvl w:val="0"/>
          <w:numId w:val="40"/>
        </w:numPr>
      </w:pPr>
      <w:r>
        <w:t>Amazon ECS blue/green deployments — https://docs.aws.amazon.com/AmazonECS/latest/developerguide/deployment-type-blue-green.html</w:t>
      </w:r>
    </w:p>
    <w:p>
      <w:pPr>
        <w:pStyle w:val="ListParagraph"/>
        <w:numPr>
          <w:ilvl w:val="0"/>
          <w:numId w:val="40"/>
        </w:numPr>
      </w:pPr>
      <w:r>
        <w:t>Amazon ECS enables built-in blue/green deployments (July 2025) — https://aws.amazon.com/about-aws/whats-new/2025/07/amazon-ecs-built-in-blue-green-deployments/</w:t>
      </w:r>
    </w:p>
    <w:p>
      <w:pPr>
        <w:pStyle w:val="ListParagraph"/>
        <w:numPr>
          <w:ilvl w:val="0"/>
          <w:numId w:val="40"/>
        </w:numPr>
      </w:pPr>
      <w:r>
        <w:t>Amazon ECS now supports built-in linear and canary deployments (October 2025) — https://aws.amazon.com/about-aws/whats-new/2025/10/amazon-ecs-built-in-linear-canary-deployments/</w:t>
      </w:r>
    </w:p>
    <w:p>
      <w:pPr>
        <w:pStyle w:val="ListParagraph"/>
        <w:numPr>
          <w:ilvl w:val="0"/>
          <w:numId w:val="40"/>
        </w:numPr>
      </w:pPr>
      <w:r>
        <w:t>Amazon ECS clusters for external instances (ECS Anywhere) — https://docs.aws.amazon.com/AmazonECS/latest/developerguide/ecs-anywhere.html</w:t>
      </w:r>
    </w:p>
    <w:p>
      <w:pPr>
        <w:pStyle w:val="ListParagraph"/>
        <w:numPr>
          <w:ilvl w:val="0"/>
          <w:numId w:val="40"/>
        </w:numPr>
      </w:pPr>
      <w:r>
        <w:t>Amazon ECS endpoints and quotas, including AWS Fargate quotas — https://docs.aws.amazon.com/general/latest/gr/ecs-service.html</w:t>
      </w:r>
    </w:p>
    <w:p>
      <w:pPr>
        <w:pStyle w:val="ListParagraph"/>
        <w:numPr>
          <w:ilvl w:val="0"/>
          <w:numId w:val="40"/>
        </w:numPr>
      </w:pPr>
      <w:r>
        <w:t>What is Amazon EKS? — https://docs.aws.amazon.com/eks/latest/userguide/what-is-eks.html</w:t>
      </w:r>
    </w:p>
    <w:p>
      <w:pPr>
        <w:pStyle w:val="ListParagraph"/>
        <w:numPr>
          <w:ilvl w:val="0"/>
          <w:numId w:val="40"/>
        </w:numPr>
      </w:pPr>
      <w:r>
        <w:t>Understand the Kubernetes version lifecycle on EKS — https://docs.aws.amazon.com/eks/latest/userguide/kubernetes-versions.html</w:t>
      </w:r>
    </w:p>
    <w:p>
      <w:pPr>
        <w:pStyle w:val="ListParagraph"/>
        <w:numPr>
          <w:ilvl w:val="0"/>
          <w:numId w:val="40"/>
        </w:numPr>
      </w:pPr>
      <w:r>
        <w:t>Simplify compute management with AWS Fargate (Amazon EKS) — https://docs.aws.amazon.com/eks/latest/userguide/fargate.html</w:t>
      </w:r>
    </w:p>
    <w:p>
      <w:pPr>
        <w:pStyle w:val="ListParagraph"/>
        <w:numPr>
          <w:ilvl w:val="0"/>
          <w:numId w:val="40"/>
        </w:numPr>
      </w:pPr>
      <w:r>
        <w:t>Learn how EKS Pod Identity grants pods access to AWS services — https://docs.aws.amazon.com/eks/latest/userguide/pod-identities.html</w:t>
      </w:r>
    </w:p>
    <w:p>
      <w:pPr>
        <w:pStyle w:val="ListParagraph"/>
        <w:numPr>
          <w:ilvl w:val="0"/>
          <w:numId w:val="40"/>
        </w:numPr>
      </w:pPr>
      <w:r>
        <w:t>Automate cluster infrastructure with EKS Auto Mode — https://docs.aws.amazon.com/eks/latest/userguide/automode.html</w:t>
      </w:r>
    </w:p>
    <w:p>
      <w:pPr>
        <w:pStyle w:val="ListParagraph"/>
        <w:numPr>
          <w:ilvl w:val="0"/>
          <w:numId w:val="40"/>
        </w:numPr>
      </w:pPr>
      <w:r>
        <w:t>Amazon EKS Hybrid Nodes overview — https://docs.aws.amazon.com/eks/latest/userguide/hybrid-nodes-overview.html</w:t>
      </w:r>
    </w:p>
    <w:p>
      <w:pPr>
        <w:pStyle w:val="ListParagraph"/>
        <w:numPr>
          <w:ilvl w:val="0"/>
          <w:numId w:val="40"/>
        </w:numPr>
      </w:pPr>
      <w:r>
        <w:t>Amazon EKS Anywhere overview — https://anywhere.eks.amazonaws.com/docs/overview/</w:t>
      </w:r>
    </w:p>
    <w:p>
      <w:pPr>
        <w:pStyle w:val="ListParagraph"/>
        <w:numPr>
          <w:ilvl w:val="0"/>
          <w:numId w:val="40"/>
        </w:numPr>
      </w:pPr>
      <w:r>
        <w:t>AWS Lambda Developer Guide — https://docs.aws.amazon.com/lambda/</w:t>
      </w:r>
    </w:p>
    <w:p>
      <w:pPr>
        <w:pStyle w:val="ListParagraph"/>
        <w:numPr>
          <w:ilvl w:val="0"/>
          <w:numId w:val="40"/>
        </w:numPr>
      </w:pPr>
      <w:r>
        <w:t>AWS Well-Architected Framework — https://aws.amazon.com/architecture/well-architected/</w:t>
      </w:r>
    </w:p>
    <w:p>
      <w:r>
        <w:rPr>
          <w:b/>
        </w:rPr>
        <w:t>Industry</w:t>
      </w:r>
    </w:p>
    <w:p>
      <w:pPr>
        <w:pStyle w:val="ListParagraph"/>
        <w:numPr>
          <w:ilvl w:val="0"/>
          <w:numId w:val="40"/>
        </w:numPr>
      </w:pPr>
      <w:r>
        <w:t>Kubernetes Documentation — https://kubernetes.io/docs/concepts/overview/</w:t>
      </w:r>
    </w:p>
    <w:p>
      <w:pPr>
        <w:pStyle w:val="ListParagraph"/>
        <w:numPr>
          <w:ilvl w:val="0"/>
          <w:numId w:val="40"/>
        </w:numPr>
      </w:pPr>
      <w:r>
        <w:t>Cloud Native Computing Foundation, Certified Kubernetes Software Conformance — https://www.cncf.io/training/certification/software-conformance/</w:t>
      </w:r>
    </w:p>
    <w:p>
      <w:pPr>
        <w:pStyle w:val="Heading2"/>
      </w:pPr>
      <w:bookmarkStart w:id="138" w:name="_Toc300000039"/>
      <w:r>
        <w:t>Scoring Methodology</w:t>
      </w:r>
      <w:bookmarkEnd w:id="138"/>
    </w:p>
    <w:p>
      <w:r>
        <w:t>The method was fixed before scoring, in this order, so that the weighting could not be chosen to favour a conclusion:</w:t>
      </w:r>
    </w:p>
    <w:p>
      <w:pPr>
        <w:pStyle w:val="ListParagraph"/>
        <w:numPr>
          <w:ilvl w:val="0"/>
          <w:numId w:val="40"/>
        </w:numPr>
      </w:pPr>
      <w:r>
        <w:t>Evaluation attributes were derived from the eClaims functional and non-functional requirements summarised in Section 2, and each attribute is traced back to the requirement that justifies it (Sections 2.3, 4.1 and 5.2).</w:t>
      </w:r>
    </w:p>
    <w:p>
      <w:pPr>
        <w:pStyle w:val="ListParagraph"/>
        <w:numPr>
          <w:ilvl w:val="0"/>
          <w:numId w:val="40"/>
        </w:numPr>
      </w:pPr>
      <w:r>
        <w:t>Weights were assigned on consequence of failure: 5 where the absence of the attribute would defeat a stated requirement outright, 4 where it would degrade operation or cost, and 3 where it affects cost of ownership or headroom rather than compliance with a requirement.</w:t>
      </w:r>
    </w:p>
    <w:p>
      <w:pPr>
        <w:pStyle w:val="ListParagraph"/>
        <w:numPr>
          <w:ilvl w:val="0"/>
          <w:numId w:val="40"/>
        </w:numPr>
      </w:pPr>
      <w:r>
        <w:t>Each option was then scored 1 to 5 against every attribute on native capability relative to the eClaims requirement — not absolute product quality — with 5 denoting the lowest operational overhead and the simplest option where those are the attributes.</w:t>
      </w:r>
    </w:p>
    <w:p>
      <w:pPr>
        <w:pStyle w:val="ListParagraph"/>
        <w:numPr>
          <w:ilvl w:val="0"/>
          <w:numId w:val="40"/>
        </w:numPr>
      </w:pPr>
      <w:r>
        <w:t>The weighted total is the sum of weight multiplied by score, divided by the sum of the weights, giving a comparable result on the same 1 to 5 scale.</w:t>
      </w:r>
    </w:p>
    <w:p>
      <w:pPr>
        <w:pStyle w:val="ListParagraph"/>
        <w:numPr>
          <w:ilvl w:val="0"/>
          <w:numId w:val="40"/>
        </w:numPr>
      </w:pPr>
      <w:r>
        <w:t>For each stage, the attribute most likely to be challenged — portability in both — was varied while the other weights were held constant, and the weight at which the runner-up overtakes is reported (Sections 4.5 and 5.6).</w:t>
      </w:r>
    </w:p>
    <w:p>
      <w:r>
        <w:t>The two stages use different attribute sets because they answer different questions. Section 4 compares execution and operating models, so long-running services, latency, self-healing and autoscaling carry the top weights. Section 5 compares two orchestrators of the same Fargate runtime, so those attributes no longer separate the options and are replaced by what each orchestrator asks the team to own.</w:t>
      </w:r>
    </w:p>
    <w:p>
      <w:r>
        <w:t>Worked example, ECS Fargate in Section 4: (5×5 + 5×5 + 5×5 + 4×5 + 5×3 + 4×5 + 4×4 + 3×5 + 3×5 + 3×5) ÷ 41 = 191 ÷ 41 = 4.66.</w:t>
      </w:r>
    </w:p>
    <w:p>
      <w:r>
        <w:t>Worked example, Amazon ECS in Section 5: (5×5 + 4×5 + 5×5 + 3×5 + 5×3 + 3×3 + 4×5) ÷ 29 = 129 ÷ 29 = 4.45.</w:t>
      </w:r>
    </w:p>
    <w:p>
      <w:r>
        <w:t>The matrices are not constructed to produce this answer. In Section 4, Kubernetes wins outright on portability, one of the four attributes weighted 5, and ties with the recommended option on four more; serverless functions tie it on operational overhead, autoscaling and security integration. In Section 5, EKS wins on portability and control. In both, the recommended option loses the portability row, and the gap is not discounted: under a settled target cloud it buys optionality rather than compliance, and the residual exposure is carried as risks R1 and R2 with Kubernetes named as the fallback.</w:t>
      </w:r>
    </w:p>
    <w:p>
      <w:r>
        <w:t>Two limitations should be read alongside the results. A weighted average compresses capability differences, which is why Sections 4.3 and 5.5 record native support and operational differences separately — a 3 on portability for an option whose images are portable but whose runtime is not is a different thing from a 3 for an option that is partly portable throughout. And the scores are informed engineering judgement against documented service capability and published pricing, not measurements from a pilot deployment under eClaims load.</w:t>
      </w:r>
    </w:p>
    <w:sectPr w:rsidR="00424CF7">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553B0" w14:textId="77777777" w:rsidR="00D35474" w:rsidRDefault="00D35474" w:rsidP="002938CA">
      <w:pPr>
        <w:spacing w:after="0" w:line="240" w:lineRule="auto"/>
      </w:pPr>
      <w:r>
        <w:separator/>
      </w:r>
    </w:p>
  </w:endnote>
  <w:endnote w:type="continuationSeparator" w:id="0">
    <w:p w14:paraId="66E7B18B" w14:textId="77777777" w:rsidR="00D35474" w:rsidRDefault="00D35474"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9E158" w14:textId="77777777" w:rsidR="008D6BBB" w:rsidRDefault="008D6B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74A91" w14:textId="77777777" w:rsidR="00395B23" w:rsidRDefault="008D6BBB" w:rsidP="00756E07">
    <w:pPr>
      <w:pStyle w:val="Footer"/>
    </w:pPr>
    <w:r>
      <w:rPr>
        <w:noProof/>
      </w:rPr>
      <w:drawing>
        <wp:inline distT="0" distB="0" distL="0" distR="0" wp14:anchorId="7D75D2AF" wp14:editId="2C20764A">
          <wp:extent cx="1231265" cy="100965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r w:rsidR="00395B23">
      <w:rPr>
        <w:rFonts w:asciiTheme="majorHAnsi" w:hAnsiTheme="majorHAnsi" w:cstheme="majorHAnsi"/>
      </w:rPr>
      <w:ptab w:relativeTo="margin" w:alignment="right" w:leader="none"/>
    </w:r>
    <w:r w:rsidR="00395B23">
      <w:rPr>
        <w:rFonts w:asciiTheme="majorHAnsi" w:hAnsiTheme="majorHAnsi" w:cstheme="majorHAnsi"/>
      </w:rPr>
      <w:t xml:space="preserve">Page </w:t>
    </w:r>
    <w:r w:rsidR="00395B23">
      <w:rPr>
        <w:rFonts w:asciiTheme="minorHAnsi" w:hAnsiTheme="minorHAnsi"/>
      </w:rPr>
      <w:fldChar w:fldCharType="begin"/>
    </w:r>
    <w:r w:rsidR="00395B23">
      <w:instrText xml:space="preserve"> PAGE   \* MERGEFORMAT </w:instrText>
    </w:r>
    <w:r w:rsidR="00395B23">
      <w:rPr>
        <w:rFonts w:asciiTheme="minorHAnsi" w:hAnsiTheme="minorHAnsi"/>
      </w:rPr>
      <w:fldChar w:fldCharType="separate"/>
    </w:r>
    <w:r w:rsidR="00832D94" w:rsidRPr="00832D94">
      <w:rPr>
        <w:rFonts w:asciiTheme="majorHAnsi" w:hAnsiTheme="majorHAnsi" w:cstheme="majorHAnsi"/>
        <w:noProof/>
      </w:rPr>
      <w:t>11</w:t>
    </w:r>
    <w:r w:rsidR="00395B23">
      <w:rPr>
        <w:rFonts w:asciiTheme="majorHAnsi" w:hAnsiTheme="majorHAnsi" w:cstheme="majorHAnsi"/>
        <w:noProof/>
      </w:rPr>
      <w:fldChar w:fldCharType="end"/>
    </w:r>
    <w:r w:rsidR="00395B23">
      <w:rPr>
        <w:noProof/>
      </w:rPr>
      <mc:AlternateContent>
        <mc:Choice Requires="wpg">
          <w:drawing>
            <wp:anchor distT="0" distB="0" distL="114300" distR="114300" simplePos="0" relativeHeight="251664384" behindDoc="0" locked="0" layoutInCell="0" allowOverlap="1" wp14:anchorId="73BA63DB" wp14:editId="5095BA00">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xmlns:w16cei="http://schemas.microsoft.com/office/word/2026/wordml/cei">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sidR="00395B23">
      <w:rPr>
        <w:noProof/>
      </w:rPr>
      <mc:AlternateContent>
        <mc:Choice Requires="wps">
          <w:drawing>
            <wp:anchor distT="0" distB="0" distL="114300" distR="114300" simplePos="0" relativeHeight="251663360" behindDoc="0" locked="0" layoutInCell="1" allowOverlap="1" wp14:anchorId="1B0D6C24" wp14:editId="6CFA6842">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sidR="00395B23">
      <w:rPr>
        <w:noProof/>
      </w:rPr>
      <mc:AlternateContent>
        <mc:Choice Requires="wps">
          <w:drawing>
            <wp:anchor distT="0" distB="0" distL="114300" distR="114300" simplePos="0" relativeHeight="251662336" behindDoc="0" locked="0" layoutInCell="1" allowOverlap="1" wp14:anchorId="5D7E9B3E" wp14:editId="5D168FAF">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18544537"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57D7" w14:textId="77777777" w:rsidR="008D6BBB" w:rsidRDefault="008D6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7653A" w14:textId="77777777" w:rsidR="00D35474" w:rsidRDefault="00D35474" w:rsidP="002938CA">
      <w:pPr>
        <w:spacing w:after="0" w:line="240" w:lineRule="auto"/>
      </w:pPr>
      <w:r>
        <w:separator/>
      </w:r>
    </w:p>
  </w:footnote>
  <w:footnote w:type="continuationSeparator" w:id="0">
    <w:p w14:paraId="7B7D6878" w14:textId="77777777" w:rsidR="00D35474" w:rsidRDefault="00D35474"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E5FB3" w14:textId="77777777" w:rsidR="008D6BBB" w:rsidRDefault="008D6B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14:paraId="771CBF90" w14:textId="0C13FE3A" w:rsidR="00395B23" w:rsidRPr="00CB769B" w:rsidRDefault="00D35474"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D32A45">
          <w:rPr>
            <w:rFonts w:asciiTheme="majorHAnsi" w:hAnsiTheme="majorHAnsi"/>
          </w:rPr>
          <w:t>YCompany – eClaims</w:t>
        </w:r>
        <w:proofErr w:type="spellEnd"/>
        <w:r w:rsidR="00D32A45">
          <w:rPr>
            <w:rFonts w:asciiTheme="majorHAnsi" w:hAnsiTheme="majorHAnsi"/>
          </w:rPr>
          <w:t xml:space="preserve"/>
        </w:r>
        <w:proofErr w:type="spellStart"/>
        <w:r w:rsidR="00D32A45">
          <w:rPr>
            <w:rFonts w:asciiTheme="majorHAnsi" w:hAnsiTheme="majorHAnsi"/>
          </w:rPr>
          <w:t/>
        </w:r>
        <w:proofErr w:type="spellEnd"/>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D32A45">
          <w:rPr>
            <w:rFonts w:asciiTheme="majorHAnsi" w:eastAsiaTheme="majorEastAsia" w:hAnsiTheme="majorHAnsi" w:cstheme="majorBidi"/>
            <w:i/>
            <w:sz w:val="20"/>
            <w:szCs w:val="20"/>
          </w:rPr>
          <w:t>DAR Document – Compute Platform and Container Orchestrator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7342EC49" wp14:editId="696FAC32">
              <wp:simplePos x="0" y="0"/>
              <wp:positionH relativeFrom="page">
                <wp:align>center</wp:align>
              </wp:positionH>
              <wp:positionV relativeFrom="page">
                <wp:align>top</wp:align>
              </wp:positionV>
              <wp:extent cx="7752080" cy="822960"/>
              <wp:effectExtent l="9525" t="0" r="10795" b="0"/>
              <wp:wrapNone/>
              <wp:docPr id="11" name="Group 3"/>
              <wp:cNvGraphicFramePr>
                <a:graphicFrameLocks/>
              </wp:cNvGraphicFramePr>
              <a:graphic>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a:solidFill>
                                <a:srgbClr val="FFFFFF"/>
                              </a:solidFill>
                            </a14:hiddenFill>
                          </a:ext>
                          <a:ext uri="{91240B29-F687-4F45-9708-019B960494DF}">
                            <a14:hiddenLine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7C2DE7C8" wp14:editId="0821D9E6">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wp:cNvGraphicFramePr>
              <a:graphic>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5B0F1F2" wp14:editId="403E9CE4">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wp:cNvGraphicFramePr>
              <a:graphic>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24EDE2FD"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4F976" w14:textId="77777777" w:rsidR="008D6BBB" w:rsidRDefault="008D6B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1"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2"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3"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4"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5"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6"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7"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9"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0"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1"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5"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6"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num w:numId="1" w16cid:durableId="77561421">
    <w:abstractNumId w:val="7"/>
  </w:num>
  <w:num w:numId="2" w16cid:durableId="822428812">
    <w:abstractNumId w:val="13"/>
  </w:num>
  <w:num w:numId="3" w16cid:durableId="553001967">
    <w:abstractNumId w:val="9"/>
  </w:num>
  <w:num w:numId="4" w16cid:durableId="8117544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73087925">
    <w:abstractNumId w:val="23"/>
  </w:num>
  <w:num w:numId="6" w16cid:durableId="1988312664">
    <w:abstractNumId w:val="19"/>
  </w:num>
  <w:num w:numId="7" w16cid:durableId="1452892505">
    <w:abstractNumId w:val="24"/>
  </w:num>
  <w:num w:numId="8" w16cid:durableId="1675261896">
    <w:abstractNumId w:val="15"/>
  </w:num>
  <w:num w:numId="9" w16cid:durableId="1435175021">
    <w:abstractNumId w:val="2"/>
  </w:num>
  <w:num w:numId="10" w16cid:durableId="960958747">
    <w:abstractNumId w:val="20"/>
  </w:num>
  <w:num w:numId="11" w16cid:durableId="1631670389">
    <w:abstractNumId w:val="4"/>
  </w:num>
  <w:num w:numId="12" w16cid:durableId="1937786432">
    <w:abstractNumId w:val="1"/>
  </w:num>
  <w:num w:numId="13" w16cid:durableId="712075679">
    <w:abstractNumId w:val="16"/>
  </w:num>
  <w:num w:numId="14" w16cid:durableId="1081026773">
    <w:abstractNumId w:val="14"/>
  </w:num>
  <w:num w:numId="15" w16cid:durableId="1342198761">
    <w:abstractNumId w:val="5"/>
  </w:num>
  <w:num w:numId="16" w16cid:durableId="1040324176">
    <w:abstractNumId w:val="7"/>
  </w:num>
  <w:num w:numId="17" w16cid:durableId="1706054092">
    <w:abstractNumId w:val="7"/>
  </w:num>
  <w:num w:numId="18" w16cid:durableId="6344114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891173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12500054">
    <w:abstractNumId w:val="7"/>
  </w:num>
  <w:num w:numId="21" w16cid:durableId="772938952">
    <w:abstractNumId w:val="25"/>
  </w:num>
  <w:num w:numId="22" w16cid:durableId="529605794">
    <w:abstractNumId w:val="10"/>
  </w:num>
  <w:num w:numId="23" w16cid:durableId="294027154">
    <w:abstractNumId w:val="18"/>
  </w:num>
  <w:num w:numId="24" w16cid:durableId="924844645">
    <w:abstractNumId w:val="11"/>
  </w:num>
  <w:num w:numId="25" w16cid:durableId="5811826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24423124">
    <w:abstractNumId w:val="27"/>
  </w:num>
  <w:num w:numId="27" w16cid:durableId="5355115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009217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14096600">
    <w:abstractNumId w:val="6"/>
  </w:num>
  <w:num w:numId="30" w16cid:durableId="1678458938">
    <w:abstractNumId w:val="17"/>
  </w:num>
  <w:num w:numId="31" w16cid:durableId="549653349">
    <w:abstractNumId w:val="12"/>
  </w:num>
  <w:num w:numId="32" w16cid:durableId="868951357">
    <w:abstractNumId w:val="7"/>
  </w:num>
  <w:num w:numId="33" w16cid:durableId="1775130721">
    <w:abstractNumId w:val="22"/>
  </w:num>
  <w:num w:numId="34" w16cid:durableId="853766895">
    <w:abstractNumId w:val="8"/>
  </w:num>
  <w:num w:numId="35" w16cid:durableId="17434473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56308917">
    <w:abstractNumId w:val="26"/>
  </w:num>
  <w:num w:numId="37" w16cid:durableId="1792046571">
    <w:abstractNumId w:val="0"/>
  </w:num>
  <w:num w:numId="38" w16cid:durableId="1532257476">
    <w:abstractNumId w:val="21"/>
  </w:num>
  <w:num w:numId="39" w16cid:durableId="337854197">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A3sLQ0NjYwNDJT0lEKTi0uzszPAykwrAUAAp538ywAAAA="/>
  </w:docVars>
  <w:rsids>
    <w:rsidRoot w:val="00D6531A"/>
    <w:rsid w:val="00006E71"/>
    <w:rsid w:val="00007CEA"/>
    <w:rsid w:val="00013528"/>
    <w:rsid w:val="000153B6"/>
    <w:rsid w:val="000331F4"/>
    <w:rsid w:val="00033E23"/>
    <w:rsid w:val="0003727E"/>
    <w:rsid w:val="00051F9E"/>
    <w:rsid w:val="00065E2C"/>
    <w:rsid w:val="000861FF"/>
    <w:rsid w:val="000906C0"/>
    <w:rsid w:val="0009124C"/>
    <w:rsid w:val="00092932"/>
    <w:rsid w:val="000A7235"/>
    <w:rsid w:val="000A7290"/>
    <w:rsid w:val="000B4398"/>
    <w:rsid w:val="000C02C9"/>
    <w:rsid w:val="000D782B"/>
    <w:rsid w:val="0010043C"/>
    <w:rsid w:val="00103C75"/>
    <w:rsid w:val="00122EA3"/>
    <w:rsid w:val="00130216"/>
    <w:rsid w:val="00130247"/>
    <w:rsid w:val="001305C6"/>
    <w:rsid w:val="00131EF3"/>
    <w:rsid w:val="00132AC8"/>
    <w:rsid w:val="00133677"/>
    <w:rsid w:val="001503FF"/>
    <w:rsid w:val="001603EA"/>
    <w:rsid w:val="001731B1"/>
    <w:rsid w:val="00174CE5"/>
    <w:rsid w:val="00180D7C"/>
    <w:rsid w:val="00182668"/>
    <w:rsid w:val="00183D24"/>
    <w:rsid w:val="00190740"/>
    <w:rsid w:val="0019502C"/>
    <w:rsid w:val="001A3699"/>
    <w:rsid w:val="001A5578"/>
    <w:rsid w:val="001A7C6C"/>
    <w:rsid w:val="001D6A7E"/>
    <w:rsid w:val="001D7A6B"/>
    <w:rsid w:val="001E777E"/>
    <w:rsid w:val="00200904"/>
    <w:rsid w:val="00202D86"/>
    <w:rsid w:val="002078E0"/>
    <w:rsid w:val="00215262"/>
    <w:rsid w:val="00226DDE"/>
    <w:rsid w:val="00227022"/>
    <w:rsid w:val="002375AB"/>
    <w:rsid w:val="002408CD"/>
    <w:rsid w:val="00246F77"/>
    <w:rsid w:val="0025148A"/>
    <w:rsid w:val="002565E1"/>
    <w:rsid w:val="002648CB"/>
    <w:rsid w:val="00265543"/>
    <w:rsid w:val="00275EA1"/>
    <w:rsid w:val="00280A5F"/>
    <w:rsid w:val="002938CA"/>
    <w:rsid w:val="002A4330"/>
    <w:rsid w:val="002A65CA"/>
    <w:rsid w:val="002B125B"/>
    <w:rsid w:val="002B6A48"/>
    <w:rsid w:val="002D4FFB"/>
    <w:rsid w:val="002F373E"/>
    <w:rsid w:val="00302ECF"/>
    <w:rsid w:val="00311EEB"/>
    <w:rsid w:val="003179F8"/>
    <w:rsid w:val="003261AB"/>
    <w:rsid w:val="00327FC4"/>
    <w:rsid w:val="0033704F"/>
    <w:rsid w:val="00337E88"/>
    <w:rsid w:val="00343CFC"/>
    <w:rsid w:val="00346EEF"/>
    <w:rsid w:val="00357FA0"/>
    <w:rsid w:val="003634D3"/>
    <w:rsid w:val="00363A7E"/>
    <w:rsid w:val="0037788C"/>
    <w:rsid w:val="00377D49"/>
    <w:rsid w:val="00391741"/>
    <w:rsid w:val="003945F2"/>
    <w:rsid w:val="00395B23"/>
    <w:rsid w:val="003A235C"/>
    <w:rsid w:val="003A4981"/>
    <w:rsid w:val="003E5BEB"/>
    <w:rsid w:val="00400639"/>
    <w:rsid w:val="00401D0F"/>
    <w:rsid w:val="0041450E"/>
    <w:rsid w:val="00424CF7"/>
    <w:rsid w:val="00434AFD"/>
    <w:rsid w:val="00462690"/>
    <w:rsid w:val="00463769"/>
    <w:rsid w:val="004711F6"/>
    <w:rsid w:val="00472F02"/>
    <w:rsid w:val="00483B15"/>
    <w:rsid w:val="004B7924"/>
    <w:rsid w:val="004F3BC7"/>
    <w:rsid w:val="004F5C59"/>
    <w:rsid w:val="00503CB2"/>
    <w:rsid w:val="00520E45"/>
    <w:rsid w:val="00521A2F"/>
    <w:rsid w:val="00525815"/>
    <w:rsid w:val="00537391"/>
    <w:rsid w:val="00540C9C"/>
    <w:rsid w:val="005458A0"/>
    <w:rsid w:val="00546AA9"/>
    <w:rsid w:val="00547F0B"/>
    <w:rsid w:val="00550190"/>
    <w:rsid w:val="00552FE9"/>
    <w:rsid w:val="005532C2"/>
    <w:rsid w:val="00561D82"/>
    <w:rsid w:val="0056288A"/>
    <w:rsid w:val="0057306D"/>
    <w:rsid w:val="00573DFC"/>
    <w:rsid w:val="00587455"/>
    <w:rsid w:val="005A74CA"/>
    <w:rsid w:val="005B2595"/>
    <w:rsid w:val="005B71BD"/>
    <w:rsid w:val="005C03A9"/>
    <w:rsid w:val="005C3247"/>
    <w:rsid w:val="006061F1"/>
    <w:rsid w:val="0061005D"/>
    <w:rsid w:val="00623E77"/>
    <w:rsid w:val="00633BD6"/>
    <w:rsid w:val="006438B6"/>
    <w:rsid w:val="00643A1C"/>
    <w:rsid w:val="00644CE7"/>
    <w:rsid w:val="00645BEA"/>
    <w:rsid w:val="00646527"/>
    <w:rsid w:val="00646865"/>
    <w:rsid w:val="00647A16"/>
    <w:rsid w:val="00654DD5"/>
    <w:rsid w:val="00670807"/>
    <w:rsid w:val="006855EC"/>
    <w:rsid w:val="00687061"/>
    <w:rsid w:val="00693C0E"/>
    <w:rsid w:val="006A0323"/>
    <w:rsid w:val="006C496F"/>
    <w:rsid w:val="006C5684"/>
    <w:rsid w:val="006D47BF"/>
    <w:rsid w:val="006E0428"/>
    <w:rsid w:val="006E24E9"/>
    <w:rsid w:val="006E4F40"/>
    <w:rsid w:val="006F1EA5"/>
    <w:rsid w:val="00704DAA"/>
    <w:rsid w:val="0070561D"/>
    <w:rsid w:val="0071083B"/>
    <w:rsid w:val="0071415A"/>
    <w:rsid w:val="007169A9"/>
    <w:rsid w:val="007271CA"/>
    <w:rsid w:val="007310FB"/>
    <w:rsid w:val="00731530"/>
    <w:rsid w:val="00733C9A"/>
    <w:rsid w:val="00744354"/>
    <w:rsid w:val="00744F16"/>
    <w:rsid w:val="00750019"/>
    <w:rsid w:val="007516F9"/>
    <w:rsid w:val="00756E07"/>
    <w:rsid w:val="00762666"/>
    <w:rsid w:val="007800EC"/>
    <w:rsid w:val="00786D60"/>
    <w:rsid w:val="007968B1"/>
    <w:rsid w:val="007969AC"/>
    <w:rsid w:val="007A30B6"/>
    <w:rsid w:val="007A6BAF"/>
    <w:rsid w:val="007A6DC9"/>
    <w:rsid w:val="007B74CB"/>
    <w:rsid w:val="00805BC0"/>
    <w:rsid w:val="00813808"/>
    <w:rsid w:val="008144E9"/>
    <w:rsid w:val="008161DC"/>
    <w:rsid w:val="00832D94"/>
    <w:rsid w:val="0084586C"/>
    <w:rsid w:val="00860E3B"/>
    <w:rsid w:val="00865883"/>
    <w:rsid w:val="008724E8"/>
    <w:rsid w:val="008848D6"/>
    <w:rsid w:val="00891DBC"/>
    <w:rsid w:val="00893CF7"/>
    <w:rsid w:val="008A276E"/>
    <w:rsid w:val="008A7F7F"/>
    <w:rsid w:val="008B17F8"/>
    <w:rsid w:val="008B7040"/>
    <w:rsid w:val="008C0BDA"/>
    <w:rsid w:val="008C59B3"/>
    <w:rsid w:val="008D0795"/>
    <w:rsid w:val="008D6046"/>
    <w:rsid w:val="008D6BBB"/>
    <w:rsid w:val="008E0608"/>
    <w:rsid w:val="008E45C4"/>
    <w:rsid w:val="008E637D"/>
    <w:rsid w:val="00901988"/>
    <w:rsid w:val="0093042E"/>
    <w:rsid w:val="00937B84"/>
    <w:rsid w:val="0094082E"/>
    <w:rsid w:val="0094478A"/>
    <w:rsid w:val="009451EB"/>
    <w:rsid w:val="00946055"/>
    <w:rsid w:val="00947D05"/>
    <w:rsid w:val="00962D93"/>
    <w:rsid w:val="009710F0"/>
    <w:rsid w:val="00971166"/>
    <w:rsid w:val="00977192"/>
    <w:rsid w:val="009879DB"/>
    <w:rsid w:val="009923DF"/>
    <w:rsid w:val="00994713"/>
    <w:rsid w:val="009C1A6C"/>
    <w:rsid w:val="009C5891"/>
    <w:rsid w:val="009D01B7"/>
    <w:rsid w:val="009D5893"/>
    <w:rsid w:val="009E51DF"/>
    <w:rsid w:val="009F276E"/>
    <w:rsid w:val="00A01322"/>
    <w:rsid w:val="00A11A91"/>
    <w:rsid w:val="00A1252F"/>
    <w:rsid w:val="00A15A7E"/>
    <w:rsid w:val="00A61992"/>
    <w:rsid w:val="00A7607F"/>
    <w:rsid w:val="00A77C6D"/>
    <w:rsid w:val="00AA3979"/>
    <w:rsid w:val="00AA5AEE"/>
    <w:rsid w:val="00AA7D35"/>
    <w:rsid w:val="00AD5A73"/>
    <w:rsid w:val="00AE0696"/>
    <w:rsid w:val="00AE37D0"/>
    <w:rsid w:val="00AE4E22"/>
    <w:rsid w:val="00AF0091"/>
    <w:rsid w:val="00AF64DA"/>
    <w:rsid w:val="00B2107D"/>
    <w:rsid w:val="00B35F69"/>
    <w:rsid w:val="00B36485"/>
    <w:rsid w:val="00B55E63"/>
    <w:rsid w:val="00B657F5"/>
    <w:rsid w:val="00B71B4A"/>
    <w:rsid w:val="00B72BC2"/>
    <w:rsid w:val="00B74051"/>
    <w:rsid w:val="00B7736D"/>
    <w:rsid w:val="00B87AE0"/>
    <w:rsid w:val="00B9788A"/>
    <w:rsid w:val="00BA0596"/>
    <w:rsid w:val="00BA57C5"/>
    <w:rsid w:val="00BB000F"/>
    <w:rsid w:val="00BB003A"/>
    <w:rsid w:val="00BB1AFA"/>
    <w:rsid w:val="00BC6E8A"/>
    <w:rsid w:val="00BF58F6"/>
    <w:rsid w:val="00C109CF"/>
    <w:rsid w:val="00C10E2A"/>
    <w:rsid w:val="00C22C69"/>
    <w:rsid w:val="00C411FF"/>
    <w:rsid w:val="00C424B3"/>
    <w:rsid w:val="00C537AD"/>
    <w:rsid w:val="00C57835"/>
    <w:rsid w:val="00C65529"/>
    <w:rsid w:val="00CA1D4A"/>
    <w:rsid w:val="00CB0DC3"/>
    <w:rsid w:val="00CB769B"/>
    <w:rsid w:val="00CB78C5"/>
    <w:rsid w:val="00CC7A8E"/>
    <w:rsid w:val="00CE1BA3"/>
    <w:rsid w:val="00CE4F0A"/>
    <w:rsid w:val="00CE5753"/>
    <w:rsid w:val="00CE7DE2"/>
    <w:rsid w:val="00CF1E57"/>
    <w:rsid w:val="00CF21DA"/>
    <w:rsid w:val="00CF67F7"/>
    <w:rsid w:val="00D03173"/>
    <w:rsid w:val="00D11313"/>
    <w:rsid w:val="00D1384D"/>
    <w:rsid w:val="00D243BE"/>
    <w:rsid w:val="00D26EE7"/>
    <w:rsid w:val="00D32581"/>
    <w:rsid w:val="00D32867"/>
    <w:rsid w:val="00D32A45"/>
    <w:rsid w:val="00D35474"/>
    <w:rsid w:val="00D35C8C"/>
    <w:rsid w:val="00D55734"/>
    <w:rsid w:val="00D6531A"/>
    <w:rsid w:val="00D772B9"/>
    <w:rsid w:val="00D8438B"/>
    <w:rsid w:val="00D87E63"/>
    <w:rsid w:val="00D93AF1"/>
    <w:rsid w:val="00DA1603"/>
    <w:rsid w:val="00DA4E1F"/>
    <w:rsid w:val="00DB77E8"/>
    <w:rsid w:val="00DC51DD"/>
    <w:rsid w:val="00DC63F4"/>
    <w:rsid w:val="00DC75B8"/>
    <w:rsid w:val="00DD741A"/>
    <w:rsid w:val="00DE20B5"/>
    <w:rsid w:val="00DE42AC"/>
    <w:rsid w:val="00DF2F38"/>
    <w:rsid w:val="00DF4B2C"/>
    <w:rsid w:val="00DF57DB"/>
    <w:rsid w:val="00E00041"/>
    <w:rsid w:val="00E01B62"/>
    <w:rsid w:val="00E03149"/>
    <w:rsid w:val="00E05C36"/>
    <w:rsid w:val="00E16C24"/>
    <w:rsid w:val="00E2313C"/>
    <w:rsid w:val="00E32869"/>
    <w:rsid w:val="00E5541A"/>
    <w:rsid w:val="00E665C3"/>
    <w:rsid w:val="00E74BC5"/>
    <w:rsid w:val="00E823A1"/>
    <w:rsid w:val="00EA66F7"/>
    <w:rsid w:val="00EA785F"/>
    <w:rsid w:val="00EB3409"/>
    <w:rsid w:val="00EC0B4E"/>
    <w:rsid w:val="00EC5518"/>
    <w:rsid w:val="00EC6D9F"/>
    <w:rsid w:val="00EC72AB"/>
    <w:rsid w:val="00ED2AFB"/>
    <w:rsid w:val="00EE63C2"/>
    <w:rsid w:val="00EF35E8"/>
    <w:rsid w:val="00F033E9"/>
    <w:rsid w:val="00F20A71"/>
    <w:rsid w:val="00F20BAC"/>
    <w:rsid w:val="00F23CB6"/>
    <w:rsid w:val="00F318A3"/>
    <w:rsid w:val="00F318F1"/>
    <w:rsid w:val="00F45B98"/>
    <w:rsid w:val="00F57D34"/>
    <w:rsid w:val="00F60430"/>
    <w:rsid w:val="00F63796"/>
    <w:rsid w:val="00F965D3"/>
    <w:rsid w:val="00FC122D"/>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4FBB3"/>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7</TotalTime>
  <Pages>22</Pages>
  <Words>7933</Words>
  <Characters>45223</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53050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Compute Platform and Container Orchestrator Selection</dc:subject>
  <dc:creator>Utsav Verma</dc:creator>
  <cp:keywords>eClaims; DAR; Amazon ECS; AWS Fargate; Amazon EKS; AWS Lambda; Kubernetes; compute platform</cp:keywords>
  <cp:lastModifiedBy>Utsav Verma</cp:lastModifiedBy>
  <cp:revision>12</cp:revision>
  <cp:lastPrinted>2014-05-22T16:26:00Z</cp:lastPrinted>
  <dcterms:created xsi:type="dcterms:W3CDTF">2026-08-20T00:00:00Z</dcterms:created>
  <dcterms:modified xsi:type="dcterms:W3CDTF">2026-10-30T06:41:00Z</dcterms:modified>
</cp:coreProperties>
</file>