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14:paraId="6D6FC57A" w14:textId="54877E76" w:rsidR="00756E07" w:rsidRPr="008848D6" w:rsidRDefault="00F304AC" w:rsidP="00C22C69">
      <w:pPr>
        <w:pStyle w:val="Title"/>
      </w:pPr>
      <w:sdt>
        <w:sdtPr>
          <w:rPr>
            <w:lang w:val="en-IN"/>
          </w:rPr>
          <w:alias w:val="Title"/>
          <w:id w:val="1332491293"/>
          <w:dataBinding w:prefixMappings="xmlns:ns0='http://schemas.openxmlformats.org/package/2006/metadata/core-properties' xmlns:ns1='http://purl.org/dc/elements/1.1/'" w:xpath="/ns0:coreProperties[1]/ns1:title[1]" w:storeItemID="{6C3C8BC8-F283-45AE-878A-BAB7291924A1}"/>
          <w:text/>
        </w:sdtPr>
        <w:sdtEndPr/>
        <w:sdtContent>
          <w:r w:rsidR="00BC4794" w:rsidRPr="00BC4794">
            <w:rPr>
              <w:lang w:val="en-IN"/>
            </w:rPr>
            <w:t>YCompany – eClaims</w:t>
          </w:r>
        </w:sdtContent>
      </w:sdt>
    </w:p>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73F7DB3E" w14:textId="21B71038"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wp:cNvGraphicFramePr>
                    <a:graphic>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wp:cNvGraphicFramePr>
                    <a:graphic>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wp:cNvGraphicFramePr>
                    <a:graphic>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wp:cNvGraphicFramePr>
                    <a:graphic>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r w:rsidR="001D6A7E">
                <w:rPr>
                  <w:sz w:val="36"/>
                  <w:szCs w:val="36"/>
                  <w:lang w:val="en-IN"/>
                </w:rPr>
                <w:t>DAR Document – Document Management Selection</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End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EndPr/>
          <w:sdtContent>
            <w:p w14:paraId="12A9E61D" w14:textId="7F0843D1" w:rsidR="00756E07" w:rsidRPr="008848D6" w:rsidRDefault="00617867" w:rsidP="00C22C69">
              <w:pPr>
                <w:pStyle w:val="NoSpacing"/>
                <w:rPr>
                  <w:rFonts w:asciiTheme="majorHAnsi" w:hAnsiTheme="majorHAnsi"/>
                  <w:b/>
                  <w:bCs/>
                </w:rPr>
              </w:pPr>
              <w:r>
                <w:rPr>
                  <w:rFonts w:asciiTheme="majorHAnsi" w:hAnsiTheme="majorHAnsi"/>
                </w:rPr>
                <w:t>Utsav Verma</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63C2F9EE" w:rsidR="00756E07" w:rsidRPr="008848D6" w:rsidRDefault="001869CB"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24DDB318" w14:textId="7947DA8D" w:rsidR="00756E07" w:rsidRPr="008848D6" w:rsidRDefault="001869CB" w:rsidP="00C22C69">
            <w:pPr>
              <w:pStyle w:val="NoSpacing"/>
              <w:rPr>
                <w:rFonts w:asciiTheme="majorHAnsi" w:hAnsiTheme="majorHAnsi"/>
              </w:rPr>
            </w:pPr>
            <w:r>
              <w:rPr>
                <w:rFonts w:asciiTheme="majorHAnsi" w:hAnsiTheme="majorHAnsi"/>
              </w:rPr>
              <w:t>30-10-2026</w:t>
            </w:r>
          </w:p>
        </w:tc>
        <w:tc>
          <w:tcPr>
            <w:tcW w:w="2295" w:type="dxa"/>
            <w:tcBorders>
              <w:top w:val="dotted" w:sz="4" w:space="0" w:color="auto"/>
              <w:left w:val="dotted" w:sz="4" w:space="0" w:color="auto"/>
              <w:bottom w:val="dotted" w:sz="4" w:space="0" w:color="auto"/>
              <w:right w:val="dotted" w:sz="4" w:space="0" w:color="auto"/>
            </w:tcBorders>
          </w:tcPr>
          <w:p w14:paraId="682C640D" w14:textId="653B924F" w:rsidR="00756E07" w:rsidRPr="008848D6" w:rsidRDefault="001869CB"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0A0739BE" w14:textId="33C237EA" w:rsidR="00756E07" w:rsidRPr="008848D6" w:rsidRDefault="001869CB" w:rsidP="00CB78C5">
            <w:pPr>
              <w:pStyle w:val="NoSpacing"/>
              <w:rPr>
                <w:rFonts w:asciiTheme="majorHAnsi" w:hAnsiTheme="majorHAnsi"/>
              </w:rPr>
            </w:pPr>
            <w:r>
              <w:rPr>
                <w:rFonts w:asciiTheme="majorHAnsi" w:hAnsiTheme="majorHAnsi"/>
              </w:rPr>
              <w:t>Issued for review: document management options compared against the case study and SAD v1.8; prices for US East (N. Virginia); upload, indexing, access and retention design</w:t>
            </w:r>
          </w:p>
        </w:tc>
      </w:tr>
      <w:tr w:rsidR="00756E07" w:rsidRPr="008848D6" w14:paraId="27066A35" w14:textId="77777777" w:rsidTr="00756E07">
        <w:tc>
          <w:tcPr>
            <w:tcW w:w="1176" w:type="dxa"/>
            <w:tcBorders>
              <w:top w:val="dotted" w:sz="4" w:space="0" w:color="auto"/>
              <w:left w:val="dotted" w:sz="4" w:space="0" w:color="auto"/>
              <w:bottom w:val="dotted" w:sz="4" w:space="0" w:color="auto"/>
              <w:right w:val="dotted" w:sz="4" w:space="0" w:color="auto"/>
            </w:tcBorders>
          </w:tcPr>
          <w:p w14:paraId="50526933" w14:textId="77777777" w:rsidR="00756E07" w:rsidRPr="008848D6" w:rsidRDefault="00756E07" w:rsidP="00C22C69">
            <w:pPr>
              <w:pStyle w:val="NoSpacing"/>
              <w:rPr>
                <w:rFonts w:asciiTheme="majorHAnsi" w:hAnsiTheme="majorHAnsi"/>
              </w:rPr>
            </w:pPr>
            <w:r>
              <w:rPr>
                <w:rFonts w:asciiTheme="majorHAnsi" w:hAnsiTheme="majorHAnsi"/>
              </w:rPr>
              <w:t/>
            </w:r>
          </w:p>
        </w:tc>
        <w:tc>
          <w:tcPr>
            <w:tcW w:w="1648" w:type="dxa"/>
            <w:tcBorders>
              <w:top w:val="dotted" w:sz="4" w:space="0" w:color="auto"/>
              <w:left w:val="dotted" w:sz="4" w:space="0" w:color="auto"/>
              <w:bottom w:val="dotted" w:sz="4" w:space="0" w:color="auto"/>
              <w:right w:val="dotted" w:sz="4" w:space="0" w:color="auto"/>
            </w:tcBorders>
          </w:tcPr>
          <w:p w14:paraId="049AA28C" w14:textId="77777777" w:rsidR="00756E07" w:rsidRPr="008848D6" w:rsidRDefault="00756E07" w:rsidP="00CB78C5">
            <w:pPr>
              <w:pStyle w:val="NoSpacing"/>
              <w:rPr>
                <w:rFonts w:asciiTheme="majorHAnsi" w:hAnsiTheme="majorHAnsi"/>
              </w:rPr>
            </w:pPr>
            <w:r>
              <w:rPr>
                <w:rFonts w:asciiTheme="majorHAnsi" w:hAnsiTheme="majorHAnsi"/>
              </w:rPr>
              <w:t/>
            </w:r>
          </w:p>
        </w:tc>
        <w:tc>
          <w:tcPr>
            <w:tcW w:w="2295" w:type="dxa"/>
            <w:tcBorders>
              <w:top w:val="dotted" w:sz="4" w:space="0" w:color="auto"/>
              <w:left w:val="dotted" w:sz="4" w:space="0" w:color="auto"/>
              <w:bottom w:val="dotted" w:sz="4" w:space="0" w:color="auto"/>
              <w:right w:val="dotted" w:sz="4" w:space="0" w:color="auto"/>
            </w:tcBorders>
          </w:tcPr>
          <w:p w14:paraId="3B5A803E" w14:textId="77777777" w:rsidR="00756E07" w:rsidRPr="008848D6" w:rsidRDefault="00756E07" w:rsidP="0041450E">
            <w:pPr>
              <w:pStyle w:val="NoSpacing"/>
              <w:rPr>
                <w:rFonts w:asciiTheme="majorHAnsi" w:hAnsiTheme="majorHAnsi"/>
              </w:rPr>
            </w:pPr>
            <w:r>
              <w:rPr>
                <w:rFonts w:asciiTheme="majorHAnsi" w:hAnsiTheme="majorHAnsi"/>
              </w:rPr>
              <w:t/>
            </w:r>
          </w:p>
        </w:tc>
        <w:tc>
          <w:tcPr>
            <w:tcW w:w="3897" w:type="dxa"/>
            <w:tcBorders>
              <w:top w:val="dotted" w:sz="4" w:space="0" w:color="auto"/>
              <w:left w:val="dotted" w:sz="4" w:space="0" w:color="auto"/>
              <w:bottom w:val="dotted" w:sz="4" w:space="0" w:color="auto"/>
              <w:right w:val="dotted" w:sz="4" w:space="0" w:color="auto"/>
            </w:tcBorders>
          </w:tcPr>
          <w:p w14:paraId="19F6AAE2" w14:textId="77777777" w:rsidR="00756E07" w:rsidRPr="008848D6" w:rsidRDefault="00756E07" w:rsidP="0041450E">
            <w:pPr>
              <w:pStyle w:val="NoSpacing"/>
              <w:rPr>
                <w:rFonts w:asciiTheme="majorHAnsi" w:hAnsiTheme="majorHAnsi"/>
              </w:rPr>
            </w:pPr>
            <w:r>
              <w:rPr>
                <w:rFonts w:asciiTheme="majorHAnsi" w:hAnsiTheme="majorHAnsi"/>
              </w:rPr>
              <w:t/>
            </w:r>
          </w:p>
        </w:tc>
      </w:tr>
      <w:tr w:rsidR="00756E07" w:rsidRPr="008848D6" w14:paraId="1D7DEFA9" w14:textId="77777777" w:rsidTr="00756E07">
        <w:tc>
          <w:tcPr>
            <w:tcW w:w="1176" w:type="dxa"/>
            <w:tcBorders>
              <w:top w:val="dotted" w:sz="4" w:space="0" w:color="auto"/>
              <w:left w:val="dotted" w:sz="4" w:space="0" w:color="auto"/>
              <w:bottom w:val="dotted" w:sz="4" w:space="0" w:color="auto"/>
              <w:right w:val="dotted" w:sz="4" w:space="0" w:color="auto"/>
            </w:tcBorders>
          </w:tcPr>
          <w:p w14:paraId="32E0D77A" w14:textId="77777777" w:rsidR="00756E07" w:rsidRPr="008848D6" w:rsidRDefault="00756E07" w:rsidP="00C22C69">
            <w:pPr>
              <w:pStyle w:val="NoSpacing"/>
              <w:rPr>
                <w:rFonts w:asciiTheme="majorHAnsi" w:hAnsiTheme="majorHAnsi"/>
              </w:rPr>
            </w:pPr>
            <w:r>
              <w:rPr>
                <w:rFonts w:asciiTheme="majorHAnsi" w:hAnsiTheme="majorHAnsi"/>
              </w:rPr>
              <w:t/>
            </w:r>
          </w:p>
        </w:tc>
        <w:tc>
          <w:tcPr>
            <w:tcW w:w="1648" w:type="dxa"/>
            <w:tcBorders>
              <w:top w:val="dotted" w:sz="4" w:space="0" w:color="auto"/>
              <w:left w:val="dotted" w:sz="4" w:space="0" w:color="auto"/>
              <w:bottom w:val="dotted" w:sz="4" w:space="0" w:color="auto"/>
              <w:right w:val="dotted" w:sz="4" w:space="0" w:color="auto"/>
            </w:tcBorders>
          </w:tcPr>
          <w:p w14:paraId="183DFCDE" w14:textId="77777777" w:rsidR="00756E07" w:rsidRPr="008848D6" w:rsidRDefault="00756E07" w:rsidP="00CB78C5">
            <w:pPr>
              <w:pStyle w:val="NoSpacing"/>
              <w:rPr>
                <w:rFonts w:asciiTheme="majorHAnsi" w:hAnsiTheme="majorHAnsi"/>
              </w:rPr>
            </w:pPr>
            <w:r>
              <w:rPr>
                <w:rFonts w:asciiTheme="majorHAnsi" w:hAnsiTheme="majorHAnsi"/>
              </w:rPr>
              <w:t/>
            </w:r>
          </w:p>
        </w:tc>
        <w:tc>
          <w:tcPr>
            <w:tcW w:w="2295" w:type="dxa"/>
            <w:tcBorders>
              <w:top w:val="dotted" w:sz="4" w:space="0" w:color="auto"/>
              <w:left w:val="dotted" w:sz="4" w:space="0" w:color="auto"/>
              <w:bottom w:val="dotted" w:sz="4" w:space="0" w:color="auto"/>
              <w:right w:val="dotted" w:sz="4" w:space="0" w:color="auto"/>
            </w:tcBorders>
          </w:tcPr>
          <w:p w14:paraId="6351DBB0" w14:textId="77777777" w:rsidR="00756E07" w:rsidRPr="008848D6" w:rsidRDefault="00756E07" w:rsidP="0041450E">
            <w:pPr>
              <w:pStyle w:val="NoSpacing"/>
              <w:rPr>
                <w:rFonts w:asciiTheme="majorHAnsi" w:hAnsiTheme="majorHAnsi"/>
              </w:rPr>
            </w:pPr>
            <w:r>
              <w:rPr>
                <w:rFonts w:asciiTheme="majorHAnsi" w:hAnsiTheme="majorHAnsi"/>
              </w:rPr>
              <w:t/>
            </w:r>
          </w:p>
        </w:tc>
        <w:tc>
          <w:tcPr>
            <w:tcW w:w="3897" w:type="dxa"/>
            <w:tcBorders>
              <w:top w:val="dotted" w:sz="4" w:space="0" w:color="auto"/>
              <w:left w:val="dotted" w:sz="4" w:space="0" w:color="auto"/>
              <w:bottom w:val="dotted" w:sz="4" w:space="0" w:color="auto"/>
              <w:right w:val="dotted" w:sz="4" w:space="0" w:color="auto"/>
            </w:tcBorders>
          </w:tcPr>
          <w:p w14:paraId="6CC60448" w14:textId="77777777" w:rsidR="00756E07" w:rsidRPr="008848D6" w:rsidRDefault="00756E07" w:rsidP="0041450E">
            <w:pPr>
              <w:pStyle w:val="NoSpacing"/>
              <w:rPr>
                <w:rFonts w:asciiTheme="majorHAnsi" w:hAnsiTheme="majorHAnsi"/>
              </w:rPr>
            </w:pPr>
            <w:r>
              <w:rPr>
                <w:rFonts w:asciiTheme="majorHAnsi" w:hAnsiTheme="majorHAnsi"/>
              </w:rPr>
              <w:t/>
            </w:r>
          </w:p>
        </w:tc>
      </w:tr>
      <w:tr w:rsidR="00756E07" w:rsidRPr="008848D6" w14:paraId="220DBCB3" w14:textId="77777777" w:rsidTr="00756E07">
        <w:tc>
          <w:tcPr>
            <w:tcW w:w="1176" w:type="dxa"/>
            <w:tcBorders>
              <w:top w:val="dotted" w:sz="4" w:space="0" w:color="auto"/>
              <w:left w:val="dotted" w:sz="4" w:space="0" w:color="auto"/>
              <w:bottom w:val="dotted" w:sz="4" w:space="0" w:color="auto"/>
              <w:right w:val="dotted" w:sz="4" w:space="0" w:color="auto"/>
            </w:tcBorders>
          </w:tcPr>
          <w:p w14:paraId="6A43F505" w14:textId="77777777" w:rsidR="00756E07" w:rsidRPr="008848D6" w:rsidRDefault="00756E07" w:rsidP="00C22C69">
            <w:pPr>
              <w:pStyle w:val="NoSpacing"/>
              <w:rPr>
                <w:rFonts w:asciiTheme="majorHAnsi" w:hAnsiTheme="majorHAnsi"/>
              </w:rPr>
            </w:pPr>
            <w:r>
              <w:rPr>
                <w:rFonts w:asciiTheme="majorHAnsi" w:hAnsiTheme="majorHAnsi"/>
              </w:rPr>
              <w:t/>
            </w:r>
          </w:p>
        </w:tc>
        <w:tc>
          <w:tcPr>
            <w:tcW w:w="1648" w:type="dxa"/>
            <w:tcBorders>
              <w:top w:val="dotted" w:sz="4" w:space="0" w:color="auto"/>
              <w:left w:val="dotted" w:sz="4" w:space="0" w:color="auto"/>
              <w:bottom w:val="dotted" w:sz="4" w:space="0" w:color="auto"/>
              <w:right w:val="dotted" w:sz="4" w:space="0" w:color="auto"/>
            </w:tcBorders>
          </w:tcPr>
          <w:p w14:paraId="6AEF847D" w14:textId="77777777" w:rsidR="00756E07" w:rsidRPr="008848D6" w:rsidRDefault="00756E07" w:rsidP="00CB78C5">
            <w:pPr>
              <w:pStyle w:val="NoSpacing"/>
              <w:rPr>
                <w:rFonts w:asciiTheme="majorHAnsi" w:hAnsiTheme="majorHAnsi"/>
              </w:rPr>
            </w:pPr>
            <w:r>
              <w:rPr>
                <w:rFonts w:asciiTheme="majorHAnsi" w:hAnsiTheme="majorHAnsi"/>
              </w:rPr>
              <w:t/>
            </w:r>
          </w:p>
        </w:tc>
        <w:tc>
          <w:tcPr>
            <w:tcW w:w="2295" w:type="dxa"/>
            <w:tcBorders>
              <w:top w:val="dotted" w:sz="4" w:space="0" w:color="auto"/>
              <w:left w:val="dotted" w:sz="4" w:space="0" w:color="auto"/>
              <w:bottom w:val="dotted" w:sz="4" w:space="0" w:color="auto"/>
              <w:right w:val="dotted" w:sz="4" w:space="0" w:color="auto"/>
            </w:tcBorders>
          </w:tcPr>
          <w:p w14:paraId="4BB577F2" w14:textId="77777777" w:rsidR="00756E07" w:rsidRPr="008848D6" w:rsidRDefault="00756E07" w:rsidP="0041450E">
            <w:pPr>
              <w:pStyle w:val="NoSpacing"/>
              <w:rPr>
                <w:rFonts w:asciiTheme="majorHAnsi" w:hAnsiTheme="majorHAnsi"/>
              </w:rPr>
            </w:pPr>
            <w:r>
              <w:rPr>
                <w:rFonts w:asciiTheme="majorHAnsi" w:hAnsiTheme="majorHAnsi"/>
              </w:rPr>
              <w:t/>
            </w:r>
          </w:p>
        </w:tc>
        <w:tc>
          <w:tcPr>
            <w:tcW w:w="3897" w:type="dxa"/>
            <w:tcBorders>
              <w:top w:val="dotted" w:sz="4" w:space="0" w:color="auto"/>
              <w:left w:val="dotted" w:sz="4" w:space="0" w:color="auto"/>
              <w:bottom w:val="dotted" w:sz="4" w:space="0" w:color="auto"/>
              <w:right w:val="dotted" w:sz="4" w:space="0" w:color="auto"/>
            </w:tcBorders>
          </w:tcPr>
          <w:p w14:paraId="1E5AB81A" w14:textId="77777777" w:rsidR="00756E07" w:rsidRPr="008848D6" w:rsidRDefault="00756E07" w:rsidP="0041450E">
            <w:pPr>
              <w:pStyle w:val="NoSpacing"/>
              <w:rPr>
                <w:rFonts w:asciiTheme="majorHAnsi" w:hAnsiTheme="majorHAnsi"/>
              </w:rPr>
            </w:pPr>
            <w:r>
              <w:rPr>
                <w:rFonts w:asciiTheme="majorHAnsi" w:hAnsiTheme="majorHAnsi"/>
              </w:rPr>
              <w:t/>
            </w: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300000001" w:history="1">
            <w:r w:rsidR="00106C46" w:rsidRPr="004513F3">
              <w:rPr>
                <w:rStyle w:val="Hyperlink"/>
                <w:noProof/>
              </w:rPr>
              <w:t>1</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Introduction</w:t>
            </w:r>
            <w:r w:rsidR="00106C46">
              <w:rPr>
                <w:noProof/>
                <w:webHidden/>
              </w:rPr>
              <w:tab/>
            </w:r>
            <w:r w:rsidR="00106C46">
              <w:rPr>
                <w:noProof/>
                <w:webHidden/>
              </w:rPr>
              <w:fldChar w:fldCharType="begin"/>
            </w:r>
            <w:r w:rsidR="00106C46">
              <w:rPr>
                <w:noProof/>
                <w:webHidden/>
              </w:rPr>
              <w:instrText xml:space="preserve"> PAGEREF _Toc300000001 \h </w:instrText>
            </w:r>
            <w:r w:rsidR="00106C46">
              <w:rPr>
                <w:noProof/>
                <w:webHidden/>
              </w:rPr>
            </w:r>
            <w:r w:rsidR="00106C46">
              <w:rPr>
                <w:noProof/>
                <w:webHidden/>
              </w:rPr>
              <w:fldChar w:fldCharType="separate"/>
            </w:r>
            <w:r w:rsidR="00106C46">
              <w:rPr>
                <w:noProof/>
                <w:webHidden/>
              </w:rPr>
              <w:t>4</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2" w:history="1">
            <w:r w:rsidRPr="004513F3">
              <w:rPr>
                <w:rStyle w:val="Hyperlink"/>
                <w:noProof/>
              </w:rPr>
              <w:t>1.1</w:t>
            </w:r>
            <w:r>
              <w:rPr>
                <w:rFonts w:asciiTheme="minorHAnsi" w:hAnsiTheme="minorHAnsi"/>
                <w:noProof/>
                <w:kern w:val="2"/>
                <w:sz w:val="24"/>
                <w:szCs w:val="24"/>
                <w:lang w:val="en-IN" w:eastAsia="en-IN"/>
                <w14:ligatures w14:val="standardContextual"/>
              </w:rPr>
              <w:tab/>
            </w:r>
            <w:r w:rsidRPr="004513F3">
              <w:rPr>
                <w:rStyle w:val="Hyperlink"/>
                <w:noProof/>
              </w:rPr>
              <w:t>Objective and scope of document</w:t>
            </w:r>
            <w:r>
              <w:rPr>
                <w:noProof/>
                <w:webHidden/>
              </w:rPr>
              <w:tab/>
            </w:r>
            <w:r>
              <w:rPr>
                <w:noProof/>
                <w:webHidden/>
              </w:rPr>
              <w:fldChar w:fldCharType="begin"/>
            </w:r>
            <w:r>
              <w:rPr>
                <w:noProof/>
                <w:webHidden/>
              </w:rPr>
              <w:instrText xml:space="preserve"> PAGEREF _Toc300000002 \h </w:instrText>
            </w:r>
            <w:r>
              <w:rPr>
                <w:noProof/>
                <w:webHidden/>
              </w:rPr>
            </w:r>
            <w:r>
              <w:rPr>
                <w:noProof/>
                <w:webHidden/>
              </w:rPr>
              <w:fldChar w:fldCharType="separate"/>
            </w:r>
            <w:r>
              <w:rPr>
                <w:noProof/>
                <w:webHidden/>
              </w:rPr>
              <w:t>4</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03" w:history="1">
            <w:r w:rsidR="00106C46" w:rsidRPr="004513F3">
              <w:rPr>
                <w:rStyle w:val="Hyperlink"/>
                <w:noProof/>
              </w:rPr>
              <w:t>2</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Requirements at a Glance</w:t>
            </w:r>
            <w:r w:rsidR="00106C46">
              <w:rPr>
                <w:noProof/>
                <w:webHidden/>
              </w:rPr>
              <w:tab/>
            </w:r>
            <w:r w:rsidR="00106C46">
              <w:rPr>
                <w:noProof/>
                <w:webHidden/>
              </w:rPr>
              <w:fldChar w:fldCharType="begin"/>
            </w:r>
            <w:r w:rsidR="00106C46">
              <w:rPr>
                <w:noProof/>
                <w:webHidden/>
              </w:rPr>
              <w:instrText xml:space="preserve"> PAGEREF _Toc300000003 \h </w:instrText>
            </w:r>
            <w:r w:rsidR="00106C46">
              <w:rPr>
                <w:noProof/>
                <w:webHidden/>
              </w:rPr>
            </w:r>
            <w:r w:rsidR="00106C46">
              <w:rPr>
                <w:noProof/>
                <w:webHidden/>
              </w:rPr>
              <w:fldChar w:fldCharType="separate"/>
            </w:r>
            <w:r w:rsidR="00106C46">
              <w:rPr>
                <w:noProof/>
                <w:webHidden/>
              </w:rPr>
              <w:t>5</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4" w:history="1">
            <w:r w:rsidRPr="004513F3">
              <w:rPr>
                <w:rStyle w:val="Hyperlink"/>
                <w:noProof/>
              </w:rPr>
              <w:t>2.1</w:t>
            </w:r>
            <w:r>
              <w:rPr>
                <w:rFonts w:asciiTheme="minorHAnsi" w:hAnsiTheme="minorHAnsi"/>
                <w:noProof/>
                <w:kern w:val="2"/>
                <w:sz w:val="24"/>
                <w:szCs w:val="24"/>
                <w:lang w:val="en-IN" w:eastAsia="en-IN"/>
                <w14:ligatures w14:val="standardContextual"/>
              </w:rPr>
              <w:tab/>
            </w:r>
            <w:r w:rsidRPr="004513F3">
              <w:rPr>
                <w:rStyle w:val="Hyperlink"/>
                <w:noProof/>
              </w:rPr>
              <w:t>Functional Requirements</w:t>
            </w:r>
            <w:r>
              <w:rPr>
                <w:noProof/>
                <w:webHidden/>
              </w:rPr>
              <w:tab/>
            </w:r>
            <w:r>
              <w:rPr>
                <w:noProof/>
                <w:webHidden/>
              </w:rPr>
              <w:fldChar w:fldCharType="begin"/>
            </w:r>
            <w:r>
              <w:rPr>
                <w:noProof/>
                <w:webHidden/>
              </w:rPr>
              <w:instrText xml:space="preserve"> PAGEREF _Toc300000004 \h </w:instrText>
            </w:r>
            <w:r>
              <w:rPr>
                <w:noProof/>
                <w:webHidden/>
              </w:rPr>
            </w:r>
            <w:r>
              <w:rPr>
                <w:noProof/>
                <w:webHidden/>
              </w:rPr>
              <w:fldChar w:fldCharType="separate"/>
            </w:r>
            <w:r>
              <w:rPr>
                <w:noProof/>
                <w:webHidden/>
              </w:rPr>
              <w:t>5</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5" w:history="1">
            <w:r w:rsidRPr="004513F3">
              <w:rPr>
                <w:rStyle w:val="Hyperlink"/>
                <w:noProof/>
              </w:rPr>
              <w:t>2.2</w:t>
            </w:r>
            <w:r>
              <w:rPr>
                <w:rFonts w:asciiTheme="minorHAnsi" w:hAnsiTheme="minorHAnsi"/>
                <w:noProof/>
                <w:kern w:val="2"/>
                <w:sz w:val="24"/>
                <w:szCs w:val="24"/>
                <w:lang w:val="en-IN" w:eastAsia="en-IN"/>
                <w14:ligatures w14:val="standardContextual"/>
              </w:rPr>
              <w:tab/>
            </w:r>
            <w:r w:rsidRPr="004513F3">
              <w:rPr>
                <w:rStyle w:val="Hyperlink"/>
                <w:noProof/>
              </w:rPr>
              <w:t>Non-Functional Requirements</w:t>
            </w:r>
            <w:r>
              <w:rPr>
                <w:noProof/>
                <w:webHidden/>
              </w:rPr>
              <w:tab/>
            </w:r>
            <w:r>
              <w:rPr>
                <w:noProof/>
                <w:webHidden/>
              </w:rPr>
              <w:fldChar w:fldCharType="begin"/>
            </w:r>
            <w:r>
              <w:rPr>
                <w:noProof/>
                <w:webHidden/>
              </w:rPr>
              <w:instrText xml:space="preserve"> PAGEREF _Toc300000005 \h </w:instrText>
            </w:r>
            <w:r>
              <w:rPr>
                <w:noProof/>
                <w:webHidden/>
              </w:rPr>
            </w:r>
            <w:r>
              <w:rPr>
                <w:noProof/>
                <w:webHidden/>
              </w:rPr>
              <w:fldChar w:fldCharType="separate"/>
            </w:r>
            <w:r>
              <w:rPr>
                <w:noProof/>
                <w:webHidden/>
              </w:rPr>
              <w:t>5</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6" w:history="1">
            <w:r w:rsidRPr="004513F3">
              <w:rPr>
                <w:rStyle w:val="Hyperlink"/>
                <w:noProof/>
              </w:rPr>
              <w:t>2.3</w:t>
            </w:r>
            <w:r>
              <w:rPr>
                <w:rFonts w:asciiTheme="minorHAnsi" w:hAnsiTheme="minorHAnsi"/>
                <w:noProof/>
                <w:kern w:val="2"/>
                <w:sz w:val="24"/>
                <w:szCs w:val="24"/>
                <w:lang w:val="en-IN" w:eastAsia="en-IN"/>
                <w14:ligatures w14:val="standardContextual"/>
              </w:rPr>
              <w:tab/>
            </w:r>
            <w:r w:rsidRPr="004513F3">
              <w:rPr>
                <w:rStyle w:val="Hyperlink"/>
                <w:noProof/>
              </w:rPr>
              <w:t>Volume basis</w:t>
            </w:r>
            <w:r>
              <w:rPr>
                <w:noProof/>
                <w:webHidden/>
              </w:rPr>
              <w:tab/>
            </w:r>
            <w:r>
              <w:rPr>
                <w:noProof/>
                <w:webHidden/>
              </w:rPr>
              <w:fldChar w:fldCharType="begin"/>
            </w:r>
            <w:r>
              <w:rPr>
                <w:noProof/>
                <w:webHidden/>
              </w:rPr>
              <w:instrText xml:space="preserve"> PAGEREF _Toc300000006 \h </w:instrText>
            </w:r>
            <w:r>
              <w:rPr>
                <w:noProof/>
                <w:webHidden/>
              </w:rPr>
            </w:r>
            <w:r>
              <w:rPr>
                <w:noProof/>
                <w:webHidden/>
              </w:rPr>
              <w:fldChar w:fldCharType="separate"/>
            </w:r>
            <w:r>
              <w:rPr>
                <w:noProof/>
                <w:webHidden/>
              </w:rPr>
              <w:t>5</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07" w:history="1">
            <w:r w:rsidR="00106C46" w:rsidRPr="004513F3">
              <w:rPr>
                <w:rStyle w:val="Hyperlink"/>
                <w:noProof/>
              </w:rPr>
              <w:t>3</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Available tools</w:t>
            </w:r>
            <w:r w:rsidR="00106C46">
              <w:rPr>
                <w:noProof/>
                <w:webHidden/>
              </w:rPr>
              <w:tab/>
            </w:r>
            <w:r w:rsidR="00106C46">
              <w:rPr>
                <w:noProof/>
                <w:webHidden/>
              </w:rPr>
              <w:fldChar w:fldCharType="begin"/>
            </w:r>
            <w:r w:rsidR="00106C46">
              <w:rPr>
                <w:noProof/>
                <w:webHidden/>
              </w:rPr>
              <w:instrText xml:space="preserve"> PAGEREF _Toc300000007 \h </w:instrText>
            </w:r>
            <w:r w:rsidR="00106C46">
              <w:rPr>
                <w:noProof/>
                <w:webHidden/>
              </w:rPr>
            </w:r>
            <w:r w:rsidR="00106C46">
              <w:rPr>
                <w:noProof/>
                <w:webHidden/>
              </w:rPr>
              <w:fldChar w:fldCharType="separate"/>
            </w:r>
            <w:r w:rsidR="00106C46">
              <w:rPr>
                <w:noProof/>
                <w:webHidden/>
              </w:rPr>
              <w:t>7</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08" w:history="1">
            <w:r w:rsidRPr="004513F3">
              <w:rPr>
                <w:rStyle w:val="Hyperlink"/>
                <w:noProof/>
              </w:rPr>
              <w:t>3.1</w:t>
            </w:r>
            <w:r>
              <w:rPr>
                <w:rFonts w:asciiTheme="minorHAnsi" w:hAnsiTheme="minorHAnsi"/>
                <w:noProof/>
                <w:kern w:val="2"/>
                <w:sz w:val="24"/>
                <w:szCs w:val="24"/>
                <w:lang w:val="en-IN" w:eastAsia="en-IN"/>
                <w14:ligatures w14:val="standardContextual"/>
              </w:rPr>
              <w:tab/>
            </w:r>
            <w:r w:rsidRPr="004513F3">
              <w:rPr>
                <w:rStyle w:val="Hyperlink"/>
                <w:noProof/>
              </w:rPr>
              <w:t>Amazon S3 with PostgreSQL metadata and OpenSearch</w:t>
            </w:r>
            <w:r>
              <w:rPr>
                <w:noProof/>
                <w:webHidden/>
              </w:rPr>
              <w:tab/>
            </w:r>
            <w:r>
              <w:rPr>
                <w:noProof/>
                <w:webHidden/>
              </w:rPr>
              <w:fldChar w:fldCharType="begin"/>
            </w:r>
            <w:r>
              <w:rPr>
                <w:noProof/>
                <w:webHidden/>
              </w:rPr>
              <w:instrText xml:space="preserve"> PAGEREF _Toc300000008 \h </w:instrText>
            </w:r>
            <w:r>
              <w:rPr>
                <w:noProof/>
                <w:webHidden/>
              </w:rPr>
            </w:r>
            <w:r>
              <w:rPr>
                <w:noProof/>
                <w:webHidden/>
              </w:rPr>
              <w:fldChar w:fldCharType="separate"/>
            </w:r>
            <w:r>
              <w:rPr>
                <w:noProof/>
                <w:webHidden/>
              </w:rPr>
              <w:t>7</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09" w:history="1">
            <w:r w:rsidRPr="004513F3">
              <w:rPr>
                <w:rStyle w:val="Hyperlink"/>
                <w:noProof/>
              </w:rPr>
              <w:t>3.1.1</w:t>
            </w:r>
            <w:r>
              <w:rPr>
                <w:rFonts w:asciiTheme="minorHAnsi" w:hAnsiTheme="minorHAnsi"/>
                <w:noProof/>
                <w:kern w:val="2"/>
                <w:sz w:val="24"/>
                <w:szCs w:val="24"/>
                <w:lang w:val="en-IN" w:eastAsia="en-IN"/>
                <w14:ligatures w14:val="standardContextual"/>
              </w:rPr>
              <w:tab/>
            </w:r>
            <w:r w:rsidRPr="004513F3">
              <w:rPr>
                <w:rStyle w:val="Hyperlink"/>
                <w:noProof/>
              </w:rPr>
              <w:t>Key Features</w:t>
            </w:r>
            <w:r>
              <w:rPr>
                <w:noProof/>
                <w:webHidden/>
              </w:rPr>
              <w:tab/>
            </w:r>
            <w:r>
              <w:rPr>
                <w:noProof/>
                <w:webHidden/>
              </w:rPr>
              <w:fldChar w:fldCharType="begin"/>
            </w:r>
            <w:r>
              <w:rPr>
                <w:noProof/>
                <w:webHidden/>
              </w:rPr>
              <w:instrText xml:space="preserve"> PAGEREF _Toc300000009 \h </w:instrText>
            </w:r>
            <w:r>
              <w:rPr>
                <w:noProof/>
                <w:webHidden/>
              </w:rPr>
            </w:r>
            <w:r>
              <w:rPr>
                <w:noProof/>
                <w:webHidden/>
              </w:rPr>
              <w:fldChar w:fldCharType="separate"/>
            </w:r>
            <w:r>
              <w:rPr>
                <w:noProof/>
                <w:webHidden/>
              </w:rPr>
              <w:t>7</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0" w:history="1">
            <w:r w:rsidRPr="004513F3">
              <w:rPr>
                <w:rStyle w:val="Hyperlink"/>
                <w:noProof/>
              </w:rPr>
              <w:t>3.1.2</w:t>
            </w:r>
            <w:r>
              <w:rPr>
                <w:rFonts w:asciiTheme="minorHAnsi" w:hAnsiTheme="minorHAnsi"/>
                <w:noProof/>
                <w:kern w:val="2"/>
                <w:sz w:val="24"/>
                <w:szCs w:val="24"/>
                <w:lang w:val="en-IN" w:eastAsia="en-IN"/>
                <w14:ligatures w14:val="standardContextual"/>
              </w:rPr>
              <w:tab/>
            </w:r>
            <w:r w:rsidRPr="004513F3">
              <w:rPr>
                <w:rStyle w:val="Hyperlink"/>
                <w:noProof/>
              </w:rPr>
              <w:t>Pricing Model</w:t>
            </w:r>
            <w:r>
              <w:rPr>
                <w:noProof/>
                <w:webHidden/>
              </w:rPr>
              <w:tab/>
            </w:r>
            <w:r>
              <w:rPr>
                <w:noProof/>
                <w:webHidden/>
              </w:rPr>
              <w:fldChar w:fldCharType="begin"/>
            </w:r>
            <w:r>
              <w:rPr>
                <w:noProof/>
                <w:webHidden/>
              </w:rPr>
              <w:instrText xml:space="preserve"> PAGEREF _Toc300000010 \h </w:instrText>
            </w:r>
            <w:r>
              <w:rPr>
                <w:noProof/>
                <w:webHidden/>
              </w:rPr>
            </w:r>
            <w:r>
              <w:rPr>
                <w:noProof/>
                <w:webHidden/>
              </w:rPr>
              <w:fldChar w:fldCharType="separate"/>
            </w:r>
            <w:r>
              <w:rPr>
                <w:noProof/>
                <w:webHidden/>
              </w:rPr>
              <w:t>8</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1" w:history="1">
            <w:r w:rsidRPr="004513F3">
              <w:rPr>
                <w:rStyle w:val="Hyperlink"/>
                <w:noProof/>
              </w:rPr>
              <w:t>3.2</w:t>
            </w:r>
            <w:r>
              <w:rPr>
                <w:rFonts w:asciiTheme="minorHAnsi" w:hAnsiTheme="minorHAnsi"/>
                <w:noProof/>
                <w:kern w:val="2"/>
                <w:sz w:val="24"/>
                <w:szCs w:val="24"/>
                <w:lang w:val="en-IN" w:eastAsia="en-IN"/>
                <w14:ligatures w14:val="standardContextual"/>
              </w:rPr>
              <w:tab/>
            </w:r>
            <w:r w:rsidRPr="004513F3">
              <w:rPr>
                <w:rStyle w:val="Hyperlink"/>
                <w:noProof/>
              </w:rPr>
              <w:t>Alfresco Content Services</w:t>
            </w:r>
            <w:r>
              <w:rPr>
                <w:noProof/>
                <w:webHidden/>
              </w:rPr>
              <w:tab/>
            </w:r>
            <w:r>
              <w:rPr>
                <w:noProof/>
                <w:webHidden/>
              </w:rPr>
              <w:fldChar w:fldCharType="begin"/>
            </w:r>
            <w:r>
              <w:rPr>
                <w:noProof/>
                <w:webHidden/>
              </w:rPr>
              <w:instrText xml:space="preserve"> PAGEREF _Toc300000011 \h </w:instrText>
            </w:r>
            <w:r>
              <w:rPr>
                <w:noProof/>
                <w:webHidden/>
              </w:rPr>
            </w:r>
            <w:r>
              <w:rPr>
                <w:noProof/>
                <w:webHidden/>
              </w:rPr>
              <w:fldChar w:fldCharType="separate"/>
            </w:r>
            <w:r>
              <w:rPr>
                <w:noProof/>
                <w:webHidden/>
              </w:rPr>
              <w:t>8</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2" w:history="1">
            <w:r w:rsidRPr="004513F3">
              <w:rPr>
                <w:rStyle w:val="Hyperlink"/>
                <w:noProof/>
              </w:rPr>
              <w:t>3.2.1</w:t>
            </w:r>
            <w:r>
              <w:rPr>
                <w:rFonts w:asciiTheme="minorHAnsi" w:hAnsiTheme="minorHAnsi"/>
                <w:noProof/>
                <w:kern w:val="2"/>
                <w:sz w:val="24"/>
                <w:szCs w:val="24"/>
                <w:lang w:val="en-IN" w:eastAsia="en-IN"/>
                <w14:ligatures w14:val="standardContextual"/>
              </w:rPr>
              <w:tab/>
            </w:r>
            <w:r w:rsidRPr="004513F3">
              <w:rPr>
                <w:rStyle w:val="Hyperlink"/>
                <w:noProof/>
              </w:rPr>
              <w:t>Key Features</w:t>
            </w:r>
            <w:r>
              <w:rPr>
                <w:noProof/>
                <w:webHidden/>
              </w:rPr>
              <w:tab/>
            </w:r>
            <w:r>
              <w:rPr>
                <w:noProof/>
                <w:webHidden/>
              </w:rPr>
              <w:fldChar w:fldCharType="begin"/>
            </w:r>
            <w:r>
              <w:rPr>
                <w:noProof/>
                <w:webHidden/>
              </w:rPr>
              <w:instrText xml:space="preserve"> PAGEREF _Toc300000012 \h </w:instrText>
            </w:r>
            <w:r>
              <w:rPr>
                <w:noProof/>
                <w:webHidden/>
              </w:rPr>
            </w:r>
            <w:r>
              <w:rPr>
                <w:noProof/>
                <w:webHidden/>
              </w:rPr>
              <w:fldChar w:fldCharType="separate"/>
            </w:r>
            <w:r>
              <w:rPr>
                <w:noProof/>
                <w:webHidden/>
              </w:rPr>
              <w:t>8</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3" w:history="1">
            <w:r w:rsidRPr="004513F3">
              <w:rPr>
                <w:rStyle w:val="Hyperlink"/>
                <w:noProof/>
              </w:rPr>
              <w:t>3.2.2</w:t>
            </w:r>
            <w:r>
              <w:rPr>
                <w:rFonts w:asciiTheme="minorHAnsi" w:hAnsiTheme="minorHAnsi"/>
                <w:noProof/>
                <w:kern w:val="2"/>
                <w:sz w:val="24"/>
                <w:szCs w:val="24"/>
                <w:lang w:val="en-IN" w:eastAsia="en-IN"/>
                <w14:ligatures w14:val="standardContextual"/>
              </w:rPr>
              <w:tab/>
            </w:r>
            <w:r w:rsidRPr="004513F3">
              <w:rPr>
                <w:rStyle w:val="Hyperlink"/>
                <w:noProof/>
              </w:rPr>
              <w:t>Pricing Model</w:t>
            </w:r>
            <w:r>
              <w:rPr>
                <w:noProof/>
                <w:webHidden/>
              </w:rPr>
              <w:tab/>
            </w:r>
            <w:r>
              <w:rPr>
                <w:noProof/>
                <w:webHidden/>
              </w:rPr>
              <w:fldChar w:fldCharType="begin"/>
            </w:r>
            <w:r>
              <w:rPr>
                <w:noProof/>
                <w:webHidden/>
              </w:rPr>
              <w:instrText xml:space="preserve"> PAGEREF _Toc300000013 \h </w:instrText>
            </w:r>
            <w:r>
              <w:rPr>
                <w:noProof/>
                <w:webHidden/>
              </w:rPr>
            </w:r>
            <w:r>
              <w:rPr>
                <w:noProof/>
                <w:webHidden/>
              </w:rPr>
              <w:fldChar w:fldCharType="separate"/>
            </w:r>
            <w:r>
              <w:rPr>
                <w:noProof/>
                <w:webHidden/>
              </w:rPr>
              <w:t>8</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4" w:history="1">
            <w:r w:rsidRPr="004513F3">
              <w:rPr>
                <w:rStyle w:val="Hyperlink"/>
                <w:noProof/>
              </w:rPr>
              <w:t>3.3</w:t>
            </w:r>
            <w:r>
              <w:rPr>
                <w:rFonts w:asciiTheme="minorHAnsi" w:hAnsiTheme="minorHAnsi"/>
                <w:noProof/>
                <w:kern w:val="2"/>
                <w:sz w:val="24"/>
                <w:szCs w:val="24"/>
                <w:lang w:val="en-IN" w:eastAsia="en-IN"/>
                <w14:ligatures w14:val="standardContextual"/>
              </w:rPr>
              <w:tab/>
            </w:r>
            <w:r w:rsidRPr="004513F3">
              <w:rPr>
                <w:rStyle w:val="Hyperlink"/>
                <w:noProof/>
              </w:rPr>
              <w:t>Microsoft SharePoint Online</w:t>
            </w:r>
            <w:r>
              <w:rPr>
                <w:noProof/>
                <w:webHidden/>
              </w:rPr>
              <w:tab/>
            </w:r>
            <w:r>
              <w:rPr>
                <w:noProof/>
                <w:webHidden/>
              </w:rPr>
              <w:fldChar w:fldCharType="begin"/>
            </w:r>
            <w:r>
              <w:rPr>
                <w:noProof/>
                <w:webHidden/>
              </w:rPr>
              <w:instrText xml:space="preserve"> PAGEREF _Toc300000014 \h </w:instrText>
            </w:r>
            <w:r>
              <w:rPr>
                <w:noProof/>
                <w:webHidden/>
              </w:rPr>
            </w:r>
            <w:r>
              <w:rPr>
                <w:noProof/>
                <w:webHidden/>
              </w:rPr>
              <w:fldChar w:fldCharType="separate"/>
            </w:r>
            <w:r>
              <w:rPr>
                <w:noProof/>
                <w:webHidden/>
              </w:rPr>
              <w:t>9</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5" w:history="1">
            <w:r w:rsidRPr="004513F3">
              <w:rPr>
                <w:rStyle w:val="Hyperlink"/>
                <w:noProof/>
              </w:rPr>
              <w:t>3.3.1</w:t>
            </w:r>
            <w:r>
              <w:rPr>
                <w:rFonts w:asciiTheme="minorHAnsi" w:hAnsiTheme="minorHAnsi"/>
                <w:noProof/>
                <w:kern w:val="2"/>
                <w:sz w:val="24"/>
                <w:szCs w:val="24"/>
                <w:lang w:val="en-IN" w:eastAsia="en-IN"/>
                <w14:ligatures w14:val="standardContextual"/>
              </w:rPr>
              <w:tab/>
            </w:r>
            <w:r w:rsidRPr="004513F3">
              <w:rPr>
                <w:rStyle w:val="Hyperlink"/>
                <w:noProof/>
              </w:rPr>
              <w:t>Key Features</w:t>
            </w:r>
            <w:r>
              <w:rPr>
                <w:noProof/>
                <w:webHidden/>
              </w:rPr>
              <w:tab/>
            </w:r>
            <w:r>
              <w:rPr>
                <w:noProof/>
                <w:webHidden/>
              </w:rPr>
              <w:fldChar w:fldCharType="begin"/>
            </w:r>
            <w:r>
              <w:rPr>
                <w:noProof/>
                <w:webHidden/>
              </w:rPr>
              <w:instrText xml:space="preserve"> PAGEREF _Toc300000015 \h </w:instrText>
            </w:r>
            <w:r>
              <w:rPr>
                <w:noProof/>
                <w:webHidden/>
              </w:rPr>
            </w:r>
            <w:r>
              <w:rPr>
                <w:noProof/>
                <w:webHidden/>
              </w:rPr>
              <w:fldChar w:fldCharType="separate"/>
            </w:r>
            <w:r>
              <w:rPr>
                <w:noProof/>
                <w:webHidden/>
              </w:rPr>
              <w:t>9</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6" w:history="1">
            <w:r w:rsidRPr="004513F3">
              <w:rPr>
                <w:rStyle w:val="Hyperlink"/>
                <w:noProof/>
              </w:rPr>
              <w:t>3.3.2</w:t>
            </w:r>
            <w:r>
              <w:rPr>
                <w:rFonts w:asciiTheme="minorHAnsi" w:hAnsiTheme="minorHAnsi"/>
                <w:noProof/>
                <w:kern w:val="2"/>
                <w:sz w:val="24"/>
                <w:szCs w:val="24"/>
                <w:lang w:val="en-IN" w:eastAsia="en-IN"/>
                <w14:ligatures w14:val="standardContextual"/>
              </w:rPr>
              <w:tab/>
            </w:r>
            <w:r w:rsidRPr="004513F3">
              <w:rPr>
                <w:rStyle w:val="Hyperlink"/>
                <w:noProof/>
              </w:rPr>
              <w:t>Pricing Model</w:t>
            </w:r>
            <w:r>
              <w:rPr>
                <w:noProof/>
                <w:webHidden/>
              </w:rPr>
              <w:tab/>
            </w:r>
            <w:r>
              <w:rPr>
                <w:noProof/>
                <w:webHidden/>
              </w:rPr>
              <w:fldChar w:fldCharType="begin"/>
            </w:r>
            <w:r>
              <w:rPr>
                <w:noProof/>
                <w:webHidden/>
              </w:rPr>
              <w:instrText xml:space="preserve"> PAGEREF _Toc300000016 \h </w:instrText>
            </w:r>
            <w:r>
              <w:rPr>
                <w:noProof/>
                <w:webHidden/>
              </w:rPr>
            </w:r>
            <w:r>
              <w:rPr>
                <w:noProof/>
                <w:webHidden/>
              </w:rPr>
              <w:fldChar w:fldCharType="separate"/>
            </w:r>
            <w:r>
              <w:rPr>
                <w:noProof/>
                <w:webHidden/>
              </w:rPr>
              <w:t>9</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17" w:history="1">
            <w:r w:rsidRPr="004513F3">
              <w:rPr>
                <w:rStyle w:val="Hyperlink"/>
                <w:noProof/>
              </w:rPr>
              <w:t>3.4</w:t>
            </w:r>
            <w:r>
              <w:rPr>
                <w:rFonts w:asciiTheme="minorHAnsi" w:hAnsiTheme="minorHAnsi"/>
                <w:noProof/>
                <w:kern w:val="2"/>
                <w:sz w:val="24"/>
                <w:szCs w:val="24"/>
                <w:lang w:val="en-IN" w:eastAsia="en-IN"/>
                <w14:ligatures w14:val="standardContextual"/>
              </w:rPr>
              <w:tab/>
            </w:r>
            <w:r w:rsidRPr="004513F3">
              <w:rPr>
                <w:rStyle w:val="Hyperlink"/>
                <w:noProof/>
              </w:rPr>
              <w:t>MongoDB Atlas with GridFS</w:t>
            </w:r>
            <w:r>
              <w:rPr>
                <w:noProof/>
                <w:webHidden/>
              </w:rPr>
              <w:tab/>
            </w:r>
            <w:r>
              <w:rPr>
                <w:noProof/>
                <w:webHidden/>
              </w:rPr>
              <w:fldChar w:fldCharType="begin"/>
            </w:r>
            <w:r>
              <w:rPr>
                <w:noProof/>
                <w:webHidden/>
              </w:rPr>
              <w:instrText xml:space="preserve"> PAGEREF _Toc300000017 \h </w:instrText>
            </w:r>
            <w:r>
              <w:rPr>
                <w:noProof/>
                <w:webHidden/>
              </w:rPr>
            </w:r>
            <w:r>
              <w:rPr>
                <w:noProof/>
                <w:webHidden/>
              </w:rPr>
              <w:fldChar w:fldCharType="separate"/>
            </w:r>
            <w:r>
              <w:rPr>
                <w:noProof/>
                <w:webHidden/>
              </w:rPr>
              <w:t>9</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8" w:history="1">
            <w:r w:rsidRPr="004513F3">
              <w:rPr>
                <w:rStyle w:val="Hyperlink"/>
                <w:noProof/>
              </w:rPr>
              <w:t>3.4.1</w:t>
            </w:r>
            <w:r>
              <w:rPr>
                <w:rFonts w:asciiTheme="minorHAnsi" w:hAnsiTheme="minorHAnsi"/>
                <w:noProof/>
                <w:kern w:val="2"/>
                <w:sz w:val="24"/>
                <w:szCs w:val="24"/>
                <w:lang w:val="en-IN" w:eastAsia="en-IN"/>
                <w14:ligatures w14:val="standardContextual"/>
              </w:rPr>
              <w:tab/>
            </w:r>
            <w:r w:rsidRPr="004513F3">
              <w:rPr>
                <w:rStyle w:val="Hyperlink"/>
                <w:noProof/>
              </w:rPr>
              <w:t>Key Features</w:t>
            </w:r>
            <w:r>
              <w:rPr>
                <w:noProof/>
                <w:webHidden/>
              </w:rPr>
              <w:tab/>
            </w:r>
            <w:r>
              <w:rPr>
                <w:noProof/>
                <w:webHidden/>
              </w:rPr>
              <w:fldChar w:fldCharType="begin"/>
            </w:r>
            <w:r>
              <w:rPr>
                <w:noProof/>
                <w:webHidden/>
              </w:rPr>
              <w:instrText xml:space="preserve"> PAGEREF _Toc300000018 \h </w:instrText>
            </w:r>
            <w:r>
              <w:rPr>
                <w:noProof/>
                <w:webHidden/>
              </w:rPr>
            </w:r>
            <w:r>
              <w:rPr>
                <w:noProof/>
                <w:webHidden/>
              </w:rPr>
              <w:fldChar w:fldCharType="separate"/>
            </w:r>
            <w:r>
              <w:rPr>
                <w:noProof/>
                <w:webHidden/>
              </w:rPr>
              <w:t>9</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300000019" w:history="1">
            <w:r w:rsidRPr="004513F3">
              <w:rPr>
                <w:rStyle w:val="Hyperlink"/>
                <w:noProof/>
              </w:rPr>
              <w:t>3.4.2</w:t>
            </w:r>
            <w:r>
              <w:rPr>
                <w:rFonts w:asciiTheme="minorHAnsi" w:hAnsiTheme="minorHAnsi"/>
                <w:noProof/>
                <w:kern w:val="2"/>
                <w:sz w:val="24"/>
                <w:szCs w:val="24"/>
                <w:lang w:val="en-IN" w:eastAsia="en-IN"/>
                <w14:ligatures w14:val="standardContextual"/>
              </w:rPr>
              <w:tab/>
            </w:r>
            <w:r w:rsidRPr="004513F3">
              <w:rPr>
                <w:rStyle w:val="Hyperlink"/>
                <w:noProof/>
              </w:rPr>
              <w:t>Pricing Model</w:t>
            </w:r>
            <w:r>
              <w:rPr>
                <w:noProof/>
                <w:webHidden/>
              </w:rPr>
              <w:tab/>
            </w:r>
            <w:r>
              <w:rPr>
                <w:noProof/>
                <w:webHidden/>
              </w:rPr>
              <w:fldChar w:fldCharType="begin"/>
            </w:r>
            <w:r>
              <w:rPr>
                <w:noProof/>
                <w:webHidden/>
              </w:rPr>
              <w:instrText xml:space="preserve"> PAGEREF _Toc300000019 \h </w:instrText>
            </w:r>
            <w:r>
              <w:rPr>
                <w:noProof/>
                <w:webHidden/>
              </w:rPr>
            </w:r>
            <w:r>
              <w:rPr>
                <w:noProof/>
                <w:webHidden/>
              </w:rPr>
              <w:fldChar w:fldCharType="separate"/>
            </w:r>
            <w:r>
              <w:rPr>
                <w:noProof/>
                <w:webHidden/>
              </w:rPr>
              <w:t>9</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20" w:history="1">
            <w:r w:rsidR="00106C46" w:rsidRPr="004513F3">
              <w:rPr>
                <w:rStyle w:val="Hyperlink"/>
                <w:noProof/>
              </w:rPr>
              <w:t>4</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Comparison Analysis</w:t>
            </w:r>
            <w:r w:rsidR="00106C46">
              <w:rPr>
                <w:noProof/>
                <w:webHidden/>
              </w:rPr>
              <w:tab/>
            </w:r>
            <w:r w:rsidR="00106C46">
              <w:rPr>
                <w:noProof/>
                <w:webHidden/>
              </w:rPr>
              <w:fldChar w:fldCharType="begin"/>
            </w:r>
            <w:r w:rsidR="00106C46">
              <w:rPr>
                <w:noProof/>
                <w:webHidden/>
              </w:rPr>
              <w:instrText xml:space="preserve"> PAGEREF _Toc300000020 \h </w:instrText>
            </w:r>
            <w:r w:rsidR="00106C46">
              <w:rPr>
                <w:noProof/>
                <w:webHidden/>
              </w:rPr>
            </w:r>
            <w:r w:rsidR="00106C46">
              <w:rPr>
                <w:noProof/>
                <w:webHidden/>
              </w:rPr>
              <w:fldChar w:fldCharType="separate"/>
            </w:r>
            <w:r w:rsidR="00106C46">
              <w:rPr>
                <w:noProof/>
                <w:webHidden/>
              </w:rPr>
              <w:t>10</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1" w:history="1">
            <w:r w:rsidRPr="004513F3">
              <w:rPr>
                <w:rStyle w:val="Hyperlink"/>
                <w:noProof/>
              </w:rPr>
              <w:t>4.1</w:t>
            </w:r>
            <w:r>
              <w:rPr>
                <w:rFonts w:asciiTheme="minorHAnsi" w:hAnsiTheme="minorHAnsi"/>
                <w:noProof/>
                <w:kern w:val="2"/>
                <w:sz w:val="24"/>
                <w:szCs w:val="24"/>
                <w:lang w:val="en-IN" w:eastAsia="en-IN"/>
                <w14:ligatures w14:val="standardContextual"/>
              </w:rPr>
              <w:tab/>
            </w:r>
            <w:r w:rsidRPr="004513F3">
              <w:rPr>
                <w:rStyle w:val="Hyperlink"/>
                <w:noProof/>
              </w:rPr>
              <w:t>Point Matrix</w:t>
            </w:r>
            <w:r>
              <w:rPr>
                <w:noProof/>
                <w:webHidden/>
              </w:rPr>
              <w:tab/>
            </w:r>
            <w:r>
              <w:rPr>
                <w:noProof/>
                <w:webHidden/>
              </w:rPr>
              <w:fldChar w:fldCharType="begin"/>
            </w:r>
            <w:r>
              <w:rPr>
                <w:noProof/>
                <w:webHidden/>
              </w:rPr>
              <w:instrText xml:space="preserve"> PAGEREF _Toc300000021 \h </w:instrText>
            </w:r>
            <w:r>
              <w:rPr>
                <w:noProof/>
                <w:webHidden/>
              </w:rPr>
            </w:r>
            <w:r>
              <w:rPr>
                <w:noProof/>
                <w:webHidden/>
              </w:rPr>
              <w:fldChar w:fldCharType="separate"/>
            </w:r>
            <w:r>
              <w:rPr>
                <w:noProof/>
                <w:webHidden/>
              </w:rPr>
              <w:t>10</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2" w:history="1">
            <w:r w:rsidRPr="004513F3">
              <w:rPr>
                <w:rStyle w:val="Hyperlink"/>
                <w:noProof/>
              </w:rPr>
              <w:t>4.2</w:t>
            </w:r>
            <w:r>
              <w:rPr>
                <w:rFonts w:asciiTheme="minorHAnsi" w:hAnsiTheme="minorHAnsi"/>
                <w:noProof/>
                <w:kern w:val="2"/>
                <w:sz w:val="24"/>
                <w:szCs w:val="24"/>
                <w:lang w:val="en-IN" w:eastAsia="en-IN"/>
                <w14:ligatures w14:val="standardContextual"/>
              </w:rPr>
              <w:tab/>
            </w:r>
            <w:r w:rsidRPr="004513F3">
              <w:rPr>
                <w:rStyle w:val="Hyperlink"/>
                <w:noProof/>
              </w:rPr>
              <w:t>Comparison 1 — Weighted Scoring</w:t>
            </w:r>
            <w:r>
              <w:rPr>
                <w:noProof/>
                <w:webHidden/>
              </w:rPr>
              <w:tab/>
            </w:r>
            <w:r>
              <w:rPr>
                <w:noProof/>
                <w:webHidden/>
              </w:rPr>
              <w:fldChar w:fldCharType="begin"/>
            </w:r>
            <w:r>
              <w:rPr>
                <w:noProof/>
                <w:webHidden/>
              </w:rPr>
              <w:instrText xml:space="preserve"> PAGEREF _Toc300000022 \h </w:instrText>
            </w:r>
            <w:r>
              <w:rPr>
                <w:noProof/>
                <w:webHidden/>
              </w:rPr>
            </w:r>
            <w:r>
              <w:rPr>
                <w:noProof/>
                <w:webHidden/>
              </w:rPr>
              <w:fldChar w:fldCharType="separate"/>
            </w:r>
            <w:r>
              <w:rPr>
                <w:noProof/>
                <w:webHidden/>
              </w:rPr>
              <w:t>10</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3" w:history="1">
            <w:r w:rsidRPr="004513F3">
              <w:rPr>
                <w:rStyle w:val="Hyperlink"/>
                <w:noProof/>
              </w:rPr>
              <w:t>4.3</w:t>
            </w:r>
            <w:r>
              <w:rPr>
                <w:rFonts w:asciiTheme="minorHAnsi" w:hAnsiTheme="minorHAnsi"/>
                <w:noProof/>
                <w:kern w:val="2"/>
                <w:sz w:val="24"/>
                <w:szCs w:val="24"/>
                <w:lang w:val="en-IN" w:eastAsia="en-IN"/>
                <w14:ligatures w14:val="standardContextual"/>
              </w:rPr>
              <w:tab/>
            </w:r>
            <w:r w:rsidRPr="004513F3">
              <w:rPr>
                <w:rStyle w:val="Hyperlink"/>
                <w:noProof/>
              </w:rPr>
              <w:t>Comparison 2 — Capability Comparison</w:t>
            </w:r>
            <w:r>
              <w:rPr>
                <w:noProof/>
                <w:webHidden/>
              </w:rPr>
              <w:tab/>
            </w:r>
            <w:r>
              <w:rPr>
                <w:noProof/>
                <w:webHidden/>
              </w:rPr>
              <w:fldChar w:fldCharType="begin"/>
            </w:r>
            <w:r>
              <w:rPr>
                <w:noProof/>
                <w:webHidden/>
              </w:rPr>
              <w:instrText xml:space="preserve"> PAGEREF _Toc300000023 \h </w:instrText>
            </w:r>
            <w:r>
              <w:rPr>
                <w:noProof/>
                <w:webHidden/>
              </w:rPr>
            </w:r>
            <w:r>
              <w:rPr>
                <w:noProof/>
                <w:webHidden/>
              </w:rPr>
              <w:fldChar w:fldCharType="separate"/>
            </w:r>
            <w:r>
              <w:rPr>
                <w:noProof/>
                <w:webHidden/>
              </w:rPr>
              <w:t>11</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4" w:history="1">
            <w:r w:rsidRPr="004513F3">
              <w:rPr>
                <w:rStyle w:val="Hyperlink"/>
                <w:noProof/>
              </w:rPr>
              <w:t>4.4</w:t>
            </w:r>
            <w:r>
              <w:rPr>
                <w:rFonts w:asciiTheme="minorHAnsi" w:hAnsiTheme="minorHAnsi"/>
                <w:noProof/>
                <w:kern w:val="2"/>
                <w:sz w:val="24"/>
                <w:szCs w:val="24"/>
                <w:lang w:val="en-IN" w:eastAsia="en-IN"/>
                <w14:ligatures w14:val="standardContextual"/>
              </w:rPr>
              <w:tab/>
            </w:r>
            <w:r w:rsidRPr="004513F3">
              <w:rPr>
                <w:rStyle w:val="Hyperlink"/>
                <w:noProof/>
              </w:rPr>
              <w:t>Comparison 3 — Pricing at eClaims Volume</w:t>
            </w:r>
            <w:r>
              <w:rPr>
                <w:noProof/>
                <w:webHidden/>
              </w:rPr>
              <w:tab/>
            </w:r>
            <w:r>
              <w:rPr>
                <w:noProof/>
                <w:webHidden/>
              </w:rPr>
              <w:fldChar w:fldCharType="begin"/>
            </w:r>
            <w:r>
              <w:rPr>
                <w:noProof/>
                <w:webHidden/>
              </w:rPr>
              <w:instrText xml:space="preserve"> PAGEREF _Toc300000024 \h </w:instrText>
            </w:r>
            <w:r>
              <w:rPr>
                <w:noProof/>
                <w:webHidden/>
              </w:rPr>
            </w:r>
            <w:r>
              <w:rPr>
                <w:noProof/>
                <w:webHidden/>
              </w:rPr>
              <w:fldChar w:fldCharType="separate"/>
            </w:r>
            <w:r>
              <w:rPr>
                <w:noProof/>
                <w:webHidden/>
              </w:rPr>
              <w:t>13</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25" w:history="1">
            <w:r w:rsidRPr="004513F3">
              <w:rPr>
                <w:rStyle w:val="Hyperlink"/>
                <w:noProof/>
              </w:rPr>
              <w:t>4.5</w:t>
            </w:r>
            <w:r>
              <w:rPr>
                <w:rFonts w:asciiTheme="minorHAnsi" w:hAnsiTheme="minorHAnsi"/>
                <w:noProof/>
                <w:kern w:val="2"/>
                <w:sz w:val="24"/>
                <w:szCs w:val="24"/>
                <w:lang w:val="en-IN" w:eastAsia="en-IN"/>
                <w14:ligatures w14:val="standardContextual"/>
              </w:rPr>
              <w:tab/>
            </w:r>
            <w:r w:rsidRPr="004513F3">
              <w:rPr>
                <w:rStyle w:val="Hyperlink"/>
                <w:noProof/>
              </w:rPr>
              <w:t>Sensitivity</w:t>
            </w:r>
            <w:r>
              <w:rPr>
                <w:noProof/>
                <w:webHidden/>
              </w:rPr>
              <w:tab/>
            </w:r>
            <w:r>
              <w:rPr>
                <w:noProof/>
                <w:webHidden/>
              </w:rPr>
              <w:fldChar w:fldCharType="begin"/>
            </w:r>
            <w:r>
              <w:rPr>
                <w:noProof/>
                <w:webHidden/>
              </w:rPr>
              <w:instrText xml:space="preserve"> PAGEREF _Toc300000025 \h </w:instrText>
            </w:r>
            <w:r>
              <w:rPr>
                <w:noProof/>
                <w:webHidden/>
              </w:rPr>
            </w:r>
            <w:r>
              <w:rPr>
                <w:noProof/>
                <w:webHidden/>
              </w:rPr>
              <w:fldChar w:fldCharType="separate"/>
            </w:r>
            <w:r>
              <w:rPr>
                <w:noProof/>
                <w:webHidden/>
              </w:rPr>
              <w:t>13</w:t>
            </w:r>
            <w:r>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26" w:history="1">
            <w:r w:rsidR="00106C46" w:rsidRPr="004513F3">
              <w:rPr>
                <w:rStyle w:val="Hyperlink"/>
                <w:noProof/>
              </w:rPr>
              <w:t>5</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Recommendation</w:t>
            </w:r>
            <w:r w:rsidR="00106C46">
              <w:rPr>
                <w:noProof/>
                <w:webHidden/>
              </w:rPr>
              <w:tab/>
            </w:r>
            <w:r w:rsidR="00106C46">
              <w:rPr>
                <w:noProof/>
                <w:webHidden/>
              </w:rPr>
              <w:fldChar w:fldCharType="begin"/>
            </w:r>
            <w:r w:rsidR="00106C46">
              <w:rPr>
                <w:noProof/>
                <w:webHidden/>
              </w:rPr>
              <w:instrText xml:space="preserve"> PAGEREF _Toc300000026 \h </w:instrText>
            </w:r>
            <w:r w:rsidR="00106C46">
              <w:rPr>
                <w:noProof/>
                <w:webHidden/>
              </w:rPr>
            </w:r>
            <w:r w:rsidR="00106C46">
              <w:rPr>
                <w:noProof/>
                <w:webHidden/>
              </w:rPr>
              <w:fldChar w:fldCharType="separate"/>
            </w:r>
            <w:r w:rsidR="00106C46">
              <w:rPr>
                <w:noProof/>
                <w:webHidden/>
              </w:rPr>
              <w:t>15</w:t>
            </w:r>
            <w:r w:rsidR="00106C46">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27" w:history="1">
            <w:r w:rsidR="00106C46" w:rsidRPr="004513F3">
              <w:rPr>
                <w:rStyle w:val="Hyperlink"/>
                <w:noProof/>
              </w:rPr>
              <w:t>6</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Assumptions</w:t>
            </w:r>
            <w:r w:rsidR="00106C46">
              <w:rPr>
                <w:noProof/>
                <w:webHidden/>
              </w:rPr>
              <w:tab/>
            </w:r>
            <w:r w:rsidR="00106C46">
              <w:rPr>
                <w:noProof/>
                <w:webHidden/>
              </w:rPr>
              <w:fldChar w:fldCharType="begin"/>
            </w:r>
            <w:r w:rsidR="00106C46">
              <w:rPr>
                <w:noProof/>
                <w:webHidden/>
              </w:rPr>
              <w:instrText xml:space="preserve"> PAGEREF _Toc300000027 \h </w:instrText>
            </w:r>
            <w:r w:rsidR="00106C46">
              <w:rPr>
                <w:noProof/>
                <w:webHidden/>
              </w:rPr>
            </w:r>
            <w:r w:rsidR="00106C46">
              <w:rPr>
                <w:noProof/>
                <w:webHidden/>
              </w:rPr>
              <w:fldChar w:fldCharType="separate"/>
            </w:r>
            <w:r w:rsidR="00106C46">
              <w:rPr>
                <w:noProof/>
                <w:webHidden/>
              </w:rPr>
              <w:t>17</w:t>
            </w:r>
            <w:r w:rsidR="00106C46">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28" w:history="1">
            <w:r w:rsidR="00106C46" w:rsidRPr="004513F3">
              <w:rPr>
                <w:rStyle w:val="Hyperlink"/>
                <w:noProof/>
              </w:rPr>
              <w:t>7</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Risks</w:t>
            </w:r>
            <w:r w:rsidR="00106C46">
              <w:rPr>
                <w:noProof/>
                <w:webHidden/>
              </w:rPr>
              <w:tab/>
            </w:r>
            <w:r w:rsidR="00106C46">
              <w:rPr>
                <w:noProof/>
                <w:webHidden/>
              </w:rPr>
              <w:fldChar w:fldCharType="begin"/>
            </w:r>
            <w:r w:rsidR="00106C46">
              <w:rPr>
                <w:noProof/>
                <w:webHidden/>
              </w:rPr>
              <w:instrText xml:space="preserve"> PAGEREF _Toc300000028 \h </w:instrText>
            </w:r>
            <w:r w:rsidR="00106C46">
              <w:rPr>
                <w:noProof/>
                <w:webHidden/>
              </w:rPr>
            </w:r>
            <w:r w:rsidR="00106C46">
              <w:rPr>
                <w:noProof/>
                <w:webHidden/>
              </w:rPr>
              <w:fldChar w:fldCharType="separate"/>
            </w:r>
            <w:r w:rsidR="00106C46">
              <w:rPr>
                <w:noProof/>
                <w:webHidden/>
              </w:rPr>
              <w:t>18</w:t>
            </w:r>
            <w:r w:rsidR="00106C46">
              <w:rPr>
                <w:noProof/>
                <w:webHidden/>
              </w:rPr>
              <w:fldChar w:fldCharType="end"/>
            </w:r>
          </w:hyperlink>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hyperlink w:anchor="_Toc300000029" w:history="1">
            <w:r w:rsidR="00106C46" w:rsidRPr="004513F3">
              <w:rPr>
                <w:rStyle w:val="Hyperlink"/>
                <w:noProof/>
              </w:rPr>
              <w:t>8</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Appendix</w:t>
            </w:r>
            <w:r w:rsidR="00106C46">
              <w:rPr>
                <w:noProof/>
                <w:webHidden/>
              </w:rPr>
              <w:tab/>
            </w:r>
            <w:r w:rsidR="00106C46">
              <w:rPr>
                <w:noProof/>
                <w:webHidden/>
              </w:rPr>
              <w:fldChar w:fldCharType="begin"/>
            </w:r>
            <w:r w:rsidR="00106C46">
              <w:rPr>
                <w:noProof/>
                <w:webHidden/>
              </w:rPr>
              <w:instrText xml:space="preserve"> PAGEREF _Toc300000029 \h </w:instrText>
            </w:r>
            <w:r w:rsidR="00106C46">
              <w:rPr>
                <w:noProof/>
                <w:webHidden/>
              </w:rPr>
            </w:r>
            <w:r w:rsidR="00106C46">
              <w:rPr>
                <w:noProof/>
                <w:webHidden/>
              </w:rPr>
              <w:fldChar w:fldCharType="separate"/>
            </w:r>
            <w:r w:rsidR="00106C46">
              <w:rPr>
                <w:noProof/>
                <w:webHidden/>
              </w:rPr>
              <w:t>20</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30" w:history="1">
            <w:r w:rsidRPr="004513F3">
              <w:rPr>
                <w:rStyle w:val="Hyperlink"/>
                <w:noProof/>
              </w:rPr>
              <w:t>8.1</w:t>
            </w:r>
            <w:r>
              <w:rPr>
                <w:rFonts w:asciiTheme="minorHAnsi" w:hAnsiTheme="minorHAnsi"/>
                <w:noProof/>
                <w:kern w:val="2"/>
                <w:sz w:val="24"/>
                <w:szCs w:val="24"/>
                <w:lang w:val="en-IN" w:eastAsia="en-IN"/>
                <w14:ligatures w14:val="standardContextual"/>
              </w:rPr>
              <w:tab/>
            </w:r>
            <w:r w:rsidRPr="004513F3">
              <w:rPr>
                <w:rStyle w:val="Hyperlink"/>
                <w:noProof/>
              </w:rPr>
              <w:t>References</w:t>
            </w:r>
            <w:r>
              <w:rPr>
                <w:noProof/>
                <w:webHidden/>
              </w:rPr>
              <w:tab/>
            </w:r>
            <w:r>
              <w:rPr>
                <w:noProof/>
                <w:webHidden/>
              </w:rPr>
              <w:fldChar w:fldCharType="begin"/>
            </w:r>
            <w:r>
              <w:rPr>
                <w:noProof/>
                <w:webHidden/>
              </w:rPr>
              <w:instrText xml:space="preserve"> PAGEREF _Toc300000030 \h </w:instrText>
            </w:r>
            <w:r>
              <w:rPr>
                <w:noProof/>
                <w:webHidden/>
              </w:rPr>
            </w:r>
            <w:r>
              <w:rPr>
                <w:noProof/>
                <w:webHidden/>
              </w:rPr>
              <w:fldChar w:fldCharType="separate"/>
            </w:r>
            <w:r>
              <w:rPr>
                <w:noProof/>
                <w:webHidden/>
              </w:rPr>
              <w:t>20</w:t>
            </w:r>
            <w:r>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300000031" w:history="1">
            <w:r w:rsidRPr="004513F3">
              <w:rPr>
                <w:rStyle w:val="Hyperlink"/>
                <w:noProof/>
              </w:rPr>
              <w:t>8.2</w:t>
            </w:r>
            <w:r>
              <w:rPr>
                <w:rFonts w:asciiTheme="minorHAnsi" w:hAnsiTheme="minorHAnsi"/>
                <w:noProof/>
                <w:kern w:val="2"/>
                <w:sz w:val="24"/>
                <w:szCs w:val="24"/>
                <w:lang w:val="en-IN" w:eastAsia="en-IN"/>
                <w14:ligatures w14:val="standardContextual"/>
              </w:rPr>
              <w:tab/>
            </w:r>
            <w:r w:rsidRPr="004513F3">
              <w:rPr>
                <w:rStyle w:val="Hyperlink"/>
                <w:noProof/>
              </w:rPr>
              <w:t>Scoring Methodology</w:t>
            </w:r>
            <w:r>
              <w:rPr>
                <w:noProof/>
                <w:webHidden/>
              </w:rPr>
              <w:tab/>
            </w:r>
            <w:r>
              <w:rPr>
                <w:noProof/>
                <w:webHidden/>
              </w:rPr>
              <w:fldChar w:fldCharType="begin"/>
            </w:r>
            <w:r>
              <w:rPr>
                <w:noProof/>
                <w:webHidden/>
              </w:rPr>
              <w:instrText xml:space="preserve"> PAGEREF _Toc300000031 \h </w:instrText>
            </w:r>
            <w:r>
              <w:rPr>
                <w:noProof/>
                <w:webHidden/>
              </w:rPr>
            </w:r>
            <w:r>
              <w:rPr>
                <w:noProof/>
                <w:webHidden/>
              </w:rPr>
              <w:fldChar w:fldCharType="separate"/>
            </w:r>
            <w:r>
              <w:rPr>
                <w:noProof/>
                <w:webHidden/>
              </w:rPr>
              <w:t>20</w:t>
            </w:r>
            <w:r>
              <w:rPr>
                <w:noProof/>
                <w:webHidden/>
              </w:rPr>
              <w:fldChar w:fldCharType="end"/>
            </w:r>
          </w:hyperlink>
        </w:p>
        <w:p w14:paraId="6CD82433" w14:textId="016C287E"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pPr>
        <w:pStyle w:val="Heading1"/>
      </w:pPr>
      <w:bookmarkStart w:id="100" w:name="_Toc300000001"/>
      <w:r>
        <w:t>Introduction</w:t>
      </w:r>
      <w:bookmarkEnd w:id="100"/>
    </w:p>
    <w:p>
      <w:r>
        <w:t>This Decision Analysis and Recommendation (DAR) document records the evaluation behind the choice of document management approach for the YCompany eClaims platform — the component that stores, protects, finds and archives every document attached to a claim: accident photographs, police reports, survey reports, work orders, estimates, invoices and the archive of every communication with the customer.</w:t>
      </w:r>
    </w:p>
    <w:p>
      <w:r>
        <w:t>The case study calls document management "the key aspect" of eClaims, because every claim document must be saved and archived for later auditing and processing. The eClaims Solution Approach Document (SAD) answers it with Amazon S3 for the files, PostgreSQL for their metadata and OpenSearch for search (SAD Layer 5 and the Document Service in Layer 3). The SAD states that design; this DAR supplies the evidence for it — the candidates considered, the evaluation attributes and their weights, the scoring, the indicative cost at eClaims volume, and the assumptions and risks the recommendation carries. It also sets out the design details the SAD leaves open: how uploads are checked, scanned and indexed, how access is decided, and how retention is enforced.</w:t>
      </w:r>
    </w:p>
    <w:p>
      <w:pPr>
        <w:pStyle w:val="Heading2"/>
      </w:pPr>
      <w:bookmarkStart w:id="101" w:name="_Toc300000002"/>
      <w:r>
        <w:t>Objective and scope of document</w:t>
      </w:r>
      <w:bookmarkEnd w:id="101"/>
    </w:p>
    <w:p>
      <w:r>
        <w:t>The objective of this document is to identify the viable document management options for eClaims, compare them objectively against requirement-derived criteria, and recommend one for the target production architecture.</w:t>
      </w:r>
    </w:p>
    <w:p>
      <w:r>
        <w:t>The scope of this DAR includes:</w:t>
      </w:r>
    </w:p>
    <w:p>
      <w:pPr>
        <w:pStyle w:val="ListParagraph"/>
        <w:numPr>
          <w:ilvl w:val="0"/>
          <w:numId w:val="40"/>
        </w:numPr>
      </w:pPr>
      <w:r>
        <w:t>Candidate identification — the document management approaches credible for an insurance claims platform that adds about 240 TB of documents a year, from a composable cloud design to an enterprise content management platform.</w:t>
      </w:r>
    </w:p>
    <w:p>
      <w:pPr>
        <w:pStyle w:val="ListParagraph"/>
        <w:numPr>
          <w:ilvl w:val="0"/>
          <w:numId w:val="40"/>
        </w:numPr>
      </w:pPr>
      <w:r>
        <w:t>Evaluation attributes and weights — each attribute traced to a stated functional or non-functional requirement, so that the weighting is auditable rather than asserted.</w:t>
      </w:r>
    </w:p>
    <w:p>
      <w:pPr>
        <w:pStyle w:val="ListParagraph"/>
        <w:numPr>
          <w:ilvl w:val="0"/>
          <w:numId w:val="40"/>
        </w:numPr>
      </w:pPr>
      <w:r>
        <w:t>Comparative analysis — a weighted point matrix, a native-capability comparison, an indicative cost comparison at projected eClaims volume and a sensitivity check.</w:t>
      </w:r>
    </w:p>
    <w:p>
      <w:pPr>
        <w:pStyle w:val="ListParagraph"/>
        <w:numPr>
          <w:ilvl w:val="0"/>
          <w:numId w:val="40"/>
        </w:numPr>
      </w:pPr>
      <w:r>
        <w:t>Recommendation — including the design details that make it complete, and the conditions under which it would change.</w:t>
      </w:r>
    </w:p>
    <w:p>
      <w:pPr>
        <w:pStyle w:val="ListParagraph"/>
        <w:numPr>
          <w:ilvl w:val="0"/>
          <w:numId w:val="40"/>
        </w:numPr>
      </w:pPr>
      <w:r>
        <w:t>Assumptions and risks — with mitigations, for the recommended option.</w:t>
      </w:r>
    </w:p>
    <w:p>
      <w:r>
        <w:t>The following are out of scope. This document does not restate the eClaims solution architecture, does not design the document metadata schema or the portal screens, and does not cover deployment topology or sizing, all of which are addressed in the SAD. It does not set the retention period for each class of document, which is YCompany's decision under the insurance regulations that apply to it. Cost figures are indicative public list prices for US East (N. Virginia) as at the document date and are not quotations.</w:t>
      </w:r>
    </w:p>
    <w:p>
      <w:r>
        <w:br w:type="page"/>
      </w:r>
    </w:p>
    <w:p>
      <w:pPr>
        <w:pStyle w:val="Heading1"/>
      </w:pPr>
      <w:bookmarkStart w:id="102" w:name="_Toc300000003"/>
      <w:r>
        <w:t>Requirements at a Glance</w:t>
      </w:r>
      <w:bookmarkEnd w:id="102"/>
    </w:p>
    <w:p>
      <w:r>
        <w:t>This section summarises only those requirements that discriminate between the options. It is deliberately not a restatement of the full eClaims requirement set; requirements that every candidate satisfies equally are omitted, because they cannot influence the decision.</w:t>
      </w:r>
    </w:p>
    <w:p>
      <w:pPr>
        <w:pStyle w:val="Heading2"/>
      </w:pPr>
      <w:bookmarkStart w:id="103" w:name="_Toc300000004"/>
      <w:r>
        <w:t>Functional Requirements</w:t>
      </w:r>
      <w:bookmarkEnd w:id="103"/>
    </w:p>
    <w:p>
      <w:pPr>
        <w:pStyle w:val="ListParagraph"/>
        <w:numPr>
          <w:ilvl w:val="0"/>
          <w:numId w:val="40"/>
        </w:numPr>
      </w:pPr>
      <w:r>
        <w:t>Central document management — every claim document must be saved and archived in a central document management system for auditing, compliance and further processing (case study, Section 3).</w:t>
      </w:r>
    </w:p>
    <w:p>
      <w:pPr>
        <w:pStyle w:val="ListParagraph"/>
        <w:numPr>
          <w:ilvl w:val="0"/>
          <w:numId w:val="40"/>
        </w:numPr>
      </w:pPr>
      <w:r>
        <w:t>Customer uploads — customers submit supporting documents with a claim, such as accident photographs and the police report (case study, Section 3).</w:t>
      </w:r>
    </w:p>
    <w:p>
      <w:pPr>
        <w:pStyle w:val="ListParagraph"/>
        <w:numPr>
          <w:ilvl w:val="0"/>
          <w:numId w:val="40"/>
        </w:numPr>
      </w:pPr>
      <w:r>
        <w:t>Partner uploads — workshops upload work orders, estimates, progress reports and final bills against a claim (case study, Sections 3 and 3rd Party integrations).</w:t>
      </w:r>
    </w:p>
    <w:p>
      <w:pPr>
        <w:pStyle w:val="ListParagraph"/>
        <w:numPr>
          <w:ilvl w:val="0"/>
          <w:numId w:val="40"/>
        </w:numPr>
      </w:pPr>
      <w:r>
        <w:t>Staff access — Surveyors submit assessment reports online; Adjustors view the claim, its supporting documents and the assessment to adjudicate; Case Managers see the complete case; Auditors see everything about a claim and its processing (case study, Incident Management).</w:t>
      </w:r>
    </w:p>
    <w:p>
      <w:pPr>
        <w:pStyle w:val="ListParagraph"/>
        <w:numPr>
          <w:ilvl w:val="0"/>
          <w:numId w:val="40"/>
        </w:numPr>
      </w:pPr>
      <w:r>
        <w:t>Communications archive — all communication with the customer must be archived for future reference, auditing and compliance (case study, Alerts and Notification).</w:t>
      </w:r>
    </w:p>
    <w:p>
      <w:pPr>
        <w:pStyle w:val="ListParagraph"/>
        <w:numPr>
          <w:ilvl w:val="0"/>
          <w:numId w:val="40"/>
        </w:numPr>
      </w:pPr>
      <w:r>
        <w:t>Non-repudiation — the system must support non-repudiation and help guard against fraudulent claims, so a stored document must be provably the one that was submitted (case study, Section 5.1, item 6).</w:t>
      </w:r>
    </w:p>
    <w:p>
      <w:pPr>
        <w:pStyle w:val="ListParagraph"/>
        <w:numPr>
          <w:ilvl w:val="0"/>
          <w:numId w:val="40"/>
        </w:numPr>
      </w:pPr>
      <w:r>
        <w:t>Encryption at rest — sensitive data must be encrypted at rest in line with industry standards (case study, Section 5.1, item 5).</w:t>
      </w:r>
    </w:p>
    <w:p>
      <w:pPr>
        <w:pStyle w:val="ListParagraph"/>
        <w:numPr>
          <w:ilvl w:val="0"/>
          <w:numId w:val="40"/>
        </w:numPr>
      </w:pPr>
      <w:r>
        <w:t>Distributed storage and recovery — data must be stored, backed up and recoverable in a distributed environment (case study, Section 5.1, item 4).</w:t>
      </w:r>
    </w:p>
    <w:p>
      <w:pPr>
        <w:pStyle w:val="Heading2"/>
      </w:pPr>
      <w:bookmarkStart w:id="104" w:name="_Toc300000005"/>
      <w:r>
        <w:t>Non-Functional Requirements</w:t>
      </w:r>
      <w:bookmarkEnd w:id="104"/>
    </w:p>
    <w:p>
      <w:pPr>
        <w:pStyle w:val="ListParagraph"/>
        <w:numPr>
          <w:ilvl w:val="0"/>
          <w:numId w:val="40"/>
        </w:numPr>
      </w:pPr>
      <w:r>
        <w:t>Performance — 99% of requests must complete in under 5,000 ms. A 10 MB photograph uploaded over a slow mobile connection must not count against that budget (SAD Section 9.2, rule 2).</w:t>
      </w:r>
    </w:p>
    <w:p>
      <w:pPr>
        <w:pStyle w:val="ListParagraph"/>
        <w:numPr>
          <w:ilvl w:val="0"/>
          <w:numId w:val="40"/>
        </w:numPr>
      </w:pPr>
      <w:r>
        <w:t>Scalability — about 240 TB of new documents a year, growing with the customer base.</w:t>
      </w:r>
    </w:p>
    <w:p>
      <w:pPr>
        <w:pStyle w:val="ListParagraph"/>
        <w:numPr>
          <w:ilvl w:val="0"/>
          <w:numId w:val="40"/>
        </w:numPr>
      </w:pPr>
      <w:r>
        <w:t>Availability and self-healing — 24×7 operation, with documents recoverable in us-east-2 after a Region failure (SAD Section 4, Deployment Topology).</w:t>
      </w:r>
    </w:p>
    <w:p>
      <w:pPr>
        <w:pStyle w:val="ListParagraph"/>
        <w:numPr>
          <w:ilvl w:val="0"/>
          <w:numId w:val="40"/>
        </w:numPr>
      </w:pPr>
      <w:r>
        <w:t>Security — protection against the OWASP Top 10, including malicious file uploads, and access decided per claim for customers, partners and staff.</w:t>
      </w:r>
    </w:p>
    <w:p>
      <w:pPr>
        <w:pStyle w:val="ListParagraph"/>
        <w:numPr>
          <w:ilvl w:val="0"/>
          <w:numId w:val="40"/>
        </w:numPr>
      </w:pPr>
      <w:r>
        <w:t>Deployment flexibility — the platform must support both on-premise and cloud-based deployment. SAD Assumption 1 makes AWS the Phase 1 target, with an on-premise profile designed but not built.</w:t>
      </w:r>
    </w:p>
    <w:p>
      <w:pPr>
        <w:pStyle w:val="ListParagraph"/>
        <w:numPr>
          <w:ilvl w:val="0"/>
          <w:numId w:val="40"/>
        </w:numPr>
      </w:pPr>
      <w:r>
        <w:t>Maintainability — operated by a lean platform team, with configurability and upgradeability.</w:t>
      </w:r>
    </w:p>
    <w:p>
      <w:pPr>
        <w:pStyle w:val="Heading2"/>
      </w:pPr>
      <w:bookmarkStart w:id="105" w:name="_Toc300000006"/>
      <w:r>
        <w:t>Volume basis</w:t>
      </w:r>
      <w:bookmarkEnd w:id="105"/>
    </w:p>
    <w:p>
      <w:r>
        <w:t>The volumes below come from the SAD workload model (Section 9.1), which treats them as planning assumptions to be validated against YCompany's claims data. They drive the pricing comparison in Section 4.4.</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020"/>
        <w:gridCol w:w="3442"/>
        <w:gridCol w:w="3564"/>
      </w:tblGrid>
      <w:tr>
        <w:trPr>
          <w:cantSplit/>
          <w:tblHeader/>
        </w:trPr>
        <w:tc>
          <w:tcPr>
            <w:tcW w:w="202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Driver</w:t>
            </w:r>
          </w:p>
        </w:tc>
        <w:tc>
          <w:tcPr>
            <w:tcW w:w="344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Planning value</w:t>
            </w:r>
          </w:p>
        </w:tc>
        <w:tc>
          <w:tcPr>
            <w:tcW w:w="356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Basis</w:t>
            </w:r>
          </w:p>
        </w:tc>
      </w:tr>
      <w:tr>
        <w:trPr>
          <w:cantSplit/>
        </w:trPr>
        <w:tc>
          <w:tcPr>
            <w:tcW w:w="2020" w:type="dxa"/>
            <w:tcBorders>
              <w:top w:val="dotted" w:sz="4" w:space="0" w:color="auto"/>
              <w:left w:val="dotted" w:sz="4" w:space="0" w:color="auto"/>
              <w:bottom w:val="dotted" w:sz="4" w:space="0" w:color="auto"/>
              <w:right w:val="dotted" w:sz="4" w:space="0" w:color="auto"/>
            </w:tcBorders>
          </w:tcPr>
          <w:p>
            <w:pPr>
              <w:pStyle w:val="NoSpacing"/>
            </w:pPr>
            <w:r>
              <w:t>Claims</w:t>
            </w:r>
          </w:p>
        </w:tc>
        <w:tc>
          <w:tcPr>
            <w:tcW w:w="3442" w:type="dxa"/>
            <w:tcBorders>
              <w:top w:val="dotted" w:sz="4" w:space="0" w:color="auto"/>
              <w:left w:val="dotted" w:sz="4" w:space="0" w:color="auto"/>
              <w:bottom w:val="dotted" w:sz="4" w:space="0" w:color="auto"/>
              <w:right w:val="dotted" w:sz="4" w:space="0" w:color="auto"/>
            </w:tcBorders>
          </w:tcPr>
          <w:p>
            <w:pPr>
              <w:pStyle w:val="NoSpacing"/>
            </w:pPr>
            <w:r>
              <w:t>12 million a year, about 1 million a month</w:t>
            </w:r>
          </w:p>
        </w:tc>
        <w:tc>
          <w:tcPr>
            <w:tcW w:w="3564" w:type="dxa"/>
            <w:tcBorders>
              <w:top w:val="dotted" w:sz="4" w:space="0" w:color="auto"/>
              <w:left w:val="dotted" w:sz="4" w:space="0" w:color="auto"/>
              <w:bottom w:val="dotted" w:sz="4" w:space="0" w:color="auto"/>
              <w:right w:val="dotted" w:sz="4" w:space="0" w:color="auto"/>
            </w:tcBorders>
          </w:tcPr>
          <w:p>
            <w:pPr>
              <w:pStyle w:val="NoSpacing"/>
            </w:pPr>
            <w:r>
              <w:t>SAD Section 9.1, 6% annual claim frequency</w:t>
            </w:r>
          </w:p>
        </w:tc>
      </w:tr>
      <w:tr>
        <w:trPr>
          <w:cantSplit/>
        </w:trPr>
        <w:tc>
          <w:tcPr>
            <w:tcW w:w="2020" w:type="dxa"/>
            <w:tcBorders>
              <w:top w:val="dotted" w:sz="4" w:space="0" w:color="auto"/>
              <w:left w:val="dotted" w:sz="4" w:space="0" w:color="auto"/>
              <w:bottom w:val="dotted" w:sz="4" w:space="0" w:color="auto"/>
              <w:right w:val="dotted" w:sz="4" w:space="0" w:color="auto"/>
            </w:tcBorders>
          </w:tcPr>
          <w:p>
            <w:pPr>
              <w:pStyle w:val="NoSpacing"/>
            </w:pPr>
            <w:r>
              <w:t>Documents</w:t>
            </w:r>
          </w:p>
        </w:tc>
        <w:tc>
          <w:tcPr>
            <w:tcW w:w="3442" w:type="dxa"/>
            <w:tcBorders>
              <w:top w:val="dotted" w:sz="4" w:space="0" w:color="auto"/>
              <w:left w:val="dotted" w:sz="4" w:space="0" w:color="auto"/>
              <w:bottom w:val="dotted" w:sz="4" w:space="0" w:color="auto"/>
              <w:right w:val="dotted" w:sz="4" w:space="0" w:color="auto"/>
            </w:tcBorders>
          </w:tcPr>
          <w:p>
            <w:pPr>
              <w:pStyle w:val="NoSpacing"/>
            </w:pPr>
            <w:r>
              <w:t>About 10 per claim, about 120 million a year</w:t>
            </w:r>
          </w:p>
        </w:tc>
        <w:tc>
          <w:tcPr>
            <w:tcW w:w="3564" w:type="dxa"/>
            <w:tcBorders>
              <w:top w:val="dotted" w:sz="4" w:space="0" w:color="auto"/>
              <w:left w:val="dotted" w:sz="4" w:space="0" w:color="auto"/>
              <w:bottom w:val="dotted" w:sz="4" w:space="0" w:color="auto"/>
              <w:right w:val="dotted" w:sz="4" w:space="0" w:color="auto"/>
            </w:tcBorders>
          </w:tcPr>
          <w:p>
            <w:pPr>
              <w:pStyle w:val="NoSpacing"/>
            </w:pPr>
            <w:r>
              <w:t>Photographs, police report, survey report, work orders and invoices</w:t>
            </w:r>
          </w:p>
        </w:tc>
      </w:tr>
      <w:tr>
        <w:trPr>
          <w:cantSplit/>
        </w:trPr>
        <w:tc>
          <w:tcPr>
            <w:tcW w:w="2020" w:type="dxa"/>
            <w:tcBorders>
              <w:top w:val="dotted" w:sz="4" w:space="0" w:color="auto"/>
              <w:left w:val="dotted" w:sz="4" w:space="0" w:color="auto"/>
              <w:bottom w:val="dotted" w:sz="4" w:space="0" w:color="auto"/>
              <w:right w:val="dotted" w:sz="4" w:space="0" w:color="auto"/>
            </w:tcBorders>
          </w:tcPr>
          <w:p>
            <w:pPr>
              <w:pStyle w:val="NoSpacing"/>
            </w:pPr>
            <w:r>
              <w:t>Average size</w:t>
            </w:r>
          </w:p>
        </w:tc>
        <w:tc>
          <w:tcPr>
            <w:tcW w:w="3442" w:type="dxa"/>
            <w:tcBorders>
              <w:top w:val="dotted" w:sz="4" w:space="0" w:color="auto"/>
              <w:left w:val="dotted" w:sz="4" w:space="0" w:color="auto"/>
              <w:bottom w:val="dotted" w:sz="4" w:space="0" w:color="auto"/>
              <w:right w:val="dotted" w:sz="4" w:space="0" w:color="auto"/>
            </w:tcBorders>
          </w:tcPr>
          <w:p>
            <w:pPr>
              <w:pStyle w:val="NoSpacing"/>
            </w:pPr>
            <w:r>
              <w:t>About 2 MB</w:t>
            </w:r>
          </w:p>
        </w:tc>
        <w:tc>
          <w:tcPr>
            <w:tcW w:w="3564" w:type="dxa"/>
            <w:tcBorders>
              <w:top w:val="dotted" w:sz="4" w:space="0" w:color="auto"/>
              <w:left w:val="dotted" w:sz="4" w:space="0" w:color="auto"/>
              <w:bottom w:val="dotted" w:sz="4" w:space="0" w:color="auto"/>
              <w:right w:val="dotted" w:sz="4" w:space="0" w:color="auto"/>
            </w:tcBorders>
          </w:tcPr>
          <w:p>
            <w:pPr>
              <w:pStyle w:val="NoSpacing"/>
            </w:pPr>
            <w:r>
              <w:t>Photographs dominate; reports and invoices are smaller</w:t>
            </w:r>
          </w:p>
        </w:tc>
      </w:tr>
      <w:tr>
        <w:trPr>
          <w:cantSplit/>
        </w:trPr>
        <w:tc>
          <w:tcPr>
            <w:tcW w:w="2020" w:type="dxa"/>
            <w:tcBorders>
              <w:top w:val="dotted" w:sz="4" w:space="0" w:color="auto"/>
              <w:left w:val="dotted" w:sz="4" w:space="0" w:color="auto"/>
              <w:bottom w:val="dotted" w:sz="4" w:space="0" w:color="auto"/>
              <w:right w:val="dotted" w:sz="4" w:space="0" w:color="auto"/>
            </w:tcBorders>
          </w:tcPr>
          <w:p>
            <w:pPr>
              <w:pStyle w:val="NoSpacing"/>
            </w:pPr>
            <w:r>
              <w:t>Storage growth</w:t>
            </w:r>
          </w:p>
        </w:tc>
        <w:tc>
          <w:tcPr>
            <w:tcW w:w="3442" w:type="dxa"/>
            <w:tcBorders>
              <w:top w:val="dotted" w:sz="4" w:space="0" w:color="auto"/>
              <w:left w:val="dotted" w:sz="4" w:space="0" w:color="auto"/>
              <w:bottom w:val="dotted" w:sz="4" w:space="0" w:color="auto"/>
              <w:right w:val="dotted" w:sz="4" w:space="0" w:color="auto"/>
            </w:tcBorders>
          </w:tcPr>
          <w:p>
            <w:pPr>
              <w:pStyle w:val="NoSpacing"/>
            </w:pPr>
            <w:r>
              <w:t>About 240 TB a year, about 20 TB a month</w:t>
            </w:r>
          </w:p>
        </w:tc>
        <w:tc>
          <w:tcPr>
            <w:tcW w:w="3564" w:type="dxa"/>
            <w:tcBorders>
              <w:top w:val="dotted" w:sz="4" w:space="0" w:color="auto"/>
              <w:left w:val="dotted" w:sz="4" w:space="0" w:color="auto"/>
              <w:bottom w:val="dotted" w:sz="4" w:space="0" w:color="auto"/>
              <w:right w:val="dotted" w:sz="4" w:space="0" w:color="auto"/>
            </w:tcBorders>
          </w:tcPr>
          <w:p>
            <w:pPr>
              <w:pStyle w:val="NoSpacing"/>
            </w:pPr>
            <w:r>
              <w:t>SAD Section 9.1</w:t>
            </w:r>
          </w:p>
        </w:tc>
      </w:tr>
      <w:tr>
        <w:trPr>
          <w:cantSplit/>
        </w:trPr>
        <w:tc>
          <w:tcPr>
            <w:tcW w:w="2020" w:type="dxa"/>
            <w:tcBorders>
              <w:top w:val="dotted" w:sz="4" w:space="0" w:color="auto"/>
              <w:left w:val="dotted" w:sz="4" w:space="0" w:color="auto"/>
              <w:bottom w:val="dotted" w:sz="4" w:space="0" w:color="auto"/>
              <w:right w:val="dotted" w:sz="4" w:space="0" w:color="auto"/>
            </w:tcBorders>
          </w:tcPr>
          <w:p>
            <w:pPr>
              <w:pStyle w:val="NoSpacing"/>
            </w:pPr>
            <w:r>
              <w:t>Text-bearing documents</w:t>
            </w:r>
          </w:p>
        </w:tc>
        <w:tc>
          <w:tcPr>
            <w:tcW w:w="3442" w:type="dxa"/>
            <w:tcBorders>
              <w:top w:val="dotted" w:sz="4" w:space="0" w:color="auto"/>
              <w:left w:val="dotted" w:sz="4" w:space="0" w:color="auto"/>
              <w:bottom w:val="dotted" w:sz="4" w:space="0" w:color="auto"/>
              <w:right w:val="dotted" w:sz="4" w:space="0" w:color="auto"/>
            </w:tcBorders>
          </w:tcPr>
          <w:p>
            <w:pPr>
              <w:pStyle w:val="NoSpacing"/>
            </w:pPr>
            <w:r>
              <w:t>About 4 per claim, of which about 1 is scanned</w:t>
            </w:r>
          </w:p>
        </w:tc>
        <w:tc>
          <w:tcPr>
            <w:tcW w:w="3564" w:type="dxa"/>
            <w:tcBorders>
              <w:top w:val="dotted" w:sz="4" w:space="0" w:color="auto"/>
              <w:left w:val="dotted" w:sz="4" w:space="0" w:color="auto"/>
              <w:bottom w:val="dotted" w:sz="4" w:space="0" w:color="auto"/>
              <w:right w:val="dotted" w:sz="4" w:space="0" w:color="auto"/>
            </w:tcBorders>
          </w:tcPr>
          <w:p>
            <w:pPr>
              <w:pStyle w:val="NoSpacing"/>
            </w:pPr>
            <w:r>
              <w:t>Police report, survey report, estimate and invoice; the police report is often a scan</w:t>
            </w:r>
          </w:p>
        </w:tc>
      </w:tr>
      <w:tr>
        <w:trPr>
          <w:cantSplit/>
        </w:trPr>
        <w:tc>
          <w:tcPr>
            <w:tcW w:w="2020" w:type="dxa"/>
            <w:tcBorders>
              <w:top w:val="dotted" w:sz="4" w:space="0" w:color="auto"/>
              <w:left w:val="dotted" w:sz="4" w:space="0" w:color="auto"/>
              <w:bottom w:val="dotted" w:sz="4" w:space="0" w:color="auto"/>
              <w:right w:val="dotted" w:sz="4" w:space="0" w:color="auto"/>
            </w:tcBorders>
          </w:tcPr>
          <w:p>
            <w:pPr>
              <w:pStyle w:val="NoSpacing"/>
            </w:pPr>
            <w:r>
              <w:t>Communications</w:t>
            </w:r>
          </w:p>
        </w:tc>
        <w:tc>
          <w:tcPr>
            <w:tcW w:w="3442" w:type="dxa"/>
            <w:tcBorders>
              <w:top w:val="dotted" w:sz="4" w:space="0" w:color="auto"/>
              <w:left w:val="dotted" w:sz="4" w:space="0" w:color="auto"/>
              <w:bottom w:val="dotted" w:sz="4" w:space="0" w:color="auto"/>
              <w:right w:val="dotted" w:sz="4" w:space="0" w:color="auto"/>
            </w:tcBorders>
          </w:tcPr>
          <w:p>
            <w:pPr>
              <w:pStyle w:val="NoSpacing"/>
            </w:pPr>
            <w:r>
              <w:t>About 360 million SMS and email messages a year</w:t>
            </w:r>
          </w:p>
        </w:tc>
        <w:tc>
          <w:tcPr>
            <w:tcW w:w="3564" w:type="dxa"/>
            <w:tcBorders>
              <w:top w:val="dotted" w:sz="4" w:space="0" w:color="auto"/>
              <w:left w:val="dotted" w:sz="4" w:space="0" w:color="auto"/>
              <w:bottom w:val="dotted" w:sz="4" w:space="0" w:color="auto"/>
              <w:right w:val="dotted" w:sz="4" w:space="0" w:color="auto"/>
            </w:tcBorders>
          </w:tcPr>
          <w:p>
            <w:pPr>
              <w:pStyle w:val="NoSpacing"/>
            </w:pPr>
            <w:r>
              <w:t>SAD Section 9.1, about 30 per claim</w:t>
            </w:r>
          </w:p>
        </w:tc>
      </w:tr>
      <w:tr>
        <w:trPr>
          <w:cantSplit/>
        </w:trPr>
        <w:tc>
          <w:tcPr>
            <w:tcW w:w="2020" w:type="dxa"/>
            <w:tcBorders>
              <w:top w:val="dotted" w:sz="4" w:space="0" w:color="auto"/>
              <w:left w:val="dotted" w:sz="4" w:space="0" w:color="auto"/>
              <w:bottom w:val="dotted" w:sz="4" w:space="0" w:color="auto"/>
              <w:right w:val="dotted" w:sz="4" w:space="0" w:color="auto"/>
            </w:tcBorders>
          </w:tcPr>
          <w:p>
            <w:pPr>
              <w:pStyle w:val="NoSpacing"/>
            </w:pPr>
            <w:r>
              <w:t>Lifecycle</w:t>
            </w:r>
          </w:p>
        </w:tc>
        <w:tc>
          <w:tcPr>
            <w:tcW w:w="3442" w:type="dxa"/>
            <w:tcBorders>
              <w:top w:val="dotted" w:sz="4" w:space="0" w:color="auto"/>
              <w:left w:val="dotted" w:sz="4" w:space="0" w:color="auto"/>
              <w:bottom w:val="dotted" w:sz="4" w:space="0" w:color="auto"/>
              <w:right w:val="dotted" w:sz="4" w:space="0" w:color="auto"/>
            </w:tcBorders>
          </w:tcPr>
          <w:p>
            <w:pPr>
              <w:pStyle w:val="NoSpacing"/>
            </w:pPr>
            <w:r>
              <w:t>Standard for 90 days, then Standard-IA, then Glacier Deep Archive one year after claim closure</w:t>
            </w:r>
          </w:p>
        </w:tc>
        <w:tc>
          <w:tcPr>
            <w:tcW w:w="3564" w:type="dxa"/>
            <w:tcBorders>
              <w:top w:val="dotted" w:sz="4" w:space="0" w:color="auto"/>
              <w:left w:val="dotted" w:sz="4" w:space="0" w:color="auto"/>
              <w:bottom w:val="dotted" w:sz="4" w:space="0" w:color="auto"/>
              <w:right w:val="dotted" w:sz="4" w:space="0" w:color="auto"/>
            </w:tcBorders>
          </w:tcPr>
          <w:p>
            <w:pPr>
              <w:pStyle w:val="NoSpacing"/>
            </w:pPr>
            <w:r>
              <w:t>SAD Section 9.3</w:t>
            </w:r>
          </w:p>
        </w:tc>
      </w:tr>
    </w:tbl>
    <w:p/>
    <w:p>
      <w:r>
        <w:br w:type="page"/>
      </w:r>
    </w:p>
    <w:p>
      <w:pPr>
        <w:pStyle w:val="Heading1"/>
      </w:pPr>
      <w:bookmarkStart w:id="106" w:name="_Toc300000007"/>
      <w:r>
        <w:t>Available tools</w:t>
      </w:r>
      <w:bookmarkEnd w:id="106"/>
    </w:p>
    <w:p>
      <w:r>
        <w:t>Four options were carried into detailed comparison. One is a composable design of AWS-managed services; one is an enterprise content management platform; one is the document management SaaS most organisations already license; and one stores files inside a document database.</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055"/>
        <w:gridCol w:w="3353"/>
        <w:gridCol w:w="2618"/>
      </w:tblGrid>
      <w:tr>
        <w:trPr>
          <w:cantSplit/>
          <w:tblHeader/>
        </w:trPr>
        <w:tc>
          <w:tcPr>
            <w:tcW w:w="3055"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335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Category</w:t>
            </w:r>
          </w:p>
        </w:tc>
        <w:tc>
          <w:tcPr>
            <w:tcW w:w="2618"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Delivery model</w:t>
            </w:r>
          </w:p>
        </w:tc>
      </w:tr>
      <w:tr>
        <w:trPr>
          <w:cantSplit/>
        </w:trPr>
        <w:tc>
          <w:tcPr>
            <w:tcW w:w="3055" w:type="dxa"/>
            <w:tcBorders>
              <w:top w:val="dotted" w:sz="4" w:space="0" w:color="auto"/>
              <w:left w:val="dotted" w:sz="4" w:space="0" w:color="auto"/>
              <w:bottom w:val="dotted" w:sz="4" w:space="0" w:color="auto"/>
              <w:right w:val="dotted" w:sz="4" w:space="0" w:color="auto"/>
            </w:tcBorders>
          </w:tcPr>
          <w:p>
            <w:pPr>
              <w:pStyle w:val="NoSpacing"/>
            </w:pPr>
            <w:r>
              <w:t>Amazon S3 with PostgreSQL metadata and OpenSearch</w:t>
            </w:r>
          </w:p>
        </w:tc>
        <w:tc>
          <w:tcPr>
            <w:tcW w:w="3353" w:type="dxa"/>
            <w:tcBorders>
              <w:top w:val="dotted" w:sz="4" w:space="0" w:color="auto"/>
              <w:left w:val="dotted" w:sz="4" w:space="0" w:color="auto"/>
              <w:bottom w:val="dotted" w:sz="4" w:space="0" w:color="auto"/>
              <w:right w:val="dotted" w:sz="4" w:space="0" w:color="auto"/>
            </w:tcBorders>
          </w:tcPr>
          <w:p>
            <w:pPr>
              <w:pStyle w:val="NoSpacing"/>
            </w:pPr>
            <w:r>
              <w:t>Composable object storage, metadata store and search index</w:t>
            </w:r>
          </w:p>
        </w:tc>
        <w:tc>
          <w:tcPr>
            <w:tcW w:w="2618" w:type="dxa"/>
            <w:tcBorders>
              <w:top w:val="dotted" w:sz="4" w:space="0" w:color="auto"/>
              <w:left w:val="dotted" w:sz="4" w:space="0" w:color="auto"/>
              <w:bottom w:val="dotted" w:sz="4" w:space="0" w:color="auto"/>
              <w:right w:val="dotted" w:sz="4" w:space="0" w:color="auto"/>
            </w:tcBorders>
          </w:tcPr>
          <w:p>
            <w:pPr>
              <w:pStyle w:val="NoSpacing"/>
            </w:pPr>
            <w:r>
              <w:t>AWS-managed services</w:t>
            </w:r>
          </w:p>
        </w:tc>
      </w:tr>
      <w:tr>
        <w:trPr>
          <w:cantSplit/>
        </w:trPr>
        <w:tc>
          <w:tcPr>
            <w:tcW w:w="3055" w:type="dxa"/>
            <w:tcBorders>
              <w:top w:val="dotted" w:sz="4" w:space="0" w:color="auto"/>
              <w:left w:val="dotted" w:sz="4" w:space="0" w:color="auto"/>
              <w:bottom w:val="dotted" w:sz="4" w:space="0" w:color="auto"/>
              <w:right w:val="dotted" w:sz="4" w:space="0" w:color="auto"/>
            </w:tcBorders>
          </w:tcPr>
          <w:p>
            <w:pPr>
              <w:pStyle w:val="NoSpacing"/>
            </w:pPr>
            <w:r>
              <w:t>Alfresco Content Services</w:t>
            </w:r>
          </w:p>
        </w:tc>
        <w:tc>
          <w:tcPr>
            <w:tcW w:w="3353" w:type="dxa"/>
            <w:tcBorders>
              <w:top w:val="dotted" w:sz="4" w:space="0" w:color="auto"/>
              <w:left w:val="dotted" w:sz="4" w:space="0" w:color="auto"/>
              <w:bottom w:val="dotted" w:sz="4" w:space="0" w:color="auto"/>
              <w:right w:val="dotted" w:sz="4" w:space="0" w:color="auto"/>
            </w:tcBorders>
          </w:tcPr>
          <w:p>
            <w:pPr>
              <w:pStyle w:val="NoSpacing"/>
            </w:pPr>
            <w:r>
              <w:t>Enterprise content management (ECM) platform</w:t>
            </w:r>
          </w:p>
        </w:tc>
        <w:tc>
          <w:tcPr>
            <w:tcW w:w="2618" w:type="dxa"/>
            <w:tcBorders>
              <w:top w:val="dotted" w:sz="4" w:space="0" w:color="auto"/>
              <w:left w:val="dotted" w:sz="4" w:space="0" w:color="auto"/>
              <w:bottom w:val="dotted" w:sz="4" w:space="0" w:color="auto"/>
              <w:right w:val="dotted" w:sz="4" w:space="0" w:color="auto"/>
            </w:tcBorders>
          </w:tcPr>
          <w:p>
            <w:pPr>
              <w:pStyle w:val="NoSpacing"/>
            </w:pPr>
            <w:r>
              <w:t>Self-hosted, licensed by subscription</w:t>
            </w:r>
          </w:p>
        </w:tc>
      </w:tr>
      <w:tr>
        <w:trPr>
          <w:cantSplit/>
        </w:trPr>
        <w:tc>
          <w:tcPr>
            <w:tcW w:w="3055" w:type="dxa"/>
            <w:tcBorders>
              <w:top w:val="dotted" w:sz="4" w:space="0" w:color="auto"/>
              <w:left w:val="dotted" w:sz="4" w:space="0" w:color="auto"/>
              <w:bottom w:val="dotted" w:sz="4" w:space="0" w:color="auto"/>
              <w:right w:val="dotted" w:sz="4" w:space="0" w:color="auto"/>
            </w:tcBorders>
          </w:tcPr>
          <w:p>
            <w:pPr>
              <w:pStyle w:val="NoSpacing"/>
            </w:pPr>
            <w:r>
              <w:t>Microsoft SharePoint Online</w:t>
            </w:r>
          </w:p>
        </w:tc>
        <w:tc>
          <w:tcPr>
            <w:tcW w:w="3353" w:type="dxa"/>
            <w:tcBorders>
              <w:top w:val="dotted" w:sz="4" w:space="0" w:color="auto"/>
              <w:left w:val="dotted" w:sz="4" w:space="0" w:color="auto"/>
              <w:bottom w:val="dotted" w:sz="4" w:space="0" w:color="auto"/>
              <w:right w:val="dotted" w:sz="4" w:space="0" w:color="auto"/>
            </w:tcBorders>
          </w:tcPr>
          <w:p>
            <w:pPr>
              <w:pStyle w:val="NoSpacing"/>
            </w:pPr>
            <w:r>
              <w:t>Document management and collaboration SaaS</w:t>
            </w:r>
          </w:p>
        </w:tc>
        <w:tc>
          <w:tcPr>
            <w:tcW w:w="2618" w:type="dxa"/>
            <w:tcBorders>
              <w:top w:val="dotted" w:sz="4" w:space="0" w:color="auto"/>
              <w:left w:val="dotted" w:sz="4" w:space="0" w:color="auto"/>
              <w:bottom w:val="dotted" w:sz="4" w:space="0" w:color="auto"/>
              <w:right w:val="dotted" w:sz="4" w:space="0" w:color="auto"/>
            </w:tcBorders>
          </w:tcPr>
          <w:p>
            <w:pPr>
              <w:pStyle w:val="NoSpacing"/>
            </w:pPr>
            <w:r>
              <w:t>Microsoft 365 SaaS</w:t>
            </w:r>
          </w:p>
        </w:tc>
      </w:tr>
      <w:tr>
        <w:trPr>
          <w:cantSplit/>
        </w:trPr>
        <w:tc>
          <w:tcPr>
            <w:tcW w:w="3055" w:type="dxa"/>
            <w:tcBorders>
              <w:top w:val="dotted" w:sz="4" w:space="0" w:color="auto"/>
              <w:left w:val="dotted" w:sz="4" w:space="0" w:color="auto"/>
              <w:bottom w:val="dotted" w:sz="4" w:space="0" w:color="auto"/>
              <w:right w:val="dotted" w:sz="4" w:space="0" w:color="auto"/>
            </w:tcBorders>
          </w:tcPr>
          <w:p>
            <w:pPr>
              <w:pStyle w:val="NoSpacing"/>
            </w:pPr>
            <w:r>
              <w:t>MongoDB Atlas with GridFS</w:t>
            </w:r>
          </w:p>
        </w:tc>
        <w:tc>
          <w:tcPr>
            <w:tcW w:w="3353" w:type="dxa"/>
            <w:tcBorders>
              <w:top w:val="dotted" w:sz="4" w:space="0" w:color="auto"/>
              <w:left w:val="dotted" w:sz="4" w:space="0" w:color="auto"/>
              <w:bottom w:val="dotted" w:sz="4" w:space="0" w:color="auto"/>
              <w:right w:val="dotted" w:sz="4" w:space="0" w:color="auto"/>
            </w:tcBorders>
          </w:tcPr>
          <w:p>
            <w:pPr>
              <w:pStyle w:val="NoSpacing"/>
            </w:pPr>
            <w:r>
              <w:t>Document database storing files as chunks</w:t>
            </w:r>
          </w:p>
        </w:tc>
        <w:tc>
          <w:tcPr>
            <w:tcW w:w="2618" w:type="dxa"/>
            <w:tcBorders>
              <w:top w:val="dotted" w:sz="4" w:space="0" w:color="auto"/>
              <w:left w:val="dotted" w:sz="4" w:space="0" w:color="auto"/>
              <w:bottom w:val="dotted" w:sz="4" w:space="0" w:color="auto"/>
              <w:right w:val="dotted" w:sz="4" w:space="0" w:color="auto"/>
            </w:tcBorders>
          </w:tcPr>
          <w:p>
            <w:pPr>
              <w:pStyle w:val="NoSpacing"/>
            </w:pPr>
            <w:r>
              <w:t>Vendor-managed database service</w:t>
            </w:r>
          </w:p>
        </w:tc>
      </w:tr>
    </w:tbl>
    <w:p/>
    <w:p>
      <w:r>
        <w:t>Options that were considered and not carried forward are recorded for completeness. Insurance-specific content platforms such as Hyland OnBase or OpenText are credible for back-office imaging, but are represented by Alfresco, which belongs to the same family, and would add a vendor licence on the same terms. Amazon EFS or a shared file system offers no versioning, retention lock or per-object access model. Storing files in PostgreSQL itself, as large objects or binary columns, would put 240 TB a year into the transactional database's backups, replicas and recovery time.</w:t>
      </w:r>
    </w:p>
    <w:p>
      <w:pPr>
        <w:pStyle w:val="Heading2"/>
      </w:pPr>
      <w:bookmarkStart w:id="107" w:name="_Toc300000008"/>
      <w:r>
        <w:t>Amazon S3 with PostgreSQL metadata and OpenSearch</w:t>
      </w:r>
      <w:bookmarkEnd w:id="107"/>
    </w:p>
    <w:p>
      <w:r>
        <w:t>Files are stored in Amazon S3. Each document's metadata — claim, type, uploader, version, size, SHA-256 digest, retention class and attributes specific to the document type — is a row in PostgreSQL, with JSONB columns for the attributes that vary. OpenSearch indexes the metadata and the text extracted from each document. Browsers and the mobile app upload straight to S3 with short-lived pre-signed requests issued by the Document Service. This is the design in SAD Layer 5, where the metadata store appears as "Document DB" on RDS PostgreSQL.</w:t>
      </w:r>
    </w:p>
    <w:p>
      <w:pPr>
        <w:pStyle w:val="Heading3"/>
      </w:pPr>
      <w:bookmarkStart w:id="108" w:name="_Toc300000009"/>
      <w:r>
        <w:t>Key Features</w:t>
      </w:r>
      <w:bookmarkEnd w:id="108"/>
    </w:p>
    <w:p>
      <w:pPr>
        <w:pStyle w:val="ListParagraph"/>
        <w:numPr>
          <w:ilvl w:val="0"/>
          <w:numId w:val="40"/>
        </w:numPr>
      </w:pPr>
      <w:r>
        <w:t>Durability and scale — S3 is designed for eleven nines of durability, stores every object across at least three Availability Zones and needs no capacity planning.</w:t>
      </w:r>
    </w:p>
    <w:p>
      <w:pPr>
        <w:pStyle w:val="ListParagraph"/>
        <w:numPr>
          <w:ilvl w:val="0"/>
          <w:numId w:val="40"/>
        </w:numPr>
      </w:pPr>
      <w:r>
        <w:t>Versioning and Object Lock — every version is kept, and Object Lock in compliance or governance mode, with legal holds, makes a document write-once for its retention period.</w:t>
      </w:r>
    </w:p>
    <w:p>
      <w:pPr>
        <w:pStyle w:val="ListParagraph"/>
        <w:numPr>
          <w:ilvl w:val="0"/>
          <w:numId w:val="40"/>
        </w:numPr>
      </w:pPr>
      <w:r>
        <w:t>Integrity checks — S3 verifies a SHA-256 checksum supplied with the upload and rejects a file that does not match.</w:t>
      </w:r>
    </w:p>
    <w:p>
      <w:pPr>
        <w:pStyle w:val="ListParagraph"/>
        <w:numPr>
          <w:ilvl w:val="0"/>
          <w:numId w:val="40"/>
        </w:numPr>
      </w:pPr>
      <w:r>
        <w:t>Lifecycle tiering — documents move automatically from Standard to Standard-IA and then to Glacier Deep Archive.</w:t>
      </w:r>
    </w:p>
    <w:p>
      <w:pPr>
        <w:pStyle w:val="ListParagraph"/>
        <w:numPr>
          <w:ilvl w:val="0"/>
          <w:numId w:val="40"/>
        </w:numPr>
      </w:pPr>
      <w:r>
        <w:t>Encryption — server-side encryption with AWS KMS keys, and TLS in transit.</w:t>
      </w:r>
    </w:p>
    <w:p>
      <w:pPr>
        <w:pStyle w:val="ListParagraph"/>
        <w:numPr>
          <w:ilvl w:val="0"/>
          <w:numId w:val="40"/>
        </w:numPr>
      </w:pPr>
      <w:r>
        <w:t>Direct upload and download — pre-signed requests keep files off the API, so a large photograph never counts against the 5,000 ms budget.</w:t>
      </w:r>
    </w:p>
    <w:p>
      <w:pPr>
        <w:pStyle w:val="ListParagraph"/>
        <w:numPr>
          <w:ilvl w:val="0"/>
          <w:numId w:val="40"/>
        </w:numPr>
      </w:pPr>
      <w:r>
        <w:t>Cross-Region Replication — with Replication Time Control, objects reach us-east-2 within 15 minutes, including locked objects.</w:t>
      </w:r>
    </w:p>
    <w:p>
      <w:pPr>
        <w:pStyle w:val="ListParagraph"/>
        <w:numPr>
          <w:ilvl w:val="0"/>
          <w:numId w:val="40"/>
        </w:numPr>
      </w:pPr>
      <w:r>
        <w:t>Metadata with the claim — document metadata lives in PostgreSQL beside the claim it belongs to, under the same backup, replication and access model.</w:t>
      </w:r>
    </w:p>
    <w:p>
      <w:pPr>
        <w:pStyle w:val="ListParagraph"/>
        <w:numPr>
          <w:ilvl w:val="0"/>
          <w:numId w:val="40"/>
        </w:numPr>
      </w:pPr>
      <w:r>
        <w:t>Search — OpenSearch indexes metadata and extracted text for full-text search, with a separate index for workshop geo-search.</w:t>
      </w:r>
    </w:p>
    <w:p>
      <w:pPr>
        <w:pStyle w:val="ListParagraph"/>
        <w:numPr>
          <w:ilvl w:val="0"/>
          <w:numId w:val="40"/>
        </w:numPr>
      </w:pPr>
      <w:r>
        <w:t>Portable — the S3 API is implemented by MinIO, the on-premise profile's equivalent; PostgreSQL and OpenSearch run on-premise as they are.</w:t>
      </w:r>
    </w:p>
    <w:p>
      <w:pPr>
        <w:pStyle w:val="ListParagraph"/>
        <w:numPr>
          <w:ilvl w:val="0"/>
          <w:numId w:val="40"/>
        </w:numPr>
      </w:pPr>
      <w:r>
        <w:t>Pieces to assemble — malware scanning, text extraction, the indexing pipeline and the access check are the team's to wire together, from managed services.</w:t>
      </w:r>
    </w:p>
    <w:p>
      <w:pPr>
        <w:pStyle w:val="Heading3"/>
      </w:pPr>
      <w:bookmarkStart w:id="109" w:name="_Toc300000010"/>
      <w:r>
        <w:t>Pricing Model</w:t>
      </w:r>
      <w:bookmarkEnd w:id="109"/>
    </w:p>
    <w:p>
      <w:r>
        <w:t>S3 Standard storage costs USD 0.023 per GB-month for the first 50 TB, USD 0.022 for the next 450 TB and USD 0.021 beyond; Standard-IA USD 0.0125; Glacier Deep Archive USD 0.00099. Uploads cost USD 0.005 per 1,000 requests and downloads USD 0.0004 per 1,000. Lifecycle transitions cost USD 0.01 per 1,000 objects into Standard-IA and USD 0.05 per 1,000 into Glacier Deep Archive. Replication to us-east-2 adds USD 0.02 per GB transferred and USD 0.015 per GB for Replication Time Control, plus the replica's own storage. OpenSearch is billed per instance-hour — about USD 0.167 for r6g.large.search — plus USD 0.122 per GB-month of gp3 storage. Malware scanning with GuardDuty Malware Protection for S3 costs about USD 0.09 per GB scanned plus a fee per 1,000 objects. Text extraction with Amazon Textract costs USD 1.50 per 1,000 pages for the first million pages a month and USD 0.60 beyond. Metadata in PostgreSQL uses the existing database.</w:t>
      </w:r>
    </w:p>
    <w:p>
      <w:pPr>
        <w:pStyle w:val="Heading2"/>
      </w:pPr>
      <w:bookmarkStart w:id="110" w:name="_Toc300000011"/>
      <w:r>
        <w:t>Alfresco Content Services</w:t>
      </w:r>
      <w:bookmarkEnd w:id="110"/>
    </w:p>
    <w:p>
      <w:r>
        <w:t>Alfresco Content Services, now part of Hyland, is an enterprise content management platform. A repository service manages content, metadata, versions, permissions and workflow; a search service indexes content and metadata; transform services render previews and extract text. Self-hosted on AWS, its content store can be S3 and its database PostgreSQL.</w:t>
      </w:r>
    </w:p>
    <w:p>
      <w:pPr>
        <w:pStyle w:val="Heading3"/>
      </w:pPr>
      <w:bookmarkStart w:id="111" w:name="_Toc300000012"/>
      <w:r>
        <w:t>Key Features</w:t>
      </w:r>
      <w:bookmarkEnd w:id="111"/>
    </w:p>
    <w:p>
      <w:pPr>
        <w:pStyle w:val="ListParagraph"/>
        <w:numPr>
          <w:ilvl w:val="0"/>
          <w:numId w:val="40"/>
        </w:numPr>
      </w:pPr>
      <w:r>
        <w:t>A complete document platform — folders, content models, versioning, check-in and check-out, previews and renditions.</w:t>
      </w:r>
    </w:p>
    <w:p>
      <w:pPr>
        <w:pStyle w:val="ListParagraph"/>
        <w:numPr>
          <w:ilvl w:val="0"/>
          <w:numId w:val="40"/>
        </w:numPr>
      </w:pPr>
      <w:r>
        <w:t>Records management — the Governance Services module adds retention schedules, records declaration and legal holds.</w:t>
      </w:r>
    </w:p>
    <w:p>
      <w:pPr>
        <w:pStyle w:val="ListParagraph"/>
        <w:numPr>
          <w:ilvl w:val="0"/>
          <w:numId w:val="40"/>
        </w:numPr>
      </w:pPr>
      <w:r>
        <w:t>Built-in search and transformation — full-text indexing, text extraction and document previews.</w:t>
      </w:r>
    </w:p>
    <w:p>
      <w:pPr>
        <w:pStyle w:val="ListParagraph"/>
        <w:numPr>
          <w:ilvl w:val="0"/>
          <w:numId w:val="40"/>
        </w:numPr>
      </w:pPr>
      <w:r>
        <w:t>Per-node permissions — access control lists on every folder and document, with inheritance.</w:t>
      </w:r>
    </w:p>
    <w:p>
      <w:pPr>
        <w:pStyle w:val="ListParagraph"/>
        <w:numPr>
          <w:ilvl w:val="0"/>
          <w:numId w:val="40"/>
        </w:numPr>
      </w:pPr>
      <w:r>
        <w:t>Standard interfaces — REST API and CMIS, with Java extensions.</w:t>
      </w:r>
    </w:p>
    <w:p>
      <w:pPr>
        <w:pStyle w:val="ListParagraph"/>
        <w:numPr>
          <w:ilvl w:val="0"/>
          <w:numId w:val="40"/>
        </w:numPr>
      </w:pPr>
      <w:r>
        <w:t>Portable — runs on-premise or in any cloud on Kubernetes or virtual machines.</w:t>
      </w:r>
    </w:p>
    <w:p>
      <w:pPr>
        <w:pStyle w:val="ListParagraph"/>
        <w:numPr>
          <w:ilvl w:val="0"/>
          <w:numId w:val="40"/>
        </w:numPr>
      </w:pPr>
      <w:r>
        <w:t>Operating surface — repository cluster, search service, transform services, message broker and database to size, patch and upgrade.</w:t>
      </w:r>
    </w:p>
    <w:p>
      <w:pPr>
        <w:pStyle w:val="ListParagraph"/>
        <w:numPr>
          <w:ilvl w:val="0"/>
          <w:numId w:val="40"/>
        </w:numPr>
      </w:pPr>
      <w:r>
        <w:t>External users — customers and partners would not be Alfresco users at this scale; the portals would reach Alfresco through a service account, with eClaims deciding access.</w:t>
      </w:r>
    </w:p>
    <w:p>
      <w:pPr>
        <w:pStyle w:val="ListParagraph"/>
        <w:numPr>
          <w:ilvl w:val="0"/>
          <w:numId w:val="40"/>
        </w:numPr>
      </w:pPr>
      <w:r>
        <w:t>Uploads through the repository — files pass through the repository service rather than straight to storage.</w:t>
      </w:r>
    </w:p>
    <w:p>
      <w:pPr>
        <w:pStyle w:val="Heading3"/>
      </w:pPr>
      <w:bookmarkStart w:id="112" w:name="_Toc300000013"/>
      <w:r>
        <w:t>Pricing Model</w:t>
      </w:r>
      <w:bookmarkEnd w:id="112"/>
    </w:p>
    <w:p>
      <w:r>
        <w:t>Alfresco Content Services is licensed by enterprise subscription, quoted per customer by deployment size and support tier; the S3 content-store connector and Governance Services are enterprise features. The free Community edition lacks them and has no vendor support. Infrastructure is additional: the repository cluster, the search and transform services and their database, on top of the same S3 storage as Section 3.1. A standing platform-operations effort of 0.5 to 1.0 FTE is realistic.</w:t>
      </w:r>
    </w:p>
    <w:p>
      <w:pPr>
        <w:pStyle w:val="Heading2"/>
      </w:pPr>
      <w:bookmarkStart w:id="113" w:name="_Toc300000014"/>
      <w:r>
        <w:t>Microsoft SharePoint Online</w:t>
      </w:r>
      <w:bookmarkEnd w:id="113"/>
    </w:p>
    <w:p>
      <w:r>
        <w:t>SharePoint Online is Microsoft 365's document management service: sites and document libraries with metadata, versioning, search and retention policies managed in Microsoft Purview.</w:t>
      </w:r>
    </w:p>
    <w:p>
      <w:pPr>
        <w:pStyle w:val="Heading3"/>
      </w:pPr>
      <w:bookmarkStart w:id="114" w:name="_Toc300000015"/>
      <w:r>
        <w:t>Key Features</w:t>
      </w:r>
      <w:bookmarkEnd w:id="114"/>
    </w:p>
    <w:p>
      <w:pPr>
        <w:pStyle w:val="ListParagraph"/>
        <w:numPr>
          <w:ilvl w:val="0"/>
          <w:numId w:val="40"/>
        </w:numPr>
      </w:pPr>
      <w:r>
        <w:t>Familiar document libraries, metadata, versioning and co-authoring for staff who already use Microsoft 365.</w:t>
      </w:r>
    </w:p>
    <w:p>
      <w:pPr>
        <w:pStyle w:val="ListParagraph"/>
        <w:numPr>
          <w:ilvl w:val="0"/>
          <w:numId w:val="40"/>
        </w:numPr>
      </w:pPr>
      <w:r>
        <w:t>Retention and records — retention labels, records declaration and eDiscovery holds through Microsoft Purview.</w:t>
      </w:r>
    </w:p>
    <w:p>
      <w:pPr>
        <w:pStyle w:val="ListParagraph"/>
        <w:numPr>
          <w:ilvl w:val="0"/>
          <w:numId w:val="40"/>
        </w:numPr>
      </w:pPr>
      <w:r>
        <w:t>Built-in search across libraries.</w:t>
      </w:r>
    </w:p>
    <w:p>
      <w:pPr>
        <w:pStyle w:val="ListParagraph"/>
        <w:numPr>
          <w:ilvl w:val="0"/>
          <w:numId w:val="40"/>
        </w:numPr>
      </w:pPr>
      <w:r>
        <w:t>Built-in malware detection on upload.</w:t>
      </w:r>
    </w:p>
    <w:p>
      <w:pPr>
        <w:pStyle w:val="ListParagraph"/>
        <w:numPr>
          <w:ilvl w:val="0"/>
          <w:numId w:val="40"/>
        </w:numPr>
      </w:pPr>
      <w:r>
        <w:t>Library and site limits — a library supports up to 30 million items and storage is pooled per tenant, so 120 million documents a year means many libraries and a partitioning scheme.</w:t>
      </w:r>
    </w:p>
    <w:p>
      <w:pPr>
        <w:pStyle w:val="ListParagraph"/>
        <w:numPr>
          <w:ilvl w:val="0"/>
          <w:numId w:val="40"/>
        </w:numPr>
      </w:pPr>
      <w:r>
        <w:t>External users — 200 million customers and thousands of partner users cannot practically be SharePoint guests; the portals would proxy every upload and download through the Microsoft Graph API.</w:t>
      </w:r>
    </w:p>
    <w:p>
      <w:pPr>
        <w:pStyle w:val="ListParagraph"/>
        <w:numPr>
          <w:ilvl w:val="0"/>
          <w:numId w:val="40"/>
        </w:numPr>
      </w:pPr>
      <w:r>
        <w:t>API throttling — Microsoft Graph throttles heavy application use, which matters at catastrophe-day upload rates.</w:t>
      </w:r>
    </w:p>
    <w:p>
      <w:pPr>
        <w:pStyle w:val="ListParagraph"/>
        <w:numPr>
          <w:ilvl w:val="0"/>
          <w:numId w:val="40"/>
        </w:numPr>
      </w:pPr>
      <w:r>
        <w:t>No storage tiering — documents stay at one storage price however old they are.</w:t>
      </w:r>
    </w:p>
    <w:p>
      <w:pPr>
        <w:pStyle w:val="Heading3"/>
      </w:pPr>
      <w:bookmarkStart w:id="115" w:name="_Toc300000016"/>
      <w:r>
        <w:t>Pricing Model</w:t>
      </w:r>
      <w:bookmarkEnd w:id="115"/>
    </w:p>
    <w:p>
      <w:r>
        <w:t>Storage comes from a tenant pool of 1 TB plus 10 GB per licensed user; storage beyond the pool costs about USD 0.20 per GB-month. SharePoint user licences are needed for staff, who are likely to hold them already through Microsoft 365. eClaims' documents would quickly exceed any pool: 240 TB a year at USD 0.20 per GB-month is about USD 48,000 a month by the end of the first year.</w:t>
      </w:r>
    </w:p>
    <w:p>
      <w:pPr>
        <w:pStyle w:val="Heading2"/>
      </w:pPr>
      <w:bookmarkStart w:id="116" w:name="_Toc300000017"/>
      <w:r>
        <w:t>MongoDB Atlas with GridFS</w:t>
      </w:r>
      <w:bookmarkEnd w:id="116"/>
    </w:p>
    <w:p>
      <w:r>
        <w:t>GridFS is MongoDB's convention for storing files as 255 KB chunks in database collections, with a files collection holding each file's metadata. MongoDB Atlas is the vendor's managed service. It is the option the SAD removed in v1.3, when document metadata moved to PostgreSQL.</w:t>
      </w:r>
    </w:p>
    <w:p>
      <w:pPr>
        <w:pStyle w:val="Heading3"/>
      </w:pPr>
      <w:bookmarkStart w:id="117" w:name="_Toc300000018"/>
      <w:r>
        <w:t>Key Features</w:t>
      </w:r>
      <w:bookmarkEnd w:id="117"/>
    </w:p>
    <w:p>
      <w:pPr>
        <w:pStyle w:val="ListParagraph"/>
        <w:numPr>
          <w:ilvl w:val="0"/>
          <w:numId w:val="40"/>
        </w:numPr>
      </w:pPr>
      <w:r>
        <w:t>Files and metadata together — one database holds the file chunks and their metadata, with flexible document schemas.</w:t>
      </w:r>
    </w:p>
    <w:p>
      <w:pPr>
        <w:pStyle w:val="ListParagraph"/>
        <w:numPr>
          <w:ilvl w:val="0"/>
          <w:numId w:val="40"/>
        </w:numPr>
      </w:pPr>
      <w:r>
        <w:t>Atlas Search — full-text and faceted search on metadata.</w:t>
      </w:r>
    </w:p>
    <w:p>
      <w:pPr>
        <w:pStyle w:val="ListParagraph"/>
        <w:numPr>
          <w:ilvl w:val="0"/>
          <w:numId w:val="40"/>
        </w:numPr>
      </w:pPr>
      <w:r>
        <w:t>Managed operation — backups, scaling and patching handled by the vendor.</w:t>
      </w:r>
    </w:p>
    <w:p>
      <w:pPr>
        <w:pStyle w:val="ListParagraph"/>
        <w:numPr>
          <w:ilvl w:val="0"/>
          <w:numId w:val="40"/>
        </w:numPr>
      </w:pPr>
      <w:r>
        <w:t>Database storage, not object storage — 240 TB a year needs a sharded cluster of many shards, and every byte sits in provisioned database storage with database backups.</w:t>
      </w:r>
    </w:p>
    <w:p>
      <w:pPr>
        <w:pStyle w:val="ListParagraph"/>
        <w:numPr>
          <w:ilvl w:val="0"/>
          <w:numId w:val="40"/>
        </w:numPr>
      </w:pPr>
      <w:r>
        <w:t>No retention lock — no write-once mode or legal hold on stored files.</w:t>
      </w:r>
    </w:p>
    <w:p>
      <w:pPr>
        <w:pStyle w:val="ListParagraph"/>
        <w:numPr>
          <w:ilvl w:val="0"/>
          <w:numId w:val="40"/>
        </w:numPr>
      </w:pPr>
      <w:r>
        <w:t>Uploads through the API — files pass through the services to the database.</w:t>
      </w:r>
    </w:p>
    <w:p>
      <w:pPr>
        <w:pStyle w:val="ListParagraph"/>
        <w:numPr>
          <w:ilvl w:val="0"/>
          <w:numId w:val="40"/>
        </w:numPr>
      </w:pPr>
      <w:r>
        <w:t>Outside the VPC — reached over the internet or a private endpoint, as a further vendor holding claim documents.</w:t>
      </w:r>
    </w:p>
    <w:p>
      <w:pPr>
        <w:pStyle w:val="Heading3"/>
      </w:pPr>
      <w:bookmarkStart w:id="118" w:name="_Toc300000019"/>
      <w:r>
        <w:t>Pricing Model</w:t>
      </w:r>
      <w:bookmarkEnd w:id="118"/>
    </w:p>
    <w:p>
      <w:r>
        <w:t>Atlas is billed per cluster tier per hour, with storage provisioned per shard and billed with it, and backups billed separately. A cost at eClaims volume is not computed: the option is eliminated on storage scale and retention before price becomes relevant (Section 4.4).</w:t>
      </w:r>
    </w:p>
    <w:p>
      <w:r>
        <w:br w:type="page"/>
      </w:r>
    </w:p>
    <w:p>
      <w:pPr>
        <w:pStyle w:val="Heading1"/>
      </w:pPr>
      <w:bookmarkStart w:id="119" w:name="_Toc300000020"/>
      <w:r>
        <w:t>Comparison Analysis</w:t>
      </w:r>
      <w:bookmarkEnd w:id="119"/>
    </w:p>
    <w:p>
      <w:r>
        <w:t>The four options are compared three ways. The point matrix in Section 4.1 fixes the evaluation attributes and their weights and traces each weight to a stated requirement. Section 4.2 scores every option against those attributes and computes a weighted total. Section 4.3 sets the scoring aside and records what each option supports natively. Section 4.4 compares indicative run cost at projected eClaims volume, and Section 4.5 tests how sensitive the result is to the weights.</w:t>
      </w:r>
    </w:p>
    <w:p>
      <w:pPr>
        <w:pStyle w:val="Heading2"/>
      </w:pPr>
      <w:bookmarkStart w:id="120" w:name="_Toc300000021"/>
      <w:r>
        <w:t>Point Matrix</w:t>
      </w:r>
      <w:bookmarkEnd w:id="120"/>
    </w:p>
    <w:p>
      <w:r>
        <w:t>Weights total 100 and were fixed before the options were scored. They follow the scheme of the Workflow Orchestration Engine DAR: 15 for an attribute whose absence would defeat the purpose of document management, 10 for one whose absence would degrade operation, and 5 for one bounded by an accepted assumption.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773"/>
        <w:gridCol w:w="1060"/>
        <w:gridCol w:w="5193"/>
      </w:tblGrid>
      <w:tr>
        <w:trPr>
          <w:cantSplit/>
          <w:tblHeader/>
        </w:trPr>
        <w:tc>
          <w:tcPr>
            <w:tcW w:w="277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519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Why it carries this weight</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Storage scale and durability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193" w:type="dxa"/>
            <w:tcBorders>
              <w:top w:val="dotted" w:sz="4" w:space="0" w:color="auto"/>
              <w:left w:val="dotted" w:sz="4" w:space="0" w:color="auto"/>
              <w:bottom w:val="dotted" w:sz="4" w:space="0" w:color="auto"/>
              <w:right w:val="dotted" w:sz="4" w:space="0" w:color="auto"/>
            </w:tcBorders>
          </w:tcPr>
          <w:p>
            <w:pPr>
              <w:pStyle w:val="NoSpacing"/>
            </w:pPr>
            <w:r>
              <w:t>About 240 TB a year, kept for years; a lost claim document cannot be recovered from anywhere else.</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Retention, write-once storage and legal hold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193" w:type="dxa"/>
            <w:tcBorders>
              <w:top w:val="dotted" w:sz="4" w:space="0" w:color="auto"/>
              <w:left w:val="dotted" w:sz="4" w:space="0" w:color="auto"/>
              <w:bottom w:val="dotted" w:sz="4" w:space="0" w:color="auto"/>
              <w:right w:val="dotted" w:sz="4" w:space="0" w:color="auto"/>
            </w:tcBorders>
          </w:tcPr>
          <w:p>
            <w:pPr>
              <w:pStyle w:val="NoSpacing"/>
            </w:pPr>
            <w:r>
              <w:t>Every claim document must be saved and archived for auditing and compliance, and must not be altered or deleted before its retention period ends.</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Access control per claim</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5193" w:type="dxa"/>
            <w:tcBorders>
              <w:top w:val="dotted" w:sz="4" w:space="0" w:color="auto"/>
              <w:left w:val="dotted" w:sz="4" w:space="0" w:color="auto"/>
              <w:bottom w:val="dotted" w:sz="4" w:space="0" w:color="auto"/>
              <w:right w:val="dotted" w:sz="4" w:space="0" w:color="auto"/>
            </w:tcBorders>
          </w:tcPr>
          <w:p>
            <w:pPr>
              <w:pStyle w:val="NoSpacing"/>
            </w:pPr>
            <w:r>
              <w:t>Customers see their own claims, partners the claims assigned to them, and staff according to role; a wrong decision exposes personal and claim data.</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Integrity and tamper evidence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193" w:type="dxa"/>
            <w:tcBorders>
              <w:top w:val="dotted" w:sz="4" w:space="0" w:color="auto"/>
              <w:left w:val="dotted" w:sz="4" w:space="0" w:color="auto"/>
              <w:bottom w:val="dotted" w:sz="4" w:space="0" w:color="auto"/>
              <w:right w:val="dotted" w:sz="4" w:space="0" w:color="auto"/>
            </w:tcBorders>
          </w:tcPr>
          <w:p>
            <w:pPr>
              <w:pStyle w:val="NoSpacing"/>
            </w:pPr>
            <w:r>
              <w:t>Non-repudiation: a stored document must be provably the one submitted, through a recorded digest and immutable versions.</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Search: metadata and full text</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193" w:type="dxa"/>
            <w:tcBorders>
              <w:top w:val="dotted" w:sz="4" w:space="0" w:color="auto"/>
              <w:left w:val="dotted" w:sz="4" w:space="0" w:color="auto"/>
              <w:bottom w:val="dotted" w:sz="4" w:space="0" w:color="auto"/>
              <w:right w:val="dotted" w:sz="4" w:space="0" w:color="auto"/>
            </w:tcBorders>
          </w:tcPr>
          <w:p>
            <w:pPr>
              <w:pStyle w:val="NoSpacing"/>
            </w:pPr>
            <w:r>
              <w:t>Adjustors, Case Managers and Auditors find documents by claim, type and date, and by their content.</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Integration and upload path</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193" w:type="dxa"/>
            <w:tcBorders>
              <w:top w:val="dotted" w:sz="4" w:space="0" w:color="auto"/>
              <w:left w:val="dotted" w:sz="4" w:space="0" w:color="auto"/>
              <w:bottom w:val="dotted" w:sz="4" w:space="0" w:color="auto"/>
              <w:right w:val="dotted" w:sz="4" w:space="0" w:color="auto"/>
            </w:tcBorders>
          </w:tcPr>
          <w:p>
            <w:pPr>
              <w:pStyle w:val="NoSpacing"/>
            </w:pPr>
            <w:r>
              <w:t>FastAPI services, three portals and a mobile app; uploads must stay off the 5,000 ms request path.</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Operational overhead (5 = lowest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193" w:type="dxa"/>
            <w:tcBorders>
              <w:top w:val="dotted" w:sz="4" w:space="0" w:color="auto"/>
              <w:left w:val="dotted" w:sz="4" w:space="0" w:color="auto"/>
              <w:bottom w:val="dotted" w:sz="4" w:space="0" w:color="auto"/>
              <w:right w:val="dotted" w:sz="4" w:space="0" w:color="auto"/>
            </w:tcBorders>
          </w:tcPr>
          <w:p>
            <w:pPr>
              <w:pStyle w:val="NoSpacing"/>
            </w:pPr>
            <w:r>
              <w:t>A lean team operating document management 24×7 in two Regions.</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5193" w:type="dxa"/>
            <w:tcBorders>
              <w:top w:val="dotted" w:sz="4" w:space="0" w:color="auto"/>
              <w:left w:val="dotted" w:sz="4" w:space="0" w:color="auto"/>
              <w:bottom w:val="dotted" w:sz="4" w:space="0" w:color="auto"/>
              <w:right w:val="dotted" w:sz="4" w:space="0" w:color="auto"/>
            </w:tcBorders>
          </w:tcPr>
          <w:p>
            <w:pPr>
              <w:pStyle w:val="NoSpacing"/>
            </w:pPr>
            <w:r>
              <w:t>Run cost at about 240 TB of growth a year, including the effort to operate the option.</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Deployment flexibility (cloud and on-premise)</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5193" w:type="dxa"/>
            <w:tcBorders>
              <w:top w:val="dotted" w:sz="4" w:space="0" w:color="auto"/>
              <w:left w:val="dotted" w:sz="4" w:space="0" w:color="auto"/>
              <w:bottom w:val="dotted" w:sz="4" w:space="0" w:color="auto"/>
              <w:right w:val="dotted" w:sz="4" w:space="0" w:color="auto"/>
            </w:tcBorders>
          </w:tcPr>
          <w:p>
            <w:pPr>
              <w:pStyle w:val="NoSpacing"/>
            </w:pPr>
            <w:r>
              <w:t>The NFR requires on-premise support; SAD Assumption 1 makes AWS the Phase 1 target, and the on-premise profile names MinIO for object storage.</w:t>
            </w:r>
          </w:p>
        </w:tc>
      </w:tr>
      <w:tr>
        <w:trPr>
          <w:cantSplit/>
        </w:trPr>
        <w:tc>
          <w:tcPr>
            <w:tcW w:w="2773" w:type="dxa"/>
            <w:tcBorders>
              <w:top w:val="dotted" w:sz="4" w:space="0" w:color="auto"/>
              <w:left w:val="dotted" w:sz="4" w:space="0" w:color="auto"/>
              <w:bottom w:val="dotted" w:sz="4" w:space="0" w:color="auto"/>
              <w:right w:val="dotted" w:sz="4" w:space="0" w:color="auto"/>
            </w:tcBorders>
          </w:tcPr>
          <w:p>
            <w:pPr>
              <w:pStyle w:val="NoSpacing"/>
            </w:pPr>
            <w:r>
              <w:t>Total</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5193" w:type="dxa"/>
            <w:tcBorders>
              <w:top w:val="dotted" w:sz="4" w:space="0" w:color="auto"/>
              <w:left w:val="dotted" w:sz="4" w:space="0" w:color="auto"/>
              <w:bottom w:val="dotted" w:sz="4" w:space="0" w:color="auto"/>
              <w:right w:val="dotted" w:sz="4" w:space="0" w:color="auto"/>
            </w:tcBorders>
          </w:tcPr>
          <w:p>
            <w:pPr>
              <w:pStyle w:val="NoSpacing"/>
            </w:pPr>
          </w:p>
        </w:tc>
      </w:tr>
    </w:tbl>
    <w:p/>
    <w:p>
      <w:r>
        <w:t>Three attributes carry the top weight of 15 because failing any one of them would defeat the purpose of document management: a document that can be lost, altered before its retention ends, or shown to the wrong person is worse than no system. Deployment flexibility carries 5 because the SAD records AWS as an accepted assumption; Section 4.5 tests that weight.</w:t>
      </w:r>
    </w:p>
    <w:p>
      <w:pPr>
        <w:pStyle w:val="Heading2"/>
      </w:pPr>
      <w:bookmarkStart w:id="121" w:name="_Toc300000022"/>
      <w:r>
        <w:t>Comparison 1 — Weighted Scoring</w:t>
      </w:r>
      <w:bookmarkEnd w:id="121"/>
    </w:p>
    <w:p>
      <w:r>
        <w:t>Scoring legend: 5 = excellent, 4 = strong, 3 = adequate, 2 = limited, 1 = minimal. Scores reflect native capability relative to the eClaims requirement, not absolute product quality. For operational overhead a score of 5 denotes the lowest overhead.</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660"/>
        <w:gridCol w:w="1060"/>
        <w:gridCol w:w="1687"/>
        <w:gridCol w:w="1585"/>
        <w:gridCol w:w="1540"/>
        <w:gridCol w:w="1494"/>
      </w:tblGrid>
      <w:tr>
        <w:trPr>
          <w:cantSplit/>
          <w:tblHeader/>
        </w:trPr>
        <w:tc>
          <w:tcPr>
            <w:tcW w:w="16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Evaluation 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Weight</w:t>
            </w:r>
          </w:p>
        </w:tc>
        <w:tc>
          <w:tcPr>
            <w:tcW w:w="168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S3 + PostgreSQL + OpenSearch</w:t>
            </w:r>
          </w:p>
        </w:tc>
        <w:tc>
          <w:tcPr>
            <w:tcW w:w="1585"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Alfresco Content Services</w:t>
            </w:r>
          </w:p>
        </w:tc>
        <w:tc>
          <w:tcPr>
            <w:tcW w:w="154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SharePoint Online</w:t>
            </w:r>
          </w:p>
        </w:tc>
        <w:tc>
          <w:tcPr>
            <w:tcW w:w="149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MongoDB Atlas with GridFS</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Storage scale and durability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687" w:type="dxa"/>
            <w:tcBorders>
              <w:top w:val="dotted" w:sz="4" w:space="0" w:color="auto"/>
              <w:left w:val="dotted" w:sz="4" w:space="0" w:color="auto"/>
              <w:bottom w:val="dotted" w:sz="4" w:space="0" w:color="auto"/>
              <w:right w:val="dotted" w:sz="4" w:space="0" w:color="auto"/>
            </w:tcBorders>
          </w:tcPr>
          <w:p>
            <w:pPr>
              <w:pStyle w:val="NoSpacing"/>
            </w:pPr>
            <w:r>
              <w:t>5</w:t>
            </w:r>
          </w:p>
        </w:tc>
        <w:tc>
          <w:tcPr>
            <w:tcW w:w="1585" w:type="dxa"/>
            <w:tcBorders>
              <w:top w:val="dotted" w:sz="4" w:space="0" w:color="auto"/>
              <w:left w:val="dotted" w:sz="4" w:space="0" w:color="auto"/>
              <w:bottom w:val="dotted" w:sz="4" w:space="0" w:color="auto"/>
              <w:right w:val="dotted" w:sz="4" w:space="0" w:color="auto"/>
            </w:tcBorders>
          </w:tcPr>
          <w:p>
            <w:pPr>
              <w:pStyle w:val="NoSpacing"/>
            </w:pPr>
            <w:r>
              <w:t>4</w:t>
            </w:r>
          </w:p>
        </w:tc>
        <w:tc>
          <w:tcPr>
            <w:tcW w:w="1540" w:type="dxa"/>
            <w:tcBorders>
              <w:top w:val="dotted" w:sz="4" w:space="0" w:color="auto"/>
              <w:left w:val="dotted" w:sz="4" w:space="0" w:color="auto"/>
              <w:bottom w:val="dotted" w:sz="4" w:space="0" w:color="auto"/>
              <w:right w:val="dotted" w:sz="4" w:space="0" w:color="auto"/>
            </w:tcBorders>
          </w:tcPr>
          <w:p>
            <w:pPr>
              <w:pStyle w:val="NoSpacing"/>
            </w:pPr>
            <w:r>
              <w:t>2</w:t>
            </w:r>
          </w:p>
        </w:tc>
        <w:tc>
          <w:tcPr>
            <w:tcW w:w="1494" w:type="dxa"/>
            <w:tcBorders>
              <w:top w:val="dotted" w:sz="4" w:space="0" w:color="auto"/>
              <w:left w:val="dotted" w:sz="4" w:space="0" w:color="auto"/>
              <w:bottom w:val="dotted" w:sz="4" w:space="0" w:color="auto"/>
              <w:right w:val="dotted" w:sz="4" w:space="0" w:color="auto"/>
            </w:tcBorders>
          </w:tcPr>
          <w:p>
            <w:pPr>
              <w:pStyle w:val="NoSpacing"/>
            </w:pPr>
            <w:r>
              <w:t>2</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Retention, write-once storage and legal hold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687" w:type="dxa"/>
            <w:tcBorders>
              <w:top w:val="dotted" w:sz="4" w:space="0" w:color="auto"/>
              <w:left w:val="dotted" w:sz="4" w:space="0" w:color="auto"/>
              <w:bottom w:val="dotted" w:sz="4" w:space="0" w:color="auto"/>
              <w:right w:val="dotted" w:sz="4" w:space="0" w:color="auto"/>
            </w:tcBorders>
          </w:tcPr>
          <w:p>
            <w:pPr>
              <w:pStyle w:val="NoSpacing"/>
            </w:pPr>
            <w:r>
              <w:t>5</w:t>
            </w:r>
          </w:p>
        </w:tc>
        <w:tc>
          <w:tcPr>
            <w:tcW w:w="1585" w:type="dxa"/>
            <w:tcBorders>
              <w:top w:val="dotted" w:sz="4" w:space="0" w:color="auto"/>
              <w:left w:val="dotted" w:sz="4" w:space="0" w:color="auto"/>
              <w:bottom w:val="dotted" w:sz="4" w:space="0" w:color="auto"/>
              <w:right w:val="dotted" w:sz="4" w:space="0" w:color="auto"/>
            </w:tcBorders>
          </w:tcPr>
          <w:p>
            <w:pPr>
              <w:pStyle w:val="NoSpacing"/>
            </w:pPr>
            <w:r>
              <w:t>4</w:t>
            </w:r>
          </w:p>
        </w:tc>
        <w:tc>
          <w:tcPr>
            <w:tcW w:w="1540" w:type="dxa"/>
            <w:tcBorders>
              <w:top w:val="dotted" w:sz="4" w:space="0" w:color="auto"/>
              <w:left w:val="dotted" w:sz="4" w:space="0" w:color="auto"/>
              <w:bottom w:val="dotted" w:sz="4" w:space="0" w:color="auto"/>
              <w:right w:val="dotted" w:sz="4" w:space="0" w:color="auto"/>
            </w:tcBorders>
          </w:tcPr>
          <w:p>
            <w:pPr>
              <w:pStyle w:val="NoSpacing"/>
            </w:pPr>
            <w:r>
              <w:t>4</w:t>
            </w:r>
          </w:p>
        </w:tc>
        <w:tc>
          <w:tcPr>
            <w:tcW w:w="1494" w:type="dxa"/>
            <w:tcBorders>
              <w:top w:val="dotted" w:sz="4" w:space="0" w:color="auto"/>
              <w:left w:val="dotted" w:sz="4" w:space="0" w:color="auto"/>
              <w:bottom w:val="dotted" w:sz="4" w:space="0" w:color="auto"/>
              <w:right w:val="dotted" w:sz="4" w:space="0" w:color="auto"/>
            </w:tcBorders>
          </w:tcPr>
          <w:p>
            <w:pPr>
              <w:pStyle w:val="NoSpacing"/>
            </w:pPr>
            <w:r>
              <w:t>1</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Access control per claim</w:t>
            </w:r>
          </w:p>
        </w:tc>
        <w:tc>
          <w:tcPr>
            <w:tcW w:w="1060" w:type="dxa"/>
            <w:tcBorders>
              <w:top w:val="dotted" w:sz="4" w:space="0" w:color="auto"/>
              <w:left w:val="dotted" w:sz="4" w:space="0" w:color="auto"/>
              <w:bottom w:val="dotted" w:sz="4" w:space="0" w:color="auto"/>
              <w:right w:val="dotted" w:sz="4" w:space="0" w:color="auto"/>
            </w:tcBorders>
          </w:tcPr>
          <w:p>
            <w:pPr>
              <w:pStyle w:val="NoSpacing"/>
            </w:pPr>
            <w:r>
              <w:t>15</w:t>
            </w:r>
          </w:p>
        </w:tc>
        <w:tc>
          <w:tcPr>
            <w:tcW w:w="1687" w:type="dxa"/>
            <w:tcBorders>
              <w:top w:val="dotted" w:sz="4" w:space="0" w:color="auto"/>
              <w:left w:val="dotted" w:sz="4" w:space="0" w:color="auto"/>
              <w:bottom w:val="dotted" w:sz="4" w:space="0" w:color="auto"/>
              <w:right w:val="dotted" w:sz="4" w:space="0" w:color="auto"/>
            </w:tcBorders>
          </w:tcPr>
          <w:p>
            <w:pPr>
              <w:pStyle w:val="NoSpacing"/>
            </w:pPr>
            <w:r>
              <w:t>4</w:t>
            </w:r>
          </w:p>
        </w:tc>
        <w:tc>
          <w:tcPr>
            <w:tcW w:w="1585" w:type="dxa"/>
            <w:tcBorders>
              <w:top w:val="dotted" w:sz="4" w:space="0" w:color="auto"/>
              <w:left w:val="dotted" w:sz="4" w:space="0" w:color="auto"/>
              <w:bottom w:val="dotted" w:sz="4" w:space="0" w:color="auto"/>
              <w:right w:val="dotted" w:sz="4" w:space="0" w:color="auto"/>
            </w:tcBorders>
          </w:tcPr>
          <w:p>
            <w:pPr>
              <w:pStyle w:val="NoSpacing"/>
            </w:pPr>
            <w:r>
              <w:t>3</w:t>
            </w:r>
          </w:p>
        </w:tc>
        <w:tc>
          <w:tcPr>
            <w:tcW w:w="1540" w:type="dxa"/>
            <w:tcBorders>
              <w:top w:val="dotted" w:sz="4" w:space="0" w:color="auto"/>
              <w:left w:val="dotted" w:sz="4" w:space="0" w:color="auto"/>
              <w:bottom w:val="dotted" w:sz="4" w:space="0" w:color="auto"/>
              <w:right w:val="dotted" w:sz="4" w:space="0" w:color="auto"/>
            </w:tcBorders>
          </w:tcPr>
          <w:p>
            <w:pPr>
              <w:pStyle w:val="NoSpacing"/>
            </w:pPr>
            <w:r>
              <w:t>2</w:t>
            </w:r>
          </w:p>
        </w:tc>
        <w:tc>
          <w:tcPr>
            <w:tcW w:w="1494"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Integrity and tamper evidence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687" w:type="dxa"/>
            <w:tcBorders>
              <w:top w:val="dotted" w:sz="4" w:space="0" w:color="auto"/>
              <w:left w:val="dotted" w:sz="4" w:space="0" w:color="auto"/>
              <w:bottom w:val="dotted" w:sz="4" w:space="0" w:color="auto"/>
              <w:right w:val="dotted" w:sz="4" w:space="0" w:color="auto"/>
            </w:tcBorders>
          </w:tcPr>
          <w:p>
            <w:pPr>
              <w:pStyle w:val="NoSpacing"/>
            </w:pPr>
            <w:r>
              <w:t>5</w:t>
            </w:r>
          </w:p>
        </w:tc>
        <w:tc>
          <w:tcPr>
            <w:tcW w:w="1585" w:type="dxa"/>
            <w:tcBorders>
              <w:top w:val="dotted" w:sz="4" w:space="0" w:color="auto"/>
              <w:left w:val="dotted" w:sz="4" w:space="0" w:color="auto"/>
              <w:bottom w:val="dotted" w:sz="4" w:space="0" w:color="auto"/>
              <w:right w:val="dotted" w:sz="4" w:space="0" w:color="auto"/>
            </w:tcBorders>
          </w:tcPr>
          <w:p>
            <w:pPr>
              <w:pStyle w:val="NoSpacing"/>
            </w:pPr>
            <w:r>
              <w:t>3</w:t>
            </w:r>
          </w:p>
        </w:tc>
        <w:tc>
          <w:tcPr>
            <w:tcW w:w="1540" w:type="dxa"/>
            <w:tcBorders>
              <w:top w:val="dotted" w:sz="4" w:space="0" w:color="auto"/>
              <w:left w:val="dotted" w:sz="4" w:space="0" w:color="auto"/>
              <w:bottom w:val="dotted" w:sz="4" w:space="0" w:color="auto"/>
              <w:right w:val="dotted" w:sz="4" w:space="0" w:color="auto"/>
            </w:tcBorders>
          </w:tcPr>
          <w:p>
            <w:pPr>
              <w:pStyle w:val="NoSpacing"/>
            </w:pPr>
            <w:r>
              <w:t>3</w:t>
            </w:r>
          </w:p>
        </w:tc>
        <w:tc>
          <w:tcPr>
            <w:tcW w:w="1494"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Search: metadata and full text</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687" w:type="dxa"/>
            <w:tcBorders>
              <w:top w:val="dotted" w:sz="4" w:space="0" w:color="auto"/>
              <w:left w:val="dotted" w:sz="4" w:space="0" w:color="auto"/>
              <w:bottom w:val="dotted" w:sz="4" w:space="0" w:color="auto"/>
              <w:right w:val="dotted" w:sz="4" w:space="0" w:color="auto"/>
            </w:tcBorders>
          </w:tcPr>
          <w:p>
            <w:pPr>
              <w:pStyle w:val="NoSpacing"/>
            </w:pPr>
            <w:r>
              <w:t>4</w:t>
            </w:r>
          </w:p>
        </w:tc>
        <w:tc>
          <w:tcPr>
            <w:tcW w:w="1585" w:type="dxa"/>
            <w:tcBorders>
              <w:top w:val="dotted" w:sz="4" w:space="0" w:color="auto"/>
              <w:left w:val="dotted" w:sz="4" w:space="0" w:color="auto"/>
              <w:bottom w:val="dotted" w:sz="4" w:space="0" w:color="auto"/>
              <w:right w:val="dotted" w:sz="4" w:space="0" w:color="auto"/>
            </w:tcBorders>
          </w:tcPr>
          <w:p>
            <w:pPr>
              <w:pStyle w:val="NoSpacing"/>
            </w:pPr>
            <w:r>
              <w:t>5</w:t>
            </w:r>
          </w:p>
        </w:tc>
        <w:tc>
          <w:tcPr>
            <w:tcW w:w="1540" w:type="dxa"/>
            <w:tcBorders>
              <w:top w:val="dotted" w:sz="4" w:space="0" w:color="auto"/>
              <w:left w:val="dotted" w:sz="4" w:space="0" w:color="auto"/>
              <w:bottom w:val="dotted" w:sz="4" w:space="0" w:color="auto"/>
              <w:right w:val="dotted" w:sz="4" w:space="0" w:color="auto"/>
            </w:tcBorders>
          </w:tcPr>
          <w:p>
            <w:pPr>
              <w:pStyle w:val="NoSpacing"/>
            </w:pPr>
            <w:r>
              <w:t>5</w:t>
            </w:r>
          </w:p>
        </w:tc>
        <w:tc>
          <w:tcPr>
            <w:tcW w:w="1494"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Integration and upload path</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687" w:type="dxa"/>
            <w:tcBorders>
              <w:top w:val="dotted" w:sz="4" w:space="0" w:color="auto"/>
              <w:left w:val="dotted" w:sz="4" w:space="0" w:color="auto"/>
              <w:bottom w:val="dotted" w:sz="4" w:space="0" w:color="auto"/>
              <w:right w:val="dotted" w:sz="4" w:space="0" w:color="auto"/>
            </w:tcBorders>
          </w:tcPr>
          <w:p>
            <w:pPr>
              <w:pStyle w:val="NoSpacing"/>
            </w:pPr>
            <w:r>
              <w:t>5</w:t>
            </w:r>
          </w:p>
        </w:tc>
        <w:tc>
          <w:tcPr>
            <w:tcW w:w="1585" w:type="dxa"/>
            <w:tcBorders>
              <w:top w:val="dotted" w:sz="4" w:space="0" w:color="auto"/>
              <w:left w:val="dotted" w:sz="4" w:space="0" w:color="auto"/>
              <w:bottom w:val="dotted" w:sz="4" w:space="0" w:color="auto"/>
              <w:right w:val="dotted" w:sz="4" w:space="0" w:color="auto"/>
            </w:tcBorders>
          </w:tcPr>
          <w:p>
            <w:pPr>
              <w:pStyle w:val="NoSpacing"/>
            </w:pPr>
            <w:r>
              <w:t>3</w:t>
            </w:r>
          </w:p>
        </w:tc>
        <w:tc>
          <w:tcPr>
            <w:tcW w:w="1540" w:type="dxa"/>
            <w:tcBorders>
              <w:top w:val="dotted" w:sz="4" w:space="0" w:color="auto"/>
              <w:left w:val="dotted" w:sz="4" w:space="0" w:color="auto"/>
              <w:bottom w:val="dotted" w:sz="4" w:space="0" w:color="auto"/>
              <w:right w:val="dotted" w:sz="4" w:space="0" w:color="auto"/>
            </w:tcBorders>
          </w:tcPr>
          <w:p>
            <w:pPr>
              <w:pStyle w:val="NoSpacing"/>
            </w:pPr>
            <w:r>
              <w:t>2</w:t>
            </w:r>
          </w:p>
        </w:tc>
        <w:tc>
          <w:tcPr>
            <w:tcW w:w="1494"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Operational overhead</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687" w:type="dxa"/>
            <w:tcBorders>
              <w:top w:val="dotted" w:sz="4" w:space="0" w:color="auto"/>
              <w:left w:val="dotted" w:sz="4" w:space="0" w:color="auto"/>
              <w:bottom w:val="dotted" w:sz="4" w:space="0" w:color="auto"/>
              <w:right w:val="dotted" w:sz="4" w:space="0" w:color="auto"/>
            </w:tcBorders>
          </w:tcPr>
          <w:p>
            <w:pPr>
              <w:pStyle w:val="NoSpacing"/>
            </w:pPr>
            <w:r>
              <w:t>4</w:t>
            </w:r>
          </w:p>
        </w:tc>
        <w:tc>
          <w:tcPr>
            <w:tcW w:w="1585" w:type="dxa"/>
            <w:tcBorders>
              <w:top w:val="dotted" w:sz="4" w:space="0" w:color="auto"/>
              <w:left w:val="dotted" w:sz="4" w:space="0" w:color="auto"/>
              <w:bottom w:val="dotted" w:sz="4" w:space="0" w:color="auto"/>
              <w:right w:val="dotted" w:sz="4" w:space="0" w:color="auto"/>
            </w:tcBorders>
          </w:tcPr>
          <w:p>
            <w:pPr>
              <w:pStyle w:val="NoSpacing"/>
            </w:pPr>
            <w:r>
              <w:t>2</w:t>
            </w:r>
          </w:p>
        </w:tc>
        <w:tc>
          <w:tcPr>
            <w:tcW w:w="1540" w:type="dxa"/>
            <w:tcBorders>
              <w:top w:val="dotted" w:sz="4" w:space="0" w:color="auto"/>
              <w:left w:val="dotted" w:sz="4" w:space="0" w:color="auto"/>
              <w:bottom w:val="dotted" w:sz="4" w:space="0" w:color="auto"/>
              <w:right w:val="dotted" w:sz="4" w:space="0" w:color="auto"/>
            </w:tcBorders>
          </w:tcPr>
          <w:p>
            <w:pPr>
              <w:pStyle w:val="NoSpacing"/>
            </w:pPr>
            <w:r>
              <w:t>5</w:t>
            </w:r>
          </w:p>
        </w:tc>
        <w:tc>
          <w:tcPr>
            <w:tcW w:w="1494" w:type="dxa"/>
            <w:tcBorders>
              <w:top w:val="dotted" w:sz="4" w:space="0" w:color="auto"/>
              <w:left w:val="dotted" w:sz="4" w:space="0" w:color="auto"/>
              <w:bottom w:val="dotted" w:sz="4" w:space="0" w:color="auto"/>
              <w:right w:val="dotted" w:sz="4" w:space="0" w:color="auto"/>
            </w:tcBorders>
          </w:tcPr>
          <w:p>
            <w:pPr>
              <w:pStyle w:val="NoSpacing"/>
            </w:pPr>
            <w:r>
              <w:t>3</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Cost at eClaims volume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w:t>
            </w:r>
          </w:p>
        </w:tc>
        <w:tc>
          <w:tcPr>
            <w:tcW w:w="1687" w:type="dxa"/>
            <w:tcBorders>
              <w:top w:val="dotted" w:sz="4" w:space="0" w:color="auto"/>
              <w:left w:val="dotted" w:sz="4" w:space="0" w:color="auto"/>
              <w:bottom w:val="dotted" w:sz="4" w:space="0" w:color="auto"/>
              <w:right w:val="dotted" w:sz="4" w:space="0" w:color="auto"/>
            </w:tcBorders>
          </w:tcPr>
          <w:p>
            <w:pPr>
              <w:pStyle w:val="NoSpacing"/>
            </w:pPr>
            <w:r>
              <w:t>5</w:t>
            </w:r>
          </w:p>
        </w:tc>
        <w:tc>
          <w:tcPr>
            <w:tcW w:w="1585" w:type="dxa"/>
            <w:tcBorders>
              <w:top w:val="dotted" w:sz="4" w:space="0" w:color="auto"/>
              <w:left w:val="dotted" w:sz="4" w:space="0" w:color="auto"/>
              <w:bottom w:val="dotted" w:sz="4" w:space="0" w:color="auto"/>
              <w:right w:val="dotted" w:sz="4" w:space="0" w:color="auto"/>
            </w:tcBorders>
          </w:tcPr>
          <w:p>
            <w:pPr>
              <w:pStyle w:val="NoSpacing"/>
            </w:pPr>
            <w:r>
              <w:t>3</w:t>
            </w:r>
          </w:p>
        </w:tc>
        <w:tc>
          <w:tcPr>
            <w:tcW w:w="1540" w:type="dxa"/>
            <w:tcBorders>
              <w:top w:val="dotted" w:sz="4" w:space="0" w:color="auto"/>
              <w:left w:val="dotted" w:sz="4" w:space="0" w:color="auto"/>
              <w:bottom w:val="dotted" w:sz="4" w:space="0" w:color="auto"/>
              <w:right w:val="dotted" w:sz="4" w:space="0" w:color="auto"/>
            </w:tcBorders>
          </w:tcPr>
          <w:p>
            <w:pPr>
              <w:pStyle w:val="NoSpacing"/>
            </w:pPr>
            <w:r>
              <w:t>1</w:t>
            </w:r>
          </w:p>
        </w:tc>
        <w:tc>
          <w:tcPr>
            <w:tcW w:w="1494" w:type="dxa"/>
            <w:tcBorders>
              <w:top w:val="dotted" w:sz="4" w:space="0" w:color="auto"/>
              <w:left w:val="dotted" w:sz="4" w:space="0" w:color="auto"/>
              <w:bottom w:val="dotted" w:sz="4" w:space="0" w:color="auto"/>
              <w:right w:val="dotted" w:sz="4" w:space="0" w:color="auto"/>
            </w:tcBorders>
          </w:tcPr>
          <w:p>
            <w:pPr>
              <w:pStyle w:val="NoSpacing"/>
            </w:pPr>
            <w:r>
              <w:t>1</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Deployment flexibility</w:t>
            </w:r>
          </w:p>
        </w:tc>
        <w:tc>
          <w:tcPr>
            <w:tcW w:w="1060" w:type="dxa"/>
            <w:tcBorders>
              <w:top w:val="dotted" w:sz="4" w:space="0" w:color="auto"/>
              <w:left w:val="dotted" w:sz="4" w:space="0" w:color="auto"/>
              <w:bottom w:val="dotted" w:sz="4" w:space="0" w:color="auto"/>
              <w:right w:val="dotted" w:sz="4" w:space="0" w:color="auto"/>
            </w:tcBorders>
          </w:tcPr>
          <w:p>
            <w:pPr>
              <w:pStyle w:val="NoSpacing"/>
            </w:pPr>
            <w:r>
              <w:t>5</w:t>
            </w:r>
          </w:p>
        </w:tc>
        <w:tc>
          <w:tcPr>
            <w:tcW w:w="1687" w:type="dxa"/>
            <w:tcBorders>
              <w:top w:val="dotted" w:sz="4" w:space="0" w:color="auto"/>
              <w:left w:val="dotted" w:sz="4" w:space="0" w:color="auto"/>
              <w:bottom w:val="dotted" w:sz="4" w:space="0" w:color="auto"/>
              <w:right w:val="dotted" w:sz="4" w:space="0" w:color="auto"/>
            </w:tcBorders>
          </w:tcPr>
          <w:p>
            <w:pPr>
              <w:pStyle w:val="NoSpacing"/>
            </w:pPr>
            <w:r>
              <w:t>4</w:t>
            </w:r>
          </w:p>
        </w:tc>
        <w:tc>
          <w:tcPr>
            <w:tcW w:w="1585" w:type="dxa"/>
            <w:tcBorders>
              <w:top w:val="dotted" w:sz="4" w:space="0" w:color="auto"/>
              <w:left w:val="dotted" w:sz="4" w:space="0" w:color="auto"/>
              <w:bottom w:val="dotted" w:sz="4" w:space="0" w:color="auto"/>
              <w:right w:val="dotted" w:sz="4" w:space="0" w:color="auto"/>
            </w:tcBorders>
          </w:tcPr>
          <w:p>
            <w:pPr>
              <w:pStyle w:val="NoSpacing"/>
            </w:pPr>
            <w:r>
              <w:t>5</w:t>
            </w:r>
          </w:p>
        </w:tc>
        <w:tc>
          <w:tcPr>
            <w:tcW w:w="1540" w:type="dxa"/>
            <w:tcBorders>
              <w:top w:val="dotted" w:sz="4" w:space="0" w:color="auto"/>
              <w:left w:val="dotted" w:sz="4" w:space="0" w:color="auto"/>
              <w:bottom w:val="dotted" w:sz="4" w:space="0" w:color="auto"/>
              <w:right w:val="dotted" w:sz="4" w:space="0" w:color="auto"/>
            </w:tcBorders>
          </w:tcPr>
          <w:p>
            <w:pPr>
              <w:pStyle w:val="NoSpacing"/>
            </w:pPr>
            <w:r>
              <w:t>3</w:t>
            </w:r>
          </w:p>
        </w:tc>
        <w:tc>
          <w:tcPr>
            <w:tcW w:w="1494" w:type="dxa"/>
            <w:tcBorders>
              <w:top w:val="dotted" w:sz="4" w:space="0" w:color="auto"/>
              <w:left w:val="dotted" w:sz="4" w:space="0" w:color="auto"/>
              <w:bottom w:val="dotted" w:sz="4" w:space="0" w:color="auto"/>
              <w:right w:val="dotted" w:sz="4" w:space="0" w:color="auto"/>
            </w:tcBorders>
          </w:tcPr>
          <w:p>
            <w:pPr>
              <w:pStyle w:val="NoSpacing"/>
            </w:pPr>
            <w:r>
              <w:t>4</w:t>
            </w:r>
          </w:p>
        </w:tc>
      </w:tr>
      <w:tr>
        <w:trPr>
          <w:cantSplit/>
        </w:trPr>
        <w:tc>
          <w:tcPr>
            <w:tcW w:w="1660" w:type="dxa"/>
            <w:tcBorders>
              <w:top w:val="dotted" w:sz="4" w:space="0" w:color="auto"/>
              <w:left w:val="dotted" w:sz="4" w:space="0" w:color="auto"/>
              <w:bottom w:val="dotted" w:sz="4" w:space="0" w:color="auto"/>
              <w:right w:val="dotted" w:sz="4" w:space="0" w:color="auto"/>
            </w:tcBorders>
          </w:tcPr>
          <w:p>
            <w:pPr>
              <w:pStyle w:val="NoSpacing"/>
            </w:pPr>
            <w:r>
              <w:t>Total Weighted Score</w:t>
            </w:r>
          </w:p>
        </w:tc>
        <w:tc>
          <w:tcPr>
            <w:tcW w:w="1060" w:type="dxa"/>
            <w:tcBorders>
              <w:top w:val="dotted" w:sz="4" w:space="0" w:color="auto"/>
              <w:left w:val="dotted" w:sz="4" w:space="0" w:color="auto"/>
              <w:bottom w:val="dotted" w:sz="4" w:space="0" w:color="auto"/>
              <w:right w:val="dotted" w:sz="4" w:space="0" w:color="auto"/>
            </w:tcBorders>
          </w:tcPr>
          <w:p>
            <w:pPr>
              <w:pStyle w:val="NoSpacing"/>
            </w:pPr>
            <w:r>
              <w:t>100</w:t>
            </w:r>
          </w:p>
        </w:tc>
        <w:tc>
          <w:tcPr>
            <w:tcW w:w="1687" w:type="dxa"/>
            <w:tcBorders>
              <w:top w:val="dotted" w:sz="4" w:space="0" w:color="auto"/>
              <w:left w:val="dotted" w:sz="4" w:space="0" w:color="auto"/>
              <w:bottom w:val="dotted" w:sz="4" w:space="0" w:color="auto"/>
              <w:right w:val="dotted" w:sz="4" w:space="0" w:color="auto"/>
            </w:tcBorders>
          </w:tcPr>
          <w:p>
            <w:pPr>
              <w:pStyle w:val="NoSpacing"/>
            </w:pPr>
            <w:r>
              <w:t>4.60 / 5</w:t>
            </w:r>
          </w:p>
        </w:tc>
        <w:tc>
          <w:tcPr>
            <w:tcW w:w="1585" w:type="dxa"/>
            <w:tcBorders>
              <w:top w:val="dotted" w:sz="4" w:space="0" w:color="auto"/>
              <w:left w:val="dotted" w:sz="4" w:space="0" w:color="auto"/>
              <w:bottom w:val="dotted" w:sz="4" w:space="0" w:color="auto"/>
              <w:right w:val="dotted" w:sz="4" w:space="0" w:color="auto"/>
            </w:tcBorders>
          </w:tcPr>
          <w:p>
            <w:pPr>
              <w:pStyle w:val="NoSpacing"/>
            </w:pPr>
            <w:r>
              <w:t>3.50 / 5</w:t>
            </w:r>
          </w:p>
        </w:tc>
        <w:tc>
          <w:tcPr>
            <w:tcW w:w="1540" w:type="dxa"/>
            <w:tcBorders>
              <w:top w:val="dotted" w:sz="4" w:space="0" w:color="auto"/>
              <w:left w:val="dotted" w:sz="4" w:space="0" w:color="auto"/>
              <w:bottom w:val="dotted" w:sz="4" w:space="0" w:color="auto"/>
              <w:right w:val="dotted" w:sz="4" w:space="0" w:color="auto"/>
            </w:tcBorders>
          </w:tcPr>
          <w:p>
            <w:pPr>
              <w:pStyle w:val="NoSpacing"/>
            </w:pPr>
            <w:r>
              <w:t>2.95 / 5</w:t>
            </w:r>
          </w:p>
        </w:tc>
        <w:tc>
          <w:tcPr>
            <w:tcW w:w="1494" w:type="dxa"/>
            <w:tcBorders>
              <w:top w:val="dotted" w:sz="4" w:space="0" w:color="auto"/>
              <w:left w:val="dotted" w:sz="4" w:space="0" w:color="auto"/>
              <w:bottom w:val="dotted" w:sz="4" w:space="0" w:color="auto"/>
              <w:right w:val="dotted" w:sz="4" w:space="0" w:color="auto"/>
            </w:tcBorders>
          </w:tcPr>
          <w:p>
            <w:pPr>
              <w:pStyle w:val="NoSpacing"/>
            </w:pPr>
            <w:r>
              <w:t>2.55 / 5</w:t>
            </w:r>
          </w:p>
        </w:tc>
      </w:tr>
    </w:tbl>
    <w:p/>
    <w:p>
      <w:r>
        <w:t>S3 with PostgreSQL metadata and OpenSearch leads at 4.60, well ahead of Alfresco at 3.50, SharePoint Online at 2.95 and MongoDB Atlas with GridFS at 2.55. The margin comes from the three attributes weighted 15 and from cost. S3 is built for this volume, Object Lock gives write-once retention with legal holds, and access is decided by eClaims itself, which already knows who owns and works each claim.</w:t>
      </w:r>
    </w:p>
    <w:p>
      <w:r>
        <w:t>The result is not one-sided. Alfresco and SharePoint both beat the composable option on search, because full-text indexing and text extraction come built in, and SharePoint needs the least operation of all. Alfresco is the strongest on-premise answer. What holds them back is fit, not capability. eClaims' users are mostly external, its documents are files rather than co-authored office documents, and its volume is about 120 million documents a year. Alfresco would add a licensed platform and its operation for features eClaims does not use. SharePoint would exceed its library limits and storage pool within months and would need every external access proxied. GridFS keeps files and metadata together but puts 240 TB a year into database storage with no retention lock.</w:t>
      </w:r>
    </w:p>
    <w:p>
      <w:pPr>
        <w:pStyle w:val="Heading2"/>
      </w:pPr>
      <w:bookmarkStart w:id="122" w:name="_Toc300000023"/>
      <w:r>
        <w:t>Comparison 2 — Capability Comparison</w:t>
      </w:r>
      <w:bookmarkEnd w:id="122"/>
    </w:p>
    <w:p>
      <w:r>
        <w:t>Native means the capability is provided by the option itself. Partial means it is achievable but requires the team to build or integrate something. No means the capability is absent.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7"/>
        <w:gridCol w:w="1810"/>
        <w:gridCol w:w="1933"/>
        <w:gridCol w:w="1914"/>
        <w:gridCol w:w="1842"/>
      </w:tblGrid>
      <w:tr>
        <w:trPr>
          <w:cantSplit/>
          <w:tblHeader/>
        </w:trPr>
        <w:tc>
          <w:tcPr>
            <w:tcW w:w="1527"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Key Capability</w:t>
            </w:r>
          </w:p>
        </w:tc>
        <w:tc>
          <w:tcPr>
            <w:tcW w:w="181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S3 + PostgreSQL + OpenSearch</w:t>
            </w:r>
          </w:p>
        </w:tc>
        <w:tc>
          <w:tcPr>
            <w:tcW w:w="1933"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Alfresco Content Services</w:t>
            </w:r>
          </w:p>
        </w:tc>
        <w:tc>
          <w:tcPr>
            <w:tcW w:w="1914"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SharePoint Online</w:t>
            </w:r>
          </w:p>
        </w:tc>
        <w:tc>
          <w:tcPr>
            <w:tcW w:w="1842"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MongoDB Atlas with GridFS</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Write-once retention (WORM)</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Object Lock</w:t>
            </w:r>
          </w:p>
        </w:tc>
        <w:tc>
          <w:tcPr>
            <w:tcW w:w="1933" w:type="dxa"/>
            <w:tcBorders>
              <w:top w:val="dotted" w:sz="4" w:space="0" w:color="auto"/>
              <w:left w:val="dotted" w:sz="4" w:space="0" w:color="auto"/>
              <w:bottom w:val="dotted" w:sz="4" w:space="0" w:color="auto"/>
              <w:right w:val="dotted" w:sz="4" w:space="0" w:color="auto"/>
            </w:tcBorders>
          </w:tcPr>
          <w:p>
            <w:pPr>
              <w:pStyle w:val="NoSpacing"/>
            </w:pPr>
            <w:r>
              <w:t>Partial — Governance Services, with S3 Object Lock underneath</w:t>
            </w:r>
          </w:p>
        </w:tc>
        <w:tc>
          <w:tcPr>
            <w:tcW w:w="1914" w:type="dxa"/>
            <w:tcBorders>
              <w:top w:val="dotted" w:sz="4" w:space="0" w:color="auto"/>
              <w:left w:val="dotted" w:sz="4" w:space="0" w:color="auto"/>
              <w:bottom w:val="dotted" w:sz="4" w:space="0" w:color="auto"/>
              <w:right w:val="dotted" w:sz="4" w:space="0" w:color="auto"/>
            </w:tcBorders>
          </w:tcPr>
          <w:p>
            <w:pPr>
              <w:pStyle w:val="NoSpacing"/>
            </w:pPr>
            <w:r>
              <w:t>Native — retention labels and records</w:t>
            </w:r>
          </w:p>
        </w:tc>
        <w:tc>
          <w:tcPr>
            <w:tcW w:w="1842"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Legal hold</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Object Lock legal hold</w:t>
            </w:r>
          </w:p>
        </w:tc>
        <w:tc>
          <w:tcPr>
            <w:tcW w:w="1933" w:type="dxa"/>
            <w:tcBorders>
              <w:top w:val="dotted" w:sz="4" w:space="0" w:color="auto"/>
              <w:left w:val="dotted" w:sz="4" w:space="0" w:color="auto"/>
              <w:bottom w:val="dotted" w:sz="4" w:space="0" w:color="auto"/>
              <w:right w:val="dotted" w:sz="4" w:space="0" w:color="auto"/>
            </w:tcBorders>
          </w:tcPr>
          <w:p>
            <w:pPr>
              <w:pStyle w:val="NoSpacing"/>
            </w:pPr>
            <w:r>
              <w:t>Native — Governance Services</w:t>
            </w:r>
          </w:p>
        </w:tc>
        <w:tc>
          <w:tcPr>
            <w:tcW w:w="1914" w:type="dxa"/>
            <w:tcBorders>
              <w:top w:val="dotted" w:sz="4" w:space="0" w:color="auto"/>
              <w:left w:val="dotted" w:sz="4" w:space="0" w:color="auto"/>
              <w:bottom w:val="dotted" w:sz="4" w:space="0" w:color="auto"/>
              <w:right w:val="dotted" w:sz="4" w:space="0" w:color="auto"/>
            </w:tcBorders>
          </w:tcPr>
          <w:p>
            <w:pPr>
              <w:pStyle w:val="NoSpacing"/>
            </w:pPr>
            <w:r>
              <w:t>Native — eDiscovery holds</w:t>
            </w:r>
          </w:p>
        </w:tc>
        <w:tc>
          <w:tcPr>
            <w:tcW w:w="1842"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Version history</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S3 versioning</w:t>
            </w:r>
          </w:p>
        </w:tc>
        <w:tc>
          <w:tcPr>
            <w:tcW w:w="1933"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914"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842" w:type="dxa"/>
            <w:tcBorders>
              <w:top w:val="dotted" w:sz="4" w:space="0" w:color="auto"/>
              <w:left w:val="dotted" w:sz="4" w:space="0" w:color="auto"/>
              <w:bottom w:val="dotted" w:sz="4" w:space="0" w:color="auto"/>
              <w:right w:val="dotted" w:sz="4" w:space="0" w:color="auto"/>
            </w:tcBorders>
          </w:tcPr>
          <w:p>
            <w:pPr>
              <w:pStyle w:val="NoSpacing"/>
            </w:pPr>
            <w:r>
              <w:t>Partial — built by the team</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Upload integrity check</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SHA-256 checksum verified by S3</w:t>
            </w:r>
          </w:p>
        </w:tc>
        <w:tc>
          <w:tcPr>
            <w:tcW w:w="1933" w:type="dxa"/>
            <w:tcBorders>
              <w:top w:val="dotted" w:sz="4" w:space="0" w:color="auto"/>
              <w:left w:val="dotted" w:sz="4" w:space="0" w:color="auto"/>
              <w:bottom w:val="dotted" w:sz="4" w:space="0" w:color="auto"/>
              <w:right w:val="dotted" w:sz="4" w:space="0" w:color="auto"/>
            </w:tcBorders>
          </w:tcPr>
          <w:p>
            <w:pPr>
              <w:pStyle w:val="NoSpacing"/>
            </w:pPr>
            <w:r>
              <w:t>Partial — digest recorded by a customisation</w:t>
            </w:r>
          </w:p>
        </w:tc>
        <w:tc>
          <w:tcPr>
            <w:tcW w:w="1914" w:type="dxa"/>
            <w:tcBorders>
              <w:top w:val="dotted" w:sz="4" w:space="0" w:color="auto"/>
              <w:left w:val="dotted" w:sz="4" w:space="0" w:color="auto"/>
              <w:bottom w:val="dotted" w:sz="4" w:space="0" w:color="auto"/>
              <w:right w:val="dotted" w:sz="4" w:space="0" w:color="auto"/>
            </w:tcBorders>
          </w:tcPr>
          <w:p>
            <w:pPr>
              <w:pStyle w:val="NoSpacing"/>
            </w:pPr>
            <w:r>
              <w:t>Partial — no customer-visible digest</w:t>
            </w:r>
          </w:p>
        </w:tc>
        <w:tc>
          <w:tcPr>
            <w:tcW w:w="1842" w:type="dxa"/>
            <w:tcBorders>
              <w:top w:val="dotted" w:sz="4" w:space="0" w:color="auto"/>
              <w:left w:val="dotted" w:sz="4" w:space="0" w:color="auto"/>
              <w:bottom w:val="dotted" w:sz="4" w:space="0" w:color="auto"/>
              <w:right w:val="dotted" w:sz="4" w:space="0" w:color="auto"/>
            </w:tcBorders>
          </w:tcPr>
          <w:p>
            <w:pPr>
              <w:pStyle w:val="NoSpacing"/>
            </w:pPr>
            <w:r>
              <w:t>Partial — digest recorded by the team</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Direct upload, off the API</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pre-signed requests</w:t>
            </w:r>
          </w:p>
        </w:tc>
        <w:tc>
          <w:tcPr>
            <w:tcW w:w="1933" w:type="dxa"/>
            <w:tcBorders>
              <w:top w:val="dotted" w:sz="4" w:space="0" w:color="auto"/>
              <w:left w:val="dotted" w:sz="4" w:space="0" w:color="auto"/>
              <w:bottom w:val="dotted" w:sz="4" w:space="0" w:color="auto"/>
              <w:right w:val="dotted" w:sz="4" w:space="0" w:color="auto"/>
            </w:tcBorders>
          </w:tcPr>
          <w:p>
            <w:pPr>
              <w:pStyle w:val="NoSpacing"/>
            </w:pPr>
            <w:r>
              <w:t>No — through the repository</w:t>
            </w:r>
          </w:p>
        </w:tc>
        <w:tc>
          <w:tcPr>
            <w:tcW w:w="1914" w:type="dxa"/>
            <w:tcBorders>
              <w:top w:val="dotted" w:sz="4" w:space="0" w:color="auto"/>
              <w:left w:val="dotted" w:sz="4" w:space="0" w:color="auto"/>
              <w:bottom w:val="dotted" w:sz="4" w:space="0" w:color="auto"/>
              <w:right w:val="dotted" w:sz="4" w:space="0" w:color="auto"/>
            </w:tcBorders>
          </w:tcPr>
          <w:p>
            <w:pPr>
              <w:pStyle w:val="NoSpacing"/>
            </w:pPr>
            <w:r>
              <w:t>No — through Microsoft Graph</w:t>
            </w:r>
          </w:p>
        </w:tc>
        <w:tc>
          <w:tcPr>
            <w:tcW w:w="1842" w:type="dxa"/>
            <w:tcBorders>
              <w:top w:val="dotted" w:sz="4" w:space="0" w:color="auto"/>
              <w:left w:val="dotted" w:sz="4" w:space="0" w:color="auto"/>
              <w:bottom w:val="dotted" w:sz="4" w:space="0" w:color="auto"/>
              <w:right w:val="dotted" w:sz="4" w:space="0" w:color="auto"/>
            </w:tcBorders>
          </w:tcPr>
          <w:p>
            <w:pPr>
              <w:pStyle w:val="NoSpacing"/>
            </w:pPr>
            <w:r>
              <w:t>No — through the services</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Storage tiering to archive</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lifecycle to Standard-IA and Deep Archive</w:t>
            </w:r>
          </w:p>
        </w:tc>
        <w:tc>
          <w:tcPr>
            <w:tcW w:w="1933" w:type="dxa"/>
            <w:tcBorders>
              <w:top w:val="dotted" w:sz="4" w:space="0" w:color="auto"/>
              <w:left w:val="dotted" w:sz="4" w:space="0" w:color="auto"/>
              <w:bottom w:val="dotted" w:sz="4" w:space="0" w:color="auto"/>
              <w:right w:val="dotted" w:sz="4" w:space="0" w:color="auto"/>
            </w:tcBorders>
          </w:tcPr>
          <w:p>
            <w:pPr>
              <w:pStyle w:val="NoSpacing"/>
            </w:pPr>
            <w:r>
              <w:t>Partial — with S3 as the content store</w:t>
            </w:r>
          </w:p>
        </w:tc>
        <w:tc>
          <w:tcPr>
            <w:tcW w:w="1914" w:type="dxa"/>
            <w:tcBorders>
              <w:top w:val="dotted" w:sz="4" w:space="0" w:color="auto"/>
              <w:left w:val="dotted" w:sz="4" w:space="0" w:color="auto"/>
              <w:bottom w:val="dotted" w:sz="4" w:space="0" w:color="auto"/>
              <w:right w:val="dotted" w:sz="4" w:space="0" w:color="auto"/>
            </w:tcBorders>
          </w:tcPr>
          <w:p>
            <w:pPr>
              <w:pStyle w:val="NoSpacing"/>
            </w:pPr>
            <w:r>
              <w:t>No</w:t>
            </w:r>
          </w:p>
        </w:tc>
        <w:tc>
          <w:tcPr>
            <w:tcW w:w="1842"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Malware scanning on upload</w:t>
            </w:r>
          </w:p>
        </w:tc>
        <w:tc>
          <w:tcPr>
            <w:tcW w:w="1810" w:type="dxa"/>
            <w:tcBorders>
              <w:top w:val="dotted" w:sz="4" w:space="0" w:color="auto"/>
              <w:left w:val="dotted" w:sz="4" w:space="0" w:color="auto"/>
              <w:bottom w:val="dotted" w:sz="4" w:space="0" w:color="auto"/>
              <w:right w:val="dotted" w:sz="4" w:space="0" w:color="auto"/>
            </w:tcBorders>
          </w:tcPr>
          <w:p>
            <w:pPr>
              <w:pStyle w:val="NoSpacing"/>
            </w:pPr>
            <w:r>
              <w:t>Partial — GuardDuty Malware Protection for S3</w:t>
            </w:r>
          </w:p>
        </w:tc>
        <w:tc>
          <w:tcPr>
            <w:tcW w:w="1933" w:type="dxa"/>
            <w:tcBorders>
              <w:top w:val="dotted" w:sz="4" w:space="0" w:color="auto"/>
              <w:left w:val="dotted" w:sz="4" w:space="0" w:color="auto"/>
              <w:bottom w:val="dotted" w:sz="4" w:space="0" w:color="auto"/>
              <w:right w:val="dotted" w:sz="4" w:space="0" w:color="auto"/>
            </w:tcBorders>
          </w:tcPr>
          <w:p>
            <w:pPr>
              <w:pStyle w:val="NoSpacing"/>
            </w:pPr>
            <w:r>
              <w:t>Partial — antivirus add-on</w:t>
            </w:r>
          </w:p>
        </w:tc>
        <w:tc>
          <w:tcPr>
            <w:tcW w:w="1914"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842" w:type="dxa"/>
            <w:tcBorders>
              <w:top w:val="dotted" w:sz="4" w:space="0" w:color="auto"/>
              <w:left w:val="dotted" w:sz="4" w:space="0" w:color="auto"/>
              <w:bottom w:val="dotted" w:sz="4" w:space="0" w:color="auto"/>
              <w:right w:val="dotted" w:sz="4" w:space="0" w:color="auto"/>
            </w:tcBorders>
          </w:tcPr>
          <w:p>
            <w:pPr>
              <w:pStyle w:val="NoSpacing"/>
            </w:pPr>
            <w:r>
              <w:t>Partial — built by the team</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Full-text search</w:t>
            </w:r>
          </w:p>
        </w:tc>
        <w:tc>
          <w:tcPr>
            <w:tcW w:w="1810" w:type="dxa"/>
            <w:tcBorders>
              <w:top w:val="dotted" w:sz="4" w:space="0" w:color="auto"/>
              <w:left w:val="dotted" w:sz="4" w:space="0" w:color="auto"/>
              <w:bottom w:val="dotted" w:sz="4" w:space="0" w:color="auto"/>
              <w:right w:val="dotted" w:sz="4" w:space="0" w:color="auto"/>
            </w:tcBorders>
          </w:tcPr>
          <w:p>
            <w:pPr>
              <w:pStyle w:val="NoSpacing"/>
            </w:pPr>
            <w:r>
              <w:t>Partial — extraction and OpenSearch indexing pipeline</w:t>
            </w:r>
          </w:p>
        </w:tc>
        <w:tc>
          <w:tcPr>
            <w:tcW w:w="1933"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914" w:type="dxa"/>
            <w:tcBorders>
              <w:top w:val="dotted" w:sz="4" w:space="0" w:color="auto"/>
              <w:left w:val="dotted" w:sz="4" w:space="0" w:color="auto"/>
              <w:bottom w:val="dotted" w:sz="4" w:space="0" w:color="auto"/>
              <w:right w:val="dotted" w:sz="4" w:space="0" w:color="auto"/>
            </w:tcBorders>
          </w:tcPr>
          <w:p>
            <w:pPr>
              <w:pStyle w:val="NoSpacing"/>
            </w:pPr>
            <w:r>
              <w:t>Native</w:t>
            </w:r>
          </w:p>
        </w:tc>
        <w:tc>
          <w:tcPr>
            <w:tcW w:w="1842" w:type="dxa"/>
            <w:tcBorders>
              <w:top w:val="dotted" w:sz="4" w:space="0" w:color="auto"/>
              <w:left w:val="dotted" w:sz="4" w:space="0" w:color="auto"/>
              <w:bottom w:val="dotted" w:sz="4" w:space="0" w:color="auto"/>
              <w:right w:val="dotted" w:sz="4" w:space="0" w:color="auto"/>
            </w:tcBorders>
          </w:tcPr>
          <w:p>
            <w:pPr>
              <w:pStyle w:val="NoSpacing"/>
            </w:pPr>
            <w:r>
              <w:t>Partial — Atlas Search on metadata; extraction built by the team</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Access for millions of external users</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decided by eClaims, delivered by pre-signed URL</w:t>
            </w:r>
          </w:p>
        </w:tc>
        <w:tc>
          <w:tcPr>
            <w:tcW w:w="1933" w:type="dxa"/>
            <w:tcBorders>
              <w:top w:val="dotted" w:sz="4" w:space="0" w:color="auto"/>
              <w:left w:val="dotted" w:sz="4" w:space="0" w:color="auto"/>
              <w:bottom w:val="dotted" w:sz="4" w:space="0" w:color="auto"/>
              <w:right w:val="dotted" w:sz="4" w:space="0" w:color="auto"/>
            </w:tcBorders>
          </w:tcPr>
          <w:p>
            <w:pPr>
              <w:pStyle w:val="NoSpacing"/>
            </w:pPr>
            <w:r>
              <w:t>Partial — through a service account</w:t>
            </w:r>
          </w:p>
        </w:tc>
        <w:tc>
          <w:tcPr>
            <w:tcW w:w="1914" w:type="dxa"/>
            <w:tcBorders>
              <w:top w:val="dotted" w:sz="4" w:space="0" w:color="auto"/>
              <w:left w:val="dotted" w:sz="4" w:space="0" w:color="auto"/>
              <w:bottom w:val="dotted" w:sz="4" w:space="0" w:color="auto"/>
              <w:right w:val="dotted" w:sz="4" w:space="0" w:color="auto"/>
            </w:tcBorders>
          </w:tcPr>
          <w:p>
            <w:pPr>
              <w:pStyle w:val="NoSpacing"/>
            </w:pPr>
            <w:r>
              <w:t>Partial — through Microsoft Graph</w:t>
            </w:r>
          </w:p>
        </w:tc>
        <w:tc>
          <w:tcPr>
            <w:tcW w:w="1842" w:type="dxa"/>
            <w:tcBorders>
              <w:top w:val="dotted" w:sz="4" w:space="0" w:color="auto"/>
              <w:left w:val="dotted" w:sz="4" w:space="0" w:color="auto"/>
              <w:bottom w:val="dotted" w:sz="4" w:space="0" w:color="auto"/>
              <w:right w:val="dotted" w:sz="4" w:space="0" w:color="auto"/>
            </w:tcBorders>
          </w:tcPr>
          <w:p>
            <w:pPr>
              <w:pStyle w:val="NoSpacing"/>
            </w:pPr>
            <w:r>
              <w:t>Native — decided by eClaims</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Recovery in us-east-2</w:t>
            </w:r>
          </w:p>
        </w:tc>
        <w:tc>
          <w:tcPr>
            <w:tcW w:w="1810" w:type="dxa"/>
            <w:tcBorders>
              <w:top w:val="dotted" w:sz="4" w:space="0" w:color="auto"/>
              <w:left w:val="dotted" w:sz="4" w:space="0" w:color="auto"/>
              <w:bottom w:val="dotted" w:sz="4" w:space="0" w:color="auto"/>
              <w:right w:val="dotted" w:sz="4" w:space="0" w:color="auto"/>
            </w:tcBorders>
          </w:tcPr>
          <w:p>
            <w:pPr>
              <w:pStyle w:val="NoSpacing"/>
            </w:pPr>
            <w:r>
              <w:t>Native — Cross-Region Replication within 15 minutes</w:t>
            </w:r>
          </w:p>
        </w:tc>
        <w:tc>
          <w:tcPr>
            <w:tcW w:w="1933" w:type="dxa"/>
            <w:tcBorders>
              <w:top w:val="dotted" w:sz="4" w:space="0" w:color="auto"/>
              <w:left w:val="dotted" w:sz="4" w:space="0" w:color="auto"/>
              <w:bottom w:val="dotted" w:sz="4" w:space="0" w:color="auto"/>
              <w:right w:val="dotted" w:sz="4" w:space="0" w:color="auto"/>
            </w:tcBorders>
          </w:tcPr>
          <w:p>
            <w:pPr>
              <w:pStyle w:val="NoSpacing"/>
            </w:pPr>
            <w:r>
              <w:t>Partial — S3 replication plus a standby repository</w:t>
            </w:r>
          </w:p>
        </w:tc>
        <w:tc>
          <w:tcPr>
            <w:tcW w:w="1914" w:type="dxa"/>
            <w:tcBorders>
              <w:top w:val="dotted" w:sz="4" w:space="0" w:color="auto"/>
              <w:left w:val="dotted" w:sz="4" w:space="0" w:color="auto"/>
              <w:bottom w:val="dotted" w:sz="4" w:space="0" w:color="auto"/>
              <w:right w:val="dotted" w:sz="4" w:space="0" w:color="auto"/>
            </w:tcBorders>
          </w:tcPr>
          <w:p>
            <w:pPr>
              <w:pStyle w:val="NoSpacing"/>
            </w:pPr>
            <w:r>
              <w:t>Native — Microsoft-managed, Region not chosen by YCompany</w:t>
            </w:r>
          </w:p>
        </w:tc>
        <w:tc>
          <w:tcPr>
            <w:tcW w:w="1842" w:type="dxa"/>
            <w:tcBorders>
              <w:top w:val="dotted" w:sz="4" w:space="0" w:color="auto"/>
              <w:left w:val="dotted" w:sz="4" w:space="0" w:color="auto"/>
              <w:bottom w:val="dotted" w:sz="4" w:space="0" w:color="auto"/>
              <w:right w:val="dotted" w:sz="4" w:space="0" w:color="auto"/>
            </w:tcBorders>
          </w:tcPr>
          <w:p>
            <w:pPr>
              <w:pStyle w:val="NoSpacing"/>
            </w:pPr>
            <w:r>
              <w:t>Partial — cross-Region cluster at extra cost</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Data in YCompany's AWS account</w:t>
            </w:r>
          </w:p>
        </w:tc>
        <w:tc>
          <w:tcPr>
            <w:tcW w:w="1810" w:type="dxa"/>
            <w:tcBorders>
              <w:top w:val="dotted" w:sz="4" w:space="0" w:color="auto"/>
              <w:left w:val="dotted" w:sz="4" w:space="0" w:color="auto"/>
              <w:bottom w:val="dotted" w:sz="4" w:space="0" w:color="auto"/>
              <w:right w:val="dotted" w:sz="4" w:space="0" w:color="auto"/>
            </w:tcBorders>
          </w:tcPr>
          <w:p>
            <w:pPr>
              <w:pStyle w:val="NoSpacing"/>
            </w:pPr>
            <w:r>
              <w:t>Yes</w:t>
            </w:r>
          </w:p>
        </w:tc>
        <w:tc>
          <w:tcPr>
            <w:tcW w:w="1933" w:type="dxa"/>
            <w:tcBorders>
              <w:top w:val="dotted" w:sz="4" w:space="0" w:color="auto"/>
              <w:left w:val="dotted" w:sz="4" w:space="0" w:color="auto"/>
              <w:bottom w:val="dotted" w:sz="4" w:space="0" w:color="auto"/>
              <w:right w:val="dotted" w:sz="4" w:space="0" w:color="auto"/>
            </w:tcBorders>
          </w:tcPr>
          <w:p>
            <w:pPr>
              <w:pStyle w:val="NoSpacing"/>
            </w:pPr>
            <w:r>
              <w:t>Yes</w:t>
            </w:r>
          </w:p>
        </w:tc>
        <w:tc>
          <w:tcPr>
            <w:tcW w:w="1914" w:type="dxa"/>
            <w:tcBorders>
              <w:top w:val="dotted" w:sz="4" w:space="0" w:color="auto"/>
              <w:left w:val="dotted" w:sz="4" w:space="0" w:color="auto"/>
              <w:bottom w:val="dotted" w:sz="4" w:space="0" w:color="auto"/>
              <w:right w:val="dotted" w:sz="4" w:space="0" w:color="auto"/>
            </w:tcBorders>
          </w:tcPr>
          <w:p>
            <w:pPr>
              <w:pStyle w:val="NoSpacing"/>
            </w:pPr>
            <w:r>
              <w:t>No</w:t>
            </w:r>
          </w:p>
        </w:tc>
        <w:tc>
          <w:tcPr>
            <w:tcW w:w="1842" w:type="dxa"/>
            <w:tcBorders>
              <w:top w:val="dotted" w:sz="4" w:space="0" w:color="auto"/>
              <w:left w:val="dotted" w:sz="4" w:space="0" w:color="auto"/>
              <w:bottom w:val="dotted" w:sz="4" w:space="0" w:color="auto"/>
              <w:right w:val="dotted" w:sz="4" w:space="0" w:color="auto"/>
            </w:tcBorders>
          </w:tcPr>
          <w:p>
            <w:pPr>
              <w:pStyle w:val="NoSpacing"/>
            </w:pPr>
            <w:r>
              <w:t>No</w:t>
            </w:r>
          </w:p>
        </w:tc>
      </w:tr>
      <w:tr>
        <w:trPr>
          <w:cantSplit/>
        </w:trPr>
        <w:tc>
          <w:tcPr>
            <w:tcW w:w="1527" w:type="dxa"/>
            <w:tcBorders>
              <w:top w:val="dotted" w:sz="4" w:space="0" w:color="auto"/>
              <w:left w:val="dotted" w:sz="4" w:space="0" w:color="auto"/>
              <w:bottom w:val="dotted" w:sz="4" w:space="0" w:color="auto"/>
              <w:right w:val="dotted" w:sz="4" w:space="0" w:color="auto"/>
            </w:tcBorders>
          </w:tcPr>
          <w:p>
            <w:pPr>
              <w:pStyle w:val="NoSpacing"/>
            </w:pPr>
            <w:r>
              <w:t>Runs on-premise</w:t>
            </w:r>
          </w:p>
        </w:tc>
        <w:tc>
          <w:tcPr>
            <w:tcW w:w="1810" w:type="dxa"/>
            <w:tcBorders>
              <w:top w:val="dotted" w:sz="4" w:space="0" w:color="auto"/>
              <w:left w:val="dotted" w:sz="4" w:space="0" w:color="auto"/>
              <w:bottom w:val="dotted" w:sz="4" w:space="0" w:color="auto"/>
              <w:right w:val="dotted" w:sz="4" w:space="0" w:color="auto"/>
            </w:tcBorders>
          </w:tcPr>
          <w:p>
            <w:pPr>
              <w:pStyle w:val="NoSpacing"/>
            </w:pPr>
            <w:r>
              <w:t>Partial — MinIO, PostgreSQL and OpenSearch</w:t>
            </w:r>
          </w:p>
        </w:tc>
        <w:tc>
          <w:tcPr>
            <w:tcW w:w="1933" w:type="dxa"/>
            <w:tcBorders>
              <w:top w:val="dotted" w:sz="4" w:space="0" w:color="auto"/>
              <w:left w:val="dotted" w:sz="4" w:space="0" w:color="auto"/>
              <w:bottom w:val="dotted" w:sz="4" w:space="0" w:color="auto"/>
              <w:right w:val="dotted" w:sz="4" w:space="0" w:color="auto"/>
            </w:tcBorders>
          </w:tcPr>
          <w:p>
            <w:pPr>
              <w:pStyle w:val="NoSpacing"/>
            </w:pPr>
            <w:r>
              <w:t>Yes</w:t>
            </w:r>
          </w:p>
        </w:tc>
        <w:tc>
          <w:tcPr>
            <w:tcW w:w="1914" w:type="dxa"/>
            <w:tcBorders>
              <w:top w:val="dotted" w:sz="4" w:space="0" w:color="auto"/>
              <w:left w:val="dotted" w:sz="4" w:space="0" w:color="auto"/>
              <w:bottom w:val="dotted" w:sz="4" w:space="0" w:color="auto"/>
              <w:right w:val="dotted" w:sz="4" w:space="0" w:color="auto"/>
            </w:tcBorders>
          </w:tcPr>
          <w:p>
            <w:pPr>
              <w:pStyle w:val="NoSpacing"/>
            </w:pPr>
            <w:r>
              <w:t>Partial — SharePoint Server</w:t>
            </w:r>
          </w:p>
        </w:tc>
        <w:tc>
          <w:tcPr>
            <w:tcW w:w="1842" w:type="dxa"/>
            <w:tcBorders>
              <w:top w:val="dotted" w:sz="4" w:space="0" w:color="auto"/>
              <w:left w:val="dotted" w:sz="4" w:space="0" w:color="auto"/>
              <w:bottom w:val="dotted" w:sz="4" w:space="0" w:color="auto"/>
              <w:right w:val="dotted" w:sz="4" w:space="0" w:color="auto"/>
            </w:tcBorders>
          </w:tcPr>
          <w:p>
            <w:pPr>
              <w:pStyle w:val="NoSpacing"/>
            </w:pPr>
            <w:r>
              <w:t>Partial — MongoDB Enterprise Advanced</w:t>
            </w:r>
          </w:p>
        </w:tc>
      </w:tr>
    </w:tbl>
    <w:p/>
    <w:p>
      <w:pPr>
        <w:pStyle w:val="Heading2"/>
      </w:pPr>
      <w:bookmarkStart w:id="123" w:name="_Toc300000024"/>
      <w:r>
        <w:t>Comparison 3 — Pricing at eClaims Volume</w:t>
      </w:r>
      <w:bookmarkEnd w:id="123"/>
    </w:p>
    <w:p>
      <w:r>
        <w:t>Basis, stated so that the figures can be recalculated if the assumption changes: about 20 TB and 10 million documents added a month; lifecycle as in Section 2.3, so at the end of year one about 60 TB is in Standard and 180 TB in Standard-IA; the same tiering in the us-east-2 replica; about 2 million scanned pages a month for text extraction. Figures are monthly at the end of year one.</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780"/>
        <w:gridCol w:w="2171"/>
        <w:gridCol w:w="5075"/>
      </w:tblGrid>
      <w:tr>
        <w:trPr>
          <w:cantSplit/>
          <w:tblHeader/>
        </w:trPr>
        <w:tc>
          <w:tcPr>
            <w:tcW w:w="178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Option</w:t>
            </w:r>
          </w:p>
        </w:tc>
        <w:tc>
          <w:tcPr>
            <w:tcW w:w="2171"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Indicative monthly cost</w:t>
            </w:r>
          </w:p>
        </w:tc>
        <w:tc>
          <w:tcPr>
            <w:tcW w:w="5075"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Basis of estimate</w:t>
            </w:r>
          </w:p>
        </w:tc>
      </w:tr>
      <w:tr>
        <w:trPr>
          <w:cantSplit/>
        </w:trPr>
        <w:tc>
          <w:tcPr>
            <w:tcW w:w="1780" w:type="dxa"/>
            <w:tcBorders>
              <w:top w:val="dotted" w:sz="4" w:space="0" w:color="auto"/>
              <w:left w:val="dotted" w:sz="4" w:space="0" w:color="auto"/>
              <w:bottom w:val="dotted" w:sz="4" w:space="0" w:color="auto"/>
              <w:right w:val="dotted" w:sz="4" w:space="0" w:color="auto"/>
            </w:tcBorders>
          </w:tcPr>
          <w:p>
            <w:pPr>
              <w:pStyle w:val="NoSpacing"/>
            </w:pPr>
            <w:r>
              <w:t>S3 + PostgreSQL + OpenSearch</w:t>
            </w:r>
          </w:p>
        </w:tc>
        <w:tc>
          <w:tcPr>
            <w:tcW w:w="2171" w:type="dxa"/>
            <w:tcBorders>
              <w:top w:val="dotted" w:sz="4" w:space="0" w:color="auto"/>
              <w:left w:val="dotted" w:sz="4" w:space="0" w:color="auto"/>
              <w:bottom w:val="dotted" w:sz="4" w:space="0" w:color="auto"/>
              <w:right w:val="dotted" w:sz="4" w:space="0" w:color="auto"/>
            </w:tcBorders>
          </w:tcPr>
          <w:p>
            <w:pPr>
              <w:pStyle w:val="NoSpacing"/>
            </w:pPr>
            <w:r>
              <w:t>≈ USD 9,500 for storage and search; ≈ USD 15,700 with malware scanning and text extraction</w:t>
            </w:r>
          </w:p>
        </w:tc>
        <w:tc>
          <w:tcPr>
            <w:tcW w:w="5075" w:type="dxa"/>
            <w:tcBorders>
              <w:top w:val="dotted" w:sz="4" w:space="0" w:color="auto"/>
              <w:left w:val="dotted" w:sz="4" w:space="0" w:color="auto"/>
              <w:bottom w:val="dotted" w:sz="4" w:space="0" w:color="auto"/>
              <w:right w:val="dotted" w:sz="4" w:space="0" w:color="auto"/>
            </w:tcBorders>
          </w:tcPr>
          <w:p>
            <w:pPr>
              <w:pStyle w:val="NoSpacing"/>
            </w:pPr>
            <w:r>
              <w:t>Primary bucket ≈ USD 3,620 (60 TB Standard ≈ USD 1,370, 180 TB Standard-IA ≈ USD 2,250); replica ≈ USD 3,620 plus ≈ USD 700 for transfer and Replication Time Control; uploads and lifecycle transitions ≈ USD 150; two OpenSearch domains of three r6g.large.search nodes with 3 TB each ≈ USD 1,460. Scanning 20 TB and 10 million objects ≈ USD 3,950; Textract for 2 million scanned pages ≈ USD 2,100, with born-digital PDFs extracted by Apache Tika in existing compute.</w:t>
            </w:r>
          </w:p>
        </w:tc>
      </w:tr>
      <w:tr>
        <w:trPr>
          <w:cantSplit/>
        </w:trPr>
        <w:tc>
          <w:tcPr>
            <w:tcW w:w="1780" w:type="dxa"/>
            <w:tcBorders>
              <w:top w:val="dotted" w:sz="4" w:space="0" w:color="auto"/>
              <w:left w:val="dotted" w:sz="4" w:space="0" w:color="auto"/>
              <w:bottom w:val="dotted" w:sz="4" w:space="0" w:color="auto"/>
              <w:right w:val="dotted" w:sz="4" w:space="0" w:color="auto"/>
            </w:tcBorders>
          </w:tcPr>
          <w:p>
            <w:pPr>
              <w:pStyle w:val="NoSpacing"/>
            </w:pPr>
            <w:r>
              <w:t>Alfresco Content Services (self-hosted on AWS)</w:t>
            </w:r>
          </w:p>
        </w:tc>
        <w:tc>
          <w:tcPr>
            <w:tcW w:w="2171" w:type="dxa"/>
            <w:tcBorders>
              <w:top w:val="dotted" w:sz="4" w:space="0" w:color="auto"/>
              <w:left w:val="dotted" w:sz="4" w:space="0" w:color="auto"/>
              <w:bottom w:val="dotted" w:sz="4" w:space="0" w:color="auto"/>
              <w:right w:val="dotted" w:sz="4" w:space="0" w:color="auto"/>
            </w:tcBorders>
          </w:tcPr>
          <w:p>
            <w:pPr>
              <w:pStyle w:val="NoSpacing"/>
            </w:pPr>
            <w:r>
              <w:t>≈ USD 12,000, plus licence and 0.5–1.0 FTE</w:t>
            </w:r>
          </w:p>
        </w:tc>
        <w:tc>
          <w:tcPr>
            <w:tcW w:w="5075" w:type="dxa"/>
            <w:tcBorders>
              <w:top w:val="dotted" w:sz="4" w:space="0" w:color="auto"/>
              <w:left w:val="dotted" w:sz="4" w:space="0" w:color="auto"/>
              <w:bottom w:val="dotted" w:sz="4" w:space="0" w:color="auto"/>
              <w:right w:val="dotted" w:sz="4" w:space="0" w:color="auto"/>
            </w:tcBorders>
          </w:tcPr>
          <w:p>
            <w:pPr>
              <w:pStyle w:val="NoSpacing"/>
            </w:pPr>
            <w:r>
              <w:t>The same S3 storage and replication ≈ USD 8,100; per Region a three-node repository cluster ≈ USD 420, search ≈ USD 730, transform services ≈ USD 300 and a database ≈ USD 500, in two Regions ≈ USD 3,900. Enterprise subscription quoted separately.</w:t>
            </w:r>
          </w:p>
        </w:tc>
      </w:tr>
      <w:tr>
        <w:trPr>
          <w:cantSplit/>
        </w:trPr>
        <w:tc>
          <w:tcPr>
            <w:tcW w:w="1780" w:type="dxa"/>
            <w:tcBorders>
              <w:top w:val="dotted" w:sz="4" w:space="0" w:color="auto"/>
              <w:left w:val="dotted" w:sz="4" w:space="0" w:color="auto"/>
              <w:bottom w:val="dotted" w:sz="4" w:space="0" w:color="auto"/>
              <w:right w:val="dotted" w:sz="4" w:space="0" w:color="auto"/>
            </w:tcBorders>
          </w:tcPr>
          <w:p>
            <w:pPr>
              <w:pStyle w:val="NoSpacing"/>
            </w:pPr>
            <w:r>
              <w:t>SharePoint Online</w:t>
            </w:r>
          </w:p>
        </w:tc>
        <w:tc>
          <w:tcPr>
            <w:tcW w:w="2171" w:type="dxa"/>
            <w:tcBorders>
              <w:top w:val="dotted" w:sz="4" w:space="0" w:color="auto"/>
              <w:left w:val="dotted" w:sz="4" w:space="0" w:color="auto"/>
              <w:bottom w:val="dotted" w:sz="4" w:space="0" w:color="auto"/>
              <w:right w:val="dotted" w:sz="4" w:space="0" w:color="auto"/>
            </w:tcBorders>
          </w:tcPr>
          <w:p>
            <w:pPr>
              <w:pStyle w:val="NoSpacing"/>
            </w:pPr>
            <w:r>
              <w:t>≈ USD 48,000, rising by about USD 4,000 each month</w:t>
            </w:r>
          </w:p>
        </w:tc>
        <w:tc>
          <w:tcPr>
            <w:tcW w:w="5075" w:type="dxa"/>
            <w:tcBorders>
              <w:top w:val="dotted" w:sz="4" w:space="0" w:color="auto"/>
              <w:left w:val="dotted" w:sz="4" w:space="0" w:color="auto"/>
              <w:bottom w:val="dotted" w:sz="4" w:space="0" w:color="auto"/>
              <w:right w:val="dotted" w:sz="4" w:space="0" w:color="auto"/>
            </w:tcBorders>
          </w:tcPr>
          <w:p>
            <w:pPr>
              <w:pStyle w:val="NoSpacing"/>
            </w:pPr>
            <w:r>
              <w:t>240 TB beyond the tenant pool × about USD 0.20 per GB-month; no tiering. Proxy services for external access are additional.</w:t>
            </w:r>
          </w:p>
        </w:tc>
      </w:tr>
      <w:tr>
        <w:trPr>
          <w:cantSplit/>
        </w:trPr>
        <w:tc>
          <w:tcPr>
            <w:tcW w:w="1780" w:type="dxa"/>
            <w:tcBorders>
              <w:top w:val="dotted" w:sz="4" w:space="0" w:color="auto"/>
              <w:left w:val="dotted" w:sz="4" w:space="0" w:color="auto"/>
              <w:bottom w:val="dotted" w:sz="4" w:space="0" w:color="auto"/>
              <w:right w:val="dotted" w:sz="4" w:space="0" w:color="auto"/>
            </w:tcBorders>
          </w:tcPr>
          <w:p>
            <w:pPr>
              <w:pStyle w:val="NoSpacing"/>
            </w:pPr>
            <w:r>
              <w:t>MongoDB Atlas with GridFS</w:t>
            </w:r>
          </w:p>
        </w:tc>
        <w:tc>
          <w:tcPr>
            <w:tcW w:w="2171" w:type="dxa"/>
            <w:tcBorders>
              <w:top w:val="dotted" w:sz="4" w:space="0" w:color="auto"/>
              <w:left w:val="dotted" w:sz="4" w:space="0" w:color="auto"/>
              <w:bottom w:val="dotted" w:sz="4" w:space="0" w:color="auto"/>
              <w:right w:val="dotted" w:sz="4" w:space="0" w:color="auto"/>
            </w:tcBorders>
          </w:tcPr>
          <w:p>
            <w:pPr>
              <w:pStyle w:val="NoSpacing"/>
            </w:pPr>
            <w:r>
              <w:t>Not comparable — eliminated on storage scale</w:t>
            </w:r>
          </w:p>
        </w:tc>
        <w:tc>
          <w:tcPr>
            <w:tcW w:w="5075" w:type="dxa"/>
            <w:tcBorders>
              <w:top w:val="dotted" w:sz="4" w:space="0" w:color="auto"/>
              <w:left w:val="dotted" w:sz="4" w:space="0" w:color="auto"/>
              <w:bottom w:val="dotted" w:sz="4" w:space="0" w:color="auto"/>
              <w:right w:val="dotted" w:sz="4" w:space="0" w:color="auto"/>
            </w:tcBorders>
          </w:tcPr>
          <w:p>
            <w:pPr>
              <w:pStyle w:val="NoSpacing"/>
            </w:pPr>
            <w:r>
              <w:t>240 TB a year in provisioned database storage needs a cluster of many shards, with database backups of every file and no retention lock. The option fails the two storage attributes weighted 15 before price becomes relevant.</w:t>
            </w:r>
          </w:p>
        </w:tc>
      </w:tr>
    </w:tbl>
    <w:p/>
    <w:p>
      <w:r>
        <w:t>All figures are indicative public list prices as at the document date and are not quotations. Storage dominates, and it grows with time: by year three the S3 figure for storage and search rises to about USD 11,500 a month as Glacier Deep Archive absorbs older documents at about a twentieth of the Standard price, while SharePoint's would pass USD 140,000. Malware scanning and text extraction are not optional extras; the other options include them in their platform or licence, so they are shown with the recommended option for a like-for-like comparison.</w:t>
      </w:r>
    </w:p>
    <w:p>
      <w:pPr>
        <w:pStyle w:val="Heading2"/>
      </w:pPr>
      <w:bookmarkStart w:id="124" w:name="_Toc300000025"/>
      <w:r>
        <w:t>Sensitivity</w:t>
      </w:r>
      <w:bookmarkEnd w:id="124"/>
    </w:p>
    <w:p>
      <w:r>
        <w:t>The attribute most likely to be challenged is deployment flexibility, where Alfresco leads. It carries 5, and the other weights total 95. Holding them constant, the totals as a function of the deployment-flexibility weight w are:</w:t>
      </w:r>
    </w:p>
    <w:p>
      <w:pPr>
        <w:pStyle w:val="ListParagraph"/>
        <w:numPr>
          <w:ilvl w:val="0"/>
          <w:numId w:val="40"/>
        </w:numPr>
      </w:pPr>
      <w:r>
        <w:t>S3 + PostgreSQL + OpenSearch: (440 + 4w) ÷ (95 + w)</w:t>
      </w:r>
    </w:p>
    <w:p>
      <w:pPr>
        <w:pStyle w:val="ListParagraph"/>
        <w:numPr>
          <w:ilvl w:val="0"/>
          <w:numId w:val="40"/>
        </w:numPr>
      </w:pPr>
      <w:r>
        <w:t>Alfresco Content Services: (325 + 5w) ÷ (95 + w)</w:t>
      </w:r>
    </w:p>
    <w:p>
      <w:r>
        <w:t>Alfresco would overtake only when w exceeds 115, more than all the other weights together. The recommended design is also portable in its own right: MinIO implements the S3 API on-premise, and PostgreSQL and OpenSearch run on-premise unchanged, which is why it scores 4 rather than 1.</w:t>
      </w:r>
    </w:p>
    <w:p>
      <w:r>
        <w:t>The other attribute worth testing is search, where Alfresco and SharePoint lead. Raising its weight from 10 to 30 would still leave S3 + PostgreSQL + OpenSearch ahead: (420 + 4 × 30) ÷ 120 = 4.50 against Alfresco's (300 + 5 × 30) ÷ 120 = 3.75.</w:t>
      </w:r>
    </w:p>
    <w:p>
      <w:r>
        <w:br w:type="page"/>
      </w:r>
    </w:p>
    <w:p>
      <w:pPr>
        <w:pStyle w:val="Heading1"/>
      </w:pPr>
      <w:bookmarkStart w:id="125" w:name="_Toc300000026"/>
      <w:r>
        <w:t>Recommendation</w:t>
      </w:r>
      <w:bookmarkEnd w:id="125"/>
    </w:p>
    <w:p>
      <w:r>
        <w:t>Amazon S3 for document content, PostgreSQL for document metadata and OpenSearch for search are recommended as the eClaims document management approach, behind the Document Service. This is the design in SAD Layers 3 and 5.</w:t>
      </w:r>
    </w:p>
    <w:p>
      <w:r>
        <w:t>The recommendation follows the analysis in Section 4. The composable design scores highest at 4.60 out of 5, and it is strongest on the attributes that carry the most weight: S3 is built for 240 TB a year, Object Lock makes every claim document write-once for its retention period, and eClaims decides access per claim with the role model it already enforces. Direct uploads keep large files off the request path, lifecycle tiering keeps the cost of old documents low, and Cross-Region Replication puts every document in us-east-2 within 15 minutes.</w:t>
      </w:r>
    </w:p>
    <w:p>
      <w:r>
        <w:t>The SAD names the stores but not how they work together. The recommendation is complete only with the following design, which closes those gaps.</w:t>
      </w:r>
    </w:p>
    <w:p>
      <w:r>
        <w:rPr>
          <w:b/>
        </w:rPr>
        <w:t>Upload</w:t>
      </w:r>
    </w:p>
    <w:p>
      <w:pPr>
        <w:pStyle w:val="ListParagraph"/>
        <w:numPr>
          <w:ilvl w:val="0"/>
          <w:numId w:val="40"/>
        </w:numPr>
      </w:pPr>
      <w:r>
        <w:t>The Document Service checks that the caller may add a document to the claim, then issues a pre-signed POST that expires in five minutes. Its policy fixes the object key, the allowed content types and a size range, and requires a SHA-256 checksum, so S3 rejects a file that does not match the digest the client declared.</w:t>
      </w:r>
    </w:p>
    <w:p>
      <w:pPr>
        <w:pStyle w:val="ListParagraph"/>
        <w:numPr>
          <w:ilvl w:val="0"/>
          <w:numId w:val="40"/>
        </w:numPr>
      </w:pPr>
      <w:r>
        <w:t>Files land under an incoming prefix. A lifecycle rule deletes any incoming object not confirmed within 24 hours, so abandoned uploads leave nothing behind.</w:t>
      </w:r>
    </w:p>
    <w:p>
      <w:pPr>
        <w:pStyle w:val="ListParagraph"/>
        <w:numPr>
          <w:ilvl w:val="0"/>
          <w:numId w:val="40"/>
        </w:numPr>
      </w:pPr>
      <w:r>
        <w:t>GuardDuty Malware Protection for S3 scans each new object. Only a clean file is moved to the claim's prefix; an infected one is quarantined and the uploader told.</w:t>
      </w:r>
    </w:p>
    <w:p>
      <w:pPr>
        <w:pStyle w:val="ListParagraph"/>
        <w:numPr>
          <w:ilvl w:val="0"/>
          <w:numId w:val="40"/>
        </w:numPr>
      </w:pPr>
      <w:r>
        <w:t>On a clean scan the Document Service records the metadata row — claim, type, uploader, size, version, SHA-256 digest and retention class — and publishes a DocumentUploaded event.</w:t>
      </w:r>
    </w:p>
    <w:p>
      <w:r>
        <w:rPr>
          <w:b/>
        </w:rPr>
        <w:t>Indexing</w:t>
      </w:r>
    </w:p>
    <w:p>
      <w:pPr>
        <w:pStyle w:val="ListParagraph"/>
        <w:numPr>
          <w:ilvl w:val="0"/>
          <w:numId w:val="40"/>
        </w:numPr>
      </w:pPr>
      <w:r>
        <w:t>An indexing consumer, fed by its own queue from the event backbone, extracts text — Apache Tika for born-digital PDFs, Amazon Textract for scans and photographs of documents — and writes the metadata and text to OpenSearch.</w:t>
      </w:r>
    </w:p>
    <w:p>
      <w:pPr>
        <w:pStyle w:val="ListParagraph"/>
        <w:numPr>
          <w:ilvl w:val="0"/>
          <w:numId w:val="40"/>
        </w:numPr>
      </w:pPr>
      <w:r>
        <w:t>The index is derived data. It can be rebuilt from PostgreSQL and S3, which is also the fallback if the us-east-2 follower index cannot be made writable after a failover.</w:t>
      </w:r>
    </w:p>
    <w:p>
      <w:r>
        <w:rPr>
          <w:b/>
        </w:rPr>
        <w:t>Access</w:t>
      </w:r>
    </w:p>
    <w:p>
      <w:pPr>
        <w:pStyle w:val="ListParagraph"/>
        <w:numPr>
          <w:ilvl w:val="0"/>
          <w:numId w:val="40"/>
        </w:numPr>
      </w:pPr>
      <w:r>
        <w:t>The Document Service asks the Claims Service whether the user may see the claim, through a synchronous HTTPS call that passes the user's token on, cached in Redis for a few seconds.</w:t>
      </w:r>
    </w:p>
    <w:p>
      <w:pPr>
        <w:pStyle w:val="ListParagraph"/>
        <w:numPr>
          <w:ilvl w:val="0"/>
          <w:numId w:val="40"/>
        </w:numPr>
      </w:pPr>
      <w:r>
        <w:t>A permitted download is a pre-signed GET that expires within minutes. The Document Service writes who asked for which document, and when, to the application audit trail, because S3's own logs show only the service's role.</w:t>
      </w:r>
    </w:p>
    <w:p>
      <w:r>
        <w:rPr>
          <w:b/>
        </w:rPr>
        <w:t>Retention and integrity</w:t>
      </w:r>
    </w:p>
    <w:p>
      <w:pPr>
        <w:pStyle w:val="ListParagraph"/>
        <w:numPr>
          <w:ilvl w:val="0"/>
          <w:numId w:val="40"/>
        </w:numPr>
      </w:pPr>
      <w:r>
        <w:t>Versioning and Object Lock on the claim-document, communications and audit-archive buckets. Compliance mode for the audit archive and communications, which no one can shorten; governance mode for claim documents, so a retention period set in error can be corrected by a separately authorised role. Legal holds for claims in dispute or litigation.</w:t>
      </w:r>
    </w:p>
    <w:p>
      <w:pPr>
        <w:pStyle w:val="ListParagraph"/>
        <w:numPr>
          <w:ilvl w:val="0"/>
          <w:numId w:val="40"/>
        </w:numPr>
      </w:pPr>
      <w:r>
        <w:t>A retention period per document class, set by YCompany before go-live.</w:t>
      </w:r>
    </w:p>
    <w:p>
      <w:pPr>
        <w:pStyle w:val="ListParagraph"/>
        <w:numPr>
          <w:ilvl w:val="0"/>
          <w:numId w:val="40"/>
        </w:numPr>
      </w:pPr>
      <w:r>
        <w:t>Every customer communication — channel, recipient, time and the rendered message — stored as an object in the communications bucket, with its notification record in PostgreSQL.</w:t>
      </w:r>
    </w:p>
    <w:p>
      <w:pPr>
        <w:pStyle w:val="ListParagraph"/>
        <w:numPr>
          <w:ilvl w:val="0"/>
          <w:numId w:val="40"/>
        </w:numPr>
      </w:pPr>
      <w:r>
        <w:t>KMS encryption with keys per bucket; Cross-Region Replication with Replication Time Control to us-east-2, encrypted with us-east-2 keys.</w:t>
      </w:r>
    </w:p>
    <w:p>
      <w:r>
        <w:t>The recommendation is made with its weaknesses on the record. The composable design has more moving parts than a platform: scanning, extraction, indexing and the access check are wired together by the team rather than supplied in one product. Full-text search depends on extraction quality, and a poor scan yields poor text. Documents in Glacier Deep Archive take up to 12 hours to retrieve. And the design is AWS-native, with MinIO, PostgreSQL and OpenSearch as its on-premise form.</w:t>
      </w:r>
    </w:p>
    <w:p>
      <w:r>
        <w:t>Alfresco Content Services at 3.50 is the runner-up. It would be the recommendation if eClaims needed an enterprise content platform shared with YCompany's other departments — with folder-based filing, co-authoring and document workflows for staff — or if an on-premise mandate favoured a single licensed product in both estates. SharePoint Online fits staff collaboration on office documents, not a claims archive with millions of external users. MongoDB with GridFS is not recommended; its removal from the SAD in v1.3 stands.</w:t>
      </w:r>
    </w:p>
    <w:p>
      <w:r>
        <w:br w:type="page"/>
      </w:r>
    </w:p>
    <w:p>
      <w:pPr>
        <w:pStyle w:val="Heading1"/>
      </w:pPr>
      <w:bookmarkStart w:id="126" w:name="_Toc300000027"/>
      <w:r>
        <w:t>Assumptions</w:t>
      </w:r>
      <w:bookmarkEnd w:id="126"/>
    </w:p>
    <w:p>
      <w:r>
        <w:t>The following assumptions underpin this evaluation and recommendation. A material change to any of them should trigger a review of the recommendation.</w:t>
      </w:r>
    </w:p>
    <w:p>
      <w:pPr>
        <w:pStyle w:val="ListParagraph"/>
        <w:numPr>
          <w:ilvl w:val="0"/>
          <w:numId w:val="40"/>
        </w:numPr>
      </w:pPr>
      <w:r>
        <w:t>AWS as cloud provider — YCompany will adopt AWS as its cloud provider (SAD Section 10, Assumption 1). The on-premise profile in SAD Section 4 keeps the on-premise option open, with MinIO as the object store.</w:t>
      </w:r>
    </w:p>
    <w:p>
      <w:pPr>
        <w:pStyle w:val="ListParagraph"/>
        <w:numPr>
          <w:ilvl w:val="0"/>
          <w:numId w:val="40"/>
        </w:numPr>
      </w:pPr>
      <w:r>
        <w:t>Volume basis — about 10 documents of about 2 MB per claim and 12 million claims a year, as in Section 2.3. Storage cost scales linearly with both.</w:t>
      </w:r>
    </w:p>
    <w:p>
      <w:pPr>
        <w:pStyle w:val="ListParagraph"/>
        <w:numPr>
          <w:ilvl w:val="0"/>
          <w:numId w:val="40"/>
        </w:numPr>
      </w:pPr>
      <w:r>
        <w:t>Documents are files, not co-authored office documents — claim documents are photographs, PDFs and scans that are submitted and then kept, not edited collaboratively.</w:t>
      </w:r>
    </w:p>
    <w:p>
      <w:pPr>
        <w:pStyle w:val="ListParagraph"/>
        <w:numPr>
          <w:ilvl w:val="0"/>
          <w:numId w:val="40"/>
        </w:numPr>
      </w:pPr>
      <w:r>
        <w:t>External access through eClaims only — customers and partners reach documents only through the eClaims portals and app, never directly in the store.</w:t>
      </w:r>
    </w:p>
    <w:p>
      <w:pPr>
        <w:pStyle w:val="ListParagraph"/>
        <w:numPr>
          <w:ilvl w:val="0"/>
          <w:numId w:val="40"/>
        </w:numPr>
      </w:pPr>
      <w:r>
        <w:t>Retention periods set by YCompany — the period for each document class follows the insurance regulations that apply to YCompany and is confirmed before go-live; the design enforces whatever is set.</w:t>
      </w:r>
    </w:p>
    <w:p>
      <w:pPr>
        <w:pStyle w:val="ListParagraph"/>
        <w:numPr>
          <w:ilvl w:val="0"/>
          <w:numId w:val="40"/>
        </w:numPr>
      </w:pPr>
      <w:r>
        <w:t>Archive retrieval times are acceptable — a document in Glacier Deep Archive, more than a year after its claim closed, can wait up to 12 hours for retrieval.</w:t>
      </w:r>
    </w:p>
    <w:p>
      <w:pPr>
        <w:pStyle w:val="ListParagraph"/>
        <w:numPr>
          <w:ilvl w:val="0"/>
          <w:numId w:val="40"/>
        </w:numPr>
      </w:pPr>
      <w:r>
        <w:t>Metadata in the existing database — about 120 million metadata rows a year fit the RDS PostgreSQL database's partitioning by month (SAD Section 9.3).</w:t>
      </w:r>
    </w:p>
    <w:p>
      <w:pPr>
        <w:pStyle w:val="ListParagraph"/>
        <w:numPr>
          <w:ilvl w:val="0"/>
          <w:numId w:val="40"/>
        </w:numPr>
      </w:pPr>
      <w:r>
        <w:t>Pricing is indicative — all costs are public list prices as at the document date, exclusive of taxes, enterprise discounts and committed-use agreements, and are not quotations. Alfresco's subscription is quoted per customer.</w:t>
      </w:r>
    </w:p>
    <w:p>
      <w:pPr>
        <w:pStyle w:val="ListParagraph"/>
        <w:numPr>
          <w:ilvl w:val="0"/>
          <w:numId w:val="40"/>
        </w:numPr>
      </w:pPr>
      <w:r>
        <w:t>Team capability — the delivery team is competent in Python and AWS; no existing Alfresco or SharePoint development capability is assumed.</w:t>
      </w:r>
    </w:p>
    <w:p>
      <w:r>
        <w:br w:type="page"/>
      </w:r>
    </w:p>
    <w:p>
      <w:pPr>
        <w:pStyle w:val="Heading1"/>
      </w:pPr>
      <w:bookmarkStart w:id="127" w:name="_Toc300000028"/>
      <w:r>
        <w:t>Risks</w:t>
      </w:r>
      <w:bookmarkEnd w:id="127"/>
    </w:p>
    <w:p>
      <w:r>
        <w:t>The following risks arise from the recommended option, with the mitigation carried in the architecture rather than deferred to implementation.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20"/>
        <w:gridCol w:w="1540"/>
        <w:gridCol w:w="2966"/>
        <w:gridCol w:w="3700"/>
      </w:tblGrid>
      <w:tr>
        <w:trPr>
          <w:cantSplit/>
          <w:tblHeader/>
        </w:trPr>
        <w:tc>
          <w:tcPr>
            <w:tcW w:w="82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Risk ID</w:t>
            </w:r>
          </w:p>
        </w:tc>
        <w:tc>
          <w:tcPr>
            <w:tcW w:w="154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Risk Area</w:t>
            </w:r>
          </w:p>
        </w:tc>
        <w:tc>
          <w:tcPr>
            <w:tcW w:w="2966"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Risk Description</w:t>
            </w:r>
          </w:p>
        </w:tc>
        <w:tc>
          <w:tcPr>
            <w:tcW w:w="3700" w:type="dxa"/>
            <w:tcBorders>
              <w:top w:val="dotted" w:sz="4" w:space="0" w:color="auto"/>
              <w:left w:val="dotted" w:sz="4" w:space="0" w:color="auto"/>
              <w:bottom w:val="dotted" w:sz="4" w:space="0" w:color="auto"/>
              <w:right w:val="dotted" w:sz="4" w:space="0" w:color="auto"/>
            </w:tcBorders>
            <w:shd w:val="pct5" w:color="auto" w:fill="auto"/>
          </w:tcPr>
          <w:p>
            <w:pPr>
              <w:pStyle w:val="NoSpacing"/>
            </w:pPr>
            <w:r>
              <w:rPr>
                <w:b/>
              </w:rPr>
              <w:t>Mitigation Strategy</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D1</w:t>
            </w:r>
          </w:p>
        </w:tc>
        <w:tc>
          <w:tcPr>
            <w:tcW w:w="1540" w:type="dxa"/>
            <w:tcBorders>
              <w:top w:val="dotted" w:sz="4" w:space="0" w:color="auto"/>
              <w:left w:val="dotted" w:sz="4" w:space="0" w:color="auto"/>
              <w:bottom w:val="dotted" w:sz="4" w:space="0" w:color="auto"/>
              <w:right w:val="dotted" w:sz="4" w:space="0" w:color="auto"/>
            </w:tcBorders>
          </w:tcPr>
          <w:p>
            <w:pPr>
              <w:pStyle w:val="NoSpacing"/>
            </w:pPr>
            <w:r>
              <w:t>Malicious uploads</w:t>
            </w:r>
          </w:p>
        </w:tc>
        <w:tc>
          <w:tcPr>
            <w:tcW w:w="2966" w:type="dxa"/>
            <w:tcBorders>
              <w:top w:val="dotted" w:sz="4" w:space="0" w:color="auto"/>
              <w:left w:val="dotted" w:sz="4" w:space="0" w:color="auto"/>
              <w:bottom w:val="dotted" w:sz="4" w:space="0" w:color="auto"/>
              <w:right w:val="dotted" w:sz="4" w:space="0" w:color="auto"/>
            </w:tcBorders>
          </w:tcPr>
          <w:p>
            <w:pPr>
              <w:pStyle w:val="NoSpacing"/>
            </w:pPr>
            <w:r>
              <w:t>Files arrive straight from browsers and the app, so the API never inspects them and a disguised file could carry malware.</w:t>
            </w:r>
          </w:p>
        </w:tc>
        <w:tc>
          <w:tcPr>
            <w:tcW w:w="3700" w:type="dxa"/>
            <w:tcBorders>
              <w:top w:val="dotted" w:sz="4" w:space="0" w:color="auto"/>
              <w:left w:val="dotted" w:sz="4" w:space="0" w:color="auto"/>
              <w:bottom w:val="dotted" w:sz="4" w:space="0" w:color="auto"/>
              <w:right w:val="dotted" w:sz="4" w:space="0" w:color="auto"/>
            </w:tcBorders>
          </w:tcPr>
          <w:p>
            <w:pPr>
              <w:pStyle w:val="NoSpacing"/>
            </w:pPr>
            <w:r>
              <w:t>Content type and size fixed in the pre-signed POST policy; every object scanned by GuardDuty Malware Protection before it leaves the incoming prefix; infected files quarantined; the file's actual type checked against the declared one during indexing.</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D2</w:t>
            </w:r>
          </w:p>
        </w:tc>
        <w:tc>
          <w:tcPr>
            <w:tcW w:w="1540" w:type="dxa"/>
            <w:tcBorders>
              <w:top w:val="dotted" w:sz="4" w:space="0" w:color="auto"/>
              <w:left w:val="dotted" w:sz="4" w:space="0" w:color="auto"/>
              <w:bottom w:val="dotted" w:sz="4" w:space="0" w:color="auto"/>
              <w:right w:val="dotted" w:sz="4" w:space="0" w:color="auto"/>
            </w:tcBorders>
          </w:tcPr>
          <w:p>
            <w:pPr>
              <w:pStyle w:val="NoSpacing"/>
            </w:pPr>
            <w:r>
              <w:t>Leaked pre-signed URLs</w:t>
            </w:r>
          </w:p>
        </w:tc>
        <w:tc>
          <w:tcPr>
            <w:tcW w:w="2966" w:type="dxa"/>
            <w:tcBorders>
              <w:top w:val="dotted" w:sz="4" w:space="0" w:color="auto"/>
              <w:left w:val="dotted" w:sz="4" w:space="0" w:color="auto"/>
              <w:bottom w:val="dotted" w:sz="4" w:space="0" w:color="auto"/>
              <w:right w:val="dotted" w:sz="4" w:space="0" w:color="auto"/>
            </w:tcBorders>
          </w:tcPr>
          <w:p>
            <w:pPr>
              <w:pStyle w:val="NoSpacing"/>
            </w:pPr>
            <w:r>
              <w:t>A pre-signed URL works for anyone who holds it until it expires, and can leak through logs, browser history or a forwarded link.</w:t>
            </w:r>
          </w:p>
        </w:tc>
        <w:tc>
          <w:tcPr>
            <w:tcW w:w="3700" w:type="dxa"/>
            <w:tcBorders>
              <w:top w:val="dotted" w:sz="4" w:space="0" w:color="auto"/>
              <w:left w:val="dotted" w:sz="4" w:space="0" w:color="auto"/>
              <w:bottom w:val="dotted" w:sz="4" w:space="0" w:color="auto"/>
              <w:right w:val="dotted" w:sz="4" w:space="0" w:color="auto"/>
            </w:tcBorders>
          </w:tcPr>
          <w:p>
            <w:pPr>
              <w:pStyle w:val="NoSpacing"/>
            </w:pPr>
            <w:r>
              <w:t>Expiry in minutes; full URLs never logged; a no-referrer policy on portal pages; each URL issued only after the access check and recorded in the audit trail.</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D3</w:t>
            </w:r>
          </w:p>
        </w:tc>
        <w:tc>
          <w:tcPr>
            <w:tcW w:w="1540" w:type="dxa"/>
            <w:tcBorders>
              <w:top w:val="dotted" w:sz="4" w:space="0" w:color="auto"/>
              <w:left w:val="dotted" w:sz="4" w:space="0" w:color="auto"/>
              <w:bottom w:val="dotted" w:sz="4" w:space="0" w:color="auto"/>
              <w:right w:val="dotted" w:sz="4" w:space="0" w:color="auto"/>
            </w:tcBorders>
          </w:tcPr>
          <w:p>
            <w:pPr>
              <w:pStyle w:val="NoSpacing"/>
            </w:pPr>
            <w:r>
              <w:t>Integrity of submitted documents</w:t>
            </w:r>
          </w:p>
        </w:tc>
        <w:tc>
          <w:tcPr>
            <w:tcW w:w="2966" w:type="dxa"/>
            <w:tcBorders>
              <w:top w:val="dotted" w:sz="4" w:space="0" w:color="auto"/>
              <w:left w:val="dotted" w:sz="4" w:space="0" w:color="auto"/>
              <w:bottom w:val="dotted" w:sz="4" w:space="0" w:color="auto"/>
              <w:right w:val="dotted" w:sz="4" w:space="0" w:color="auto"/>
            </w:tcBorders>
          </w:tcPr>
          <w:p>
            <w:pPr>
              <w:pStyle w:val="NoSpacing"/>
            </w:pPr>
            <w:r>
              <w:t>Because the Document Service never sees the bytes, the digest it records could differ from the stored file.</w:t>
            </w:r>
          </w:p>
        </w:tc>
        <w:tc>
          <w:tcPr>
            <w:tcW w:w="3700" w:type="dxa"/>
            <w:tcBorders>
              <w:top w:val="dotted" w:sz="4" w:space="0" w:color="auto"/>
              <w:left w:val="dotted" w:sz="4" w:space="0" w:color="auto"/>
              <w:bottom w:val="dotted" w:sz="4" w:space="0" w:color="auto"/>
              <w:right w:val="dotted" w:sz="4" w:space="0" w:color="auto"/>
            </w:tcBorders>
          </w:tcPr>
          <w:p>
            <w:pPr>
              <w:pStyle w:val="NoSpacing"/>
            </w:pPr>
            <w:r>
              <w:t>The SHA-256 checksum is required by the upload policy and verified by S3, which rejects a mismatch; the digest is recorded in the metadata and audit trail; versions are immutable under Object Lock.</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D4</w:t>
            </w:r>
          </w:p>
        </w:tc>
        <w:tc>
          <w:tcPr>
            <w:tcW w:w="1540" w:type="dxa"/>
            <w:tcBorders>
              <w:top w:val="dotted" w:sz="4" w:space="0" w:color="auto"/>
              <w:left w:val="dotted" w:sz="4" w:space="0" w:color="auto"/>
              <w:bottom w:val="dotted" w:sz="4" w:space="0" w:color="auto"/>
              <w:right w:val="dotted" w:sz="4" w:space="0" w:color="auto"/>
            </w:tcBorders>
          </w:tcPr>
          <w:p>
            <w:pPr>
              <w:pStyle w:val="NoSpacing"/>
            </w:pPr>
            <w:r>
              <w:t>Orphaned objects and metadata drift</w:t>
            </w:r>
          </w:p>
        </w:tc>
        <w:tc>
          <w:tcPr>
            <w:tcW w:w="2966" w:type="dxa"/>
            <w:tcBorders>
              <w:top w:val="dotted" w:sz="4" w:space="0" w:color="auto"/>
              <w:left w:val="dotted" w:sz="4" w:space="0" w:color="auto"/>
              <w:bottom w:val="dotted" w:sz="4" w:space="0" w:color="auto"/>
              <w:right w:val="dotted" w:sz="4" w:space="0" w:color="auto"/>
            </w:tcBorders>
          </w:tcPr>
          <w:p>
            <w:pPr>
              <w:pStyle w:val="NoSpacing"/>
            </w:pPr>
            <w:r>
              <w:t>An upload can complete without its metadata, or metadata can exist without a file.</w:t>
            </w:r>
          </w:p>
        </w:tc>
        <w:tc>
          <w:tcPr>
            <w:tcW w:w="3700" w:type="dxa"/>
            <w:tcBorders>
              <w:top w:val="dotted" w:sz="4" w:space="0" w:color="auto"/>
              <w:left w:val="dotted" w:sz="4" w:space="0" w:color="auto"/>
              <w:bottom w:val="dotted" w:sz="4" w:space="0" w:color="auto"/>
              <w:right w:val="dotted" w:sz="4" w:space="0" w:color="auto"/>
            </w:tcBorders>
          </w:tcPr>
          <w:p>
            <w:pPr>
              <w:pStyle w:val="NoSpacing"/>
            </w:pPr>
            <w:r>
              <w:t>Uploads land under an incoming prefix and are confirmed by the S3 event; unconfirmed objects expire after 24 hours; a nightly reconciliation compares metadata with S3 inventory.</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D5</w:t>
            </w:r>
          </w:p>
        </w:tc>
        <w:tc>
          <w:tcPr>
            <w:tcW w:w="1540" w:type="dxa"/>
            <w:tcBorders>
              <w:top w:val="dotted" w:sz="4" w:space="0" w:color="auto"/>
              <w:left w:val="dotted" w:sz="4" w:space="0" w:color="auto"/>
              <w:bottom w:val="dotted" w:sz="4" w:space="0" w:color="auto"/>
              <w:right w:val="dotted" w:sz="4" w:space="0" w:color="auto"/>
            </w:tcBorders>
          </w:tcPr>
          <w:p>
            <w:pPr>
              <w:pStyle w:val="NoSpacing"/>
            </w:pPr>
            <w:r>
              <w:t>Retention set wrongly</w:t>
            </w:r>
          </w:p>
        </w:tc>
        <w:tc>
          <w:tcPr>
            <w:tcW w:w="2966" w:type="dxa"/>
            <w:tcBorders>
              <w:top w:val="dotted" w:sz="4" w:space="0" w:color="auto"/>
              <w:left w:val="dotted" w:sz="4" w:space="0" w:color="auto"/>
              <w:bottom w:val="dotted" w:sz="4" w:space="0" w:color="auto"/>
              <w:right w:val="dotted" w:sz="4" w:space="0" w:color="auto"/>
            </w:tcBorders>
          </w:tcPr>
          <w:p>
            <w:pPr>
              <w:pStyle w:val="NoSpacing"/>
            </w:pPr>
            <w:r>
              <w:t>Compliance-mode retention cannot be shortened by anyone, so a period set too long cannot be undone, and one set too short loses protection.</w:t>
            </w:r>
          </w:p>
        </w:tc>
        <w:tc>
          <w:tcPr>
            <w:tcW w:w="3700" w:type="dxa"/>
            <w:tcBorders>
              <w:top w:val="dotted" w:sz="4" w:space="0" w:color="auto"/>
              <w:left w:val="dotted" w:sz="4" w:space="0" w:color="auto"/>
              <w:bottom w:val="dotted" w:sz="4" w:space="0" w:color="auto"/>
              <w:right w:val="dotted" w:sz="4" w:space="0" w:color="auto"/>
            </w:tcBorders>
          </w:tcPr>
          <w:p>
            <w:pPr>
              <w:pStyle w:val="NoSpacing"/>
            </w:pPr>
            <w:r>
              <w:t>Retention periods approved by YCompany per document class before go-live; governance mode for claim documents, compliance mode only for the audit archive and communications; retention settings tested in a non-production account first.</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D6</w:t>
            </w:r>
          </w:p>
        </w:tc>
        <w:tc>
          <w:tcPr>
            <w:tcW w:w="1540" w:type="dxa"/>
            <w:tcBorders>
              <w:top w:val="dotted" w:sz="4" w:space="0" w:color="auto"/>
              <w:left w:val="dotted" w:sz="4" w:space="0" w:color="auto"/>
              <w:bottom w:val="dotted" w:sz="4" w:space="0" w:color="auto"/>
              <w:right w:val="dotted" w:sz="4" w:space="0" w:color="auto"/>
            </w:tcBorders>
          </w:tcPr>
          <w:p>
            <w:pPr>
              <w:pStyle w:val="NoSpacing"/>
            </w:pPr>
            <w:r>
              <w:t>Search after a Region failover</w:t>
            </w:r>
          </w:p>
        </w:tc>
        <w:tc>
          <w:tcPr>
            <w:tcW w:w="2966" w:type="dxa"/>
            <w:tcBorders>
              <w:top w:val="dotted" w:sz="4" w:space="0" w:color="auto"/>
              <w:left w:val="dotted" w:sz="4" w:space="0" w:color="auto"/>
              <w:bottom w:val="dotted" w:sz="4" w:space="0" w:color="auto"/>
              <w:right w:val="dotted" w:sz="4" w:space="0" w:color="auto"/>
            </w:tcBorders>
          </w:tcPr>
          <w:p>
            <w:pPr>
              <w:pStyle w:val="NoSpacing"/>
            </w:pPr>
            <w:r>
              <w:t>The us-east-2 OpenSearch follower is read-only until replication is stopped, so indexing would fail after a failover.</w:t>
            </w:r>
          </w:p>
        </w:tc>
        <w:tc>
          <w:tcPr>
            <w:tcW w:w="3700" w:type="dxa"/>
            <w:tcBorders>
              <w:top w:val="dotted" w:sz="4" w:space="0" w:color="auto"/>
              <w:left w:val="dotted" w:sz="4" w:space="0" w:color="auto"/>
              <w:bottom w:val="dotted" w:sz="4" w:space="0" w:color="auto"/>
              <w:right w:val="dotted" w:sz="4" w:space="0" w:color="auto"/>
            </w:tcBorders>
          </w:tcPr>
          <w:p>
            <w:pPr>
              <w:pStyle w:val="NoSpacing"/>
            </w:pPr>
            <w:r>
              <w:t>The failover runbook stops cross-cluster replication to make the follower writable; if that fails, the index is rebuilt from PostgreSQL and S3, because it is derived data.</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D7</w:t>
            </w:r>
          </w:p>
        </w:tc>
        <w:tc>
          <w:tcPr>
            <w:tcW w:w="1540" w:type="dxa"/>
            <w:tcBorders>
              <w:top w:val="dotted" w:sz="4" w:space="0" w:color="auto"/>
              <w:left w:val="dotted" w:sz="4" w:space="0" w:color="auto"/>
              <w:bottom w:val="dotted" w:sz="4" w:space="0" w:color="auto"/>
              <w:right w:val="dotted" w:sz="4" w:space="0" w:color="auto"/>
            </w:tcBorders>
          </w:tcPr>
          <w:p>
            <w:pPr>
              <w:pStyle w:val="NoSpacing"/>
            </w:pPr>
            <w:r>
              <w:t>Storage cost growth</w:t>
            </w:r>
          </w:p>
        </w:tc>
        <w:tc>
          <w:tcPr>
            <w:tcW w:w="2966" w:type="dxa"/>
            <w:tcBorders>
              <w:top w:val="dotted" w:sz="4" w:space="0" w:color="auto"/>
              <w:left w:val="dotted" w:sz="4" w:space="0" w:color="auto"/>
              <w:bottom w:val="dotted" w:sz="4" w:space="0" w:color="auto"/>
              <w:right w:val="dotted" w:sz="4" w:space="0" w:color="auto"/>
            </w:tcBorders>
          </w:tcPr>
          <w:p>
            <w:pPr>
              <w:pStyle w:val="NoSpacing"/>
            </w:pPr>
            <w:r>
              <w:t>About 240 TB a year accumulates for the length of the retention periods.</w:t>
            </w:r>
          </w:p>
        </w:tc>
        <w:tc>
          <w:tcPr>
            <w:tcW w:w="3700" w:type="dxa"/>
            <w:tcBorders>
              <w:top w:val="dotted" w:sz="4" w:space="0" w:color="auto"/>
              <w:left w:val="dotted" w:sz="4" w:space="0" w:color="auto"/>
              <w:bottom w:val="dotted" w:sz="4" w:space="0" w:color="auto"/>
              <w:right w:val="dotted" w:sz="4" w:space="0" w:color="auto"/>
            </w:tcBorders>
          </w:tcPr>
          <w:p>
            <w:pPr>
              <w:pStyle w:val="NoSpacing"/>
            </w:pPr>
            <w:r>
              <w:t>Lifecycle tiering to Standard-IA after 90 days and Glacier Deep Archive a year after closure; storage class analysis and cost alarms; replica storage class reviewed once retrieval patterns are known.</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D8</w:t>
            </w:r>
          </w:p>
        </w:tc>
        <w:tc>
          <w:tcPr>
            <w:tcW w:w="1540" w:type="dxa"/>
            <w:tcBorders>
              <w:top w:val="dotted" w:sz="4" w:space="0" w:color="auto"/>
              <w:left w:val="dotted" w:sz="4" w:space="0" w:color="auto"/>
              <w:bottom w:val="dotted" w:sz="4" w:space="0" w:color="auto"/>
              <w:right w:val="dotted" w:sz="4" w:space="0" w:color="auto"/>
            </w:tcBorders>
          </w:tcPr>
          <w:p>
            <w:pPr>
              <w:pStyle w:val="NoSpacing"/>
            </w:pPr>
            <w:r>
              <w:t>Text extraction quality</w:t>
            </w:r>
          </w:p>
        </w:tc>
        <w:tc>
          <w:tcPr>
            <w:tcW w:w="2966" w:type="dxa"/>
            <w:tcBorders>
              <w:top w:val="dotted" w:sz="4" w:space="0" w:color="auto"/>
              <w:left w:val="dotted" w:sz="4" w:space="0" w:color="auto"/>
              <w:bottom w:val="dotted" w:sz="4" w:space="0" w:color="auto"/>
              <w:right w:val="dotted" w:sz="4" w:space="0" w:color="auto"/>
            </w:tcBorders>
          </w:tcPr>
          <w:p>
            <w:pPr>
              <w:pStyle w:val="NoSpacing"/>
            </w:pPr>
            <w:r>
              <w:t>Poor scans and photographs of documents give poor text, so a search can miss a document.</w:t>
            </w:r>
          </w:p>
        </w:tc>
        <w:tc>
          <w:tcPr>
            <w:tcW w:w="3700" w:type="dxa"/>
            <w:tcBorders>
              <w:top w:val="dotted" w:sz="4" w:space="0" w:color="auto"/>
              <w:left w:val="dotted" w:sz="4" w:space="0" w:color="auto"/>
              <w:bottom w:val="dotted" w:sz="4" w:space="0" w:color="auto"/>
              <w:right w:val="dotted" w:sz="4" w:space="0" w:color="auto"/>
            </w:tcBorders>
          </w:tcPr>
          <w:p>
            <w:pPr>
              <w:pStyle w:val="NoSpacing"/>
            </w:pPr>
            <w:r>
              <w:t>Search supplements, and never replaces, finding documents by claim and type; the original file is always the record; extraction confidence stored and low-confidence pages flagged.</w:t>
            </w:r>
          </w:p>
        </w:tc>
      </w:tr>
      <w:tr>
        <w:trPr>
          <w:cantSplit/>
        </w:trPr>
        <w:tc>
          <w:tcPr>
            <w:tcW w:w="820" w:type="dxa"/>
            <w:tcBorders>
              <w:top w:val="dotted" w:sz="4" w:space="0" w:color="auto"/>
              <w:left w:val="dotted" w:sz="4" w:space="0" w:color="auto"/>
              <w:bottom w:val="dotted" w:sz="4" w:space="0" w:color="auto"/>
              <w:right w:val="dotted" w:sz="4" w:space="0" w:color="auto"/>
            </w:tcBorders>
          </w:tcPr>
          <w:p>
            <w:pPr>
              <w:pStyle w:val="NoSpacing"/>
            </w:pPr>
            <w:r>
              <w:t>D9</w:t>
            </w:r>
          </w:p>
        </w:tc>
        <w:tc>
          <w:tcPr>
            <w:tcW w:w="1540" w:type="dxa"/>
            <w:tcBorders>
              <w:top w:val="dotted" w:sz="4" w:space="0" w:color="auto"/>
              <w:left w:val="dotted" w:sz="4" w:space="0" w:color="auto"/>
              <w:bottom w:val="dotted" w:sz="4" w:space="0" w:color="auto"/>
              <w:right w:val="dotted" w:sz="4" w:space="0" w:color="auto"/>
            </w:tcBorders>
          </w:tcPr>
          <w:p>
            <w:pPr>
              <w:pStyle w:val="NoSpacing"/>
            </w:pPr>
            <w:r>
              <w:t>AWS lock-in</w:t>
            </w:r>
          </w:p>
        </w:tc>
        <w:tc>
          <w:tcPr>
            <w:tcW w:w="2966" w:type="dxa"/>
            <w:tcBorders>
              <w:top w:val="dotted" w:sz="4" w:space="0" w:color="auto"/>
              <w:left w:val="dotted" w:sz="4" w:space="0" w:color="auto"/>
              <w:bottom w:val="dotted" w:sz="4" w:space="0" w:color="auto"/>
              <w:right w:val="dotted" w:sz="4" w:space="0" w:color="auto"/>
            </w:tcBorders>
          </w:tcPr>
          <w:p>
            <w:pPr>
              <w:pStyle w:val="NoSpacing"/>
            </w:pPr>
            <w:r>
              <w:t>S3 Object Lock, GuardDuty and Textract are AWS services.</w:t>
            </w:r>
          </w:p>
        </w:tc>
        <w:tc>
          <w:tcPr>
            <w:tcW w:w="3700" w:type="dxa"/>
            <w:tcBorders>
              <w:top w:val="dotted" w:sz="4" w:space="0" w:color="auto"/>
              <w:left w:val="dotted" w:sz="4" w:space="0" w:color="auto"/>
              <w:bottom w:val="dotted" w:sz="4" w:space="0" w:color="auto"/>
              <w:right w:val="dotted" w:sz="4" w:space="0" w:color="auto"/>
            </w:tcBorders>
          </w:tcPr>
          <w:p>
            <w:pPr>
              <w:pStyle w:val="NoSpacing"/>
            </w:pPr>
            <w:r>
              <w:t>Files are reached through the storage adapter using the S3 API, which MinIO implements on-premise; metadata in PostgreSQL and the index in OpenSearch are portable; scanning and extraction sit behind replaceable consumers.</w:t>
            </w:r>
          </w:p>
        </w:tc>
      </w:tr>
    </w:tbl>
    <w:p/>
    <w:p>
      <w:r>
        <w:br w:type="page"/>
      </w:r>
    </w:p>
    <w:p>
      <w:pPr>
        <w:pStyle w:val="Heading1"/>
      </w:pPr>
      <w:bookmarkStart w:id="128" w:name="_Toc300000029"/>
      <w:r>
        <w:t>Appendix</w:t>
      </w:r>
      <w:bookmarkEnd w:id="128"/>
    </w:p>
    <w:p>
      <w:pPr>
        <w:pStyle w:val="Heading2"/>
      </w:pPr>
      <w:bookmarkStart w:id="129" w:name="_Toc300000030"/>
      <w:r>
        <w:t>References</w:t>
      </w:r>
      <w:bookmarkEnd w:id="129"/>
    </w:p>
    <w:p>
      <w:r>
        <w:t>The following documents and external sources were referenced in preparing this Decision Analysis and Recommendation.</w:t>
      </w:r>
    </w:p>
    <w:p>
      <w:r>
        <w:rPr>
          <w:b/>
        </w:rPr>
        <w:t>eClaims documents</w:t>
      </w:r>
    </w:p>
    <w:p>
      <w:pPr>
        <w:pStyle w:val="ListParagraph"/>
        <w:numPr>
          <w:ilvl w:val="0"/>
          <w:numId w:val="40"/>
        </w:numPr>
      </w:pPr>
      <w:r>
        <w:t>eClaims Solution Approach Document (SAD) v1.8 — docs/sad/solution-approach-document.md</w:t>
      </w:r>
    </w:p>
    <w:p>
      <w:pPr>
        <w:pStyle w:val="ListParagraph"/>
        <w:numPr>
          <w:ilvl w:val="0"/>
          <w:numId w:val="40"/>
        </w:numPr>
      </w:pPr>
      <w:r>
        <w:t>eClaims Case Study — requirements/eClaims - Insurance -Senior Staff Engineer.pdf</w:t>
      </w:r>
    </w:p>
    <w:p>
      <w:pPr>
        <w:pStyle w:val="ListParagraph"/>
        <w:numPr>
          <w:ilvl w:val="0"/>
          <w:numId w:val="40"/>
        </w:numPr>
      </w:pPr>
      <w:r>
        <w:t>DAR — Messaging, Analytics and Identity — docs/dar/Utsav_eClaims_DAR_Messaging_Analytics_Identity.docx</w:t>
      </w:r>
    </w:p>
    <w:p>
      <w:pPr>
        <w:pStyle w:val="ListParagraph"/>
        <w:numPr>
          <w:ilvl w:val="0"/>
          <w:numId w:val="40"/>
        </w:numPr>
      </w:pPr>
      <w:r>
        <w:t>eClaims Proof-of-Concept implementation — src/backend/claims-service (api/routers/documents.py, models/db_models.py)</w:t>
      </w:r>
    </w:p>
    <w:p>
      <w:r>
        <w:rPr>
          <w:b/>
        </w:rPr>
        <w:t>AWS pricing and documentation (US East, N. Virginia)</w:t>
      </w:r>
    </w:p>
    <w:p>
      <w:pPr>
        <w:pStyle w:val="ListParagraph"/>
        <w:numPr>
          <w:ilvl w:val="0"/>
          <w:numId w:val="40"/>
        </w:numPr>
      </w:pPr>
      <w:r>
        <w:t>Amazon S3 Pricing — https://aws.amazon.com/s3/pricing/</w:t>
      </w:r>
    </w:p>
    <w:p>
      <w:pPr>
        <w:pStyle w:val="ListParagraph"/>
        <w:numPr>
          <w:ilvl w:val="0"/>
          <w:numId w:val="40"/>
        </w:numPr>
      </w:pPr>
      <w:r>
        <w:t>Amazon S3 Object Lock — https://docs.aws.amazon.com/AmazonS3/latest/userguide/object-lock.html</w:t>
      </w:r>
    </w:p>
    <w:p>
      <w:pPr>
        <w:pStyle w:val="ListParagraph"/>
        <w:numPr>
          <w:ilvl w:val="0"/>
          <w:numId w:val="40"/>
        </w:numPr>
      </w:pPr>
      <w:r>
        <w:t>Checking object integrity in Amazon S3 — https://docs.aws.amazon.com/AmazonS3/latest/userguide/checking-object-integrity.html</w:t>
      </w:r>
    </w:p>
    <w:p>
      <w:pPr>
        <w:pStyle w:val="ListParagraph"/>
        <w:numPr>
          <w:ilvl w:val="0"/>
          <w:numId w:val="40"/>
        </w:numPr>
      </w:pPr>
      <w:r>
        <w:t>Amazon OpenSearch Service Pricing — https://aws.amazon.com/opensearch-service/pricing/</w:t>
      </w:r>
    </w:p>
    <w:p>
      <w:pPr>
        <w:pStyle w:val="ListParagraph"/>
        <w:numPr>
          <w:ilvl w:val="0"/>
          <w:numId w:val="40"/>
        </w:numPr>
      </w:pPr>
      <w:r>
        <w:t>Amazon GuardDuty Malware Protection for S3 pricing — https://docs.aws.amazon.com/guardduty/latest/ug/pricing-malware-protection-for-s3-guardduty.html</w:t>
      </w:r>
    </w:p>
    <w:p>
      <w:pPr>
        <w:pStyle w:val="ListParagraph"/>
        <w:numPr>
          <w:ilvl w:val="0"/>
          <w:numId w:val="40"/>
        </w:numPr>
      </w:pPr>
      <w:r>
        <w:t>Amazon Textract Pricing — https://aws.amazon.com/textract/pricing/</w:t>
      </w:r>
    </w:p>
    <w:p>
      <w:pPr>
        <w:pStyle w:val="ListParagraph"/>
        <w:numPr>
          <w:ilvl w:val="0"/>
          <w:numId w:val="40"/>
        </w:numPr>
      </w:pPr>
      <w:r>
        <w:t>AWS Well-Architected Framework — https://aws.amazon.com/architecture/well-architected/</w:t>
      </w:r>
    </w:p>
    <w:p>
      <w:r>
        <w:rPr>
          <w:b/>
        </w:rPr>
        <w:t>Vendor and industry sources</w:t>
      </w:r>
    </w:p>
    <w:p>
      <w:pPr>
        <w:pStyle w:val="ListParagraph"/>
        <w:numPr>
          <w:ilvl w:val="0"/>
          <w:numId w:val="40"/>
        </w:numPr>
      </w:pPr>
      <w:r>
        <w:t>Alfresco Content Services Documentation — https://docs.alfresco.com/</w:t>
      </w:r>
    </w:p>
    <w:p>
      <w:pPr>
        <w:pStyle w:val="ListParagraph"/>
        <w:numPr>
          <w:ilvl w:val="0"/>
          <w:numId w:val="40"/>
        </w:numPr>
      </w:pPr>
      <w:r>
        <w:t>SharePoint Online limits — https://learn.microsoft.com/en-us/office365/servicedescriptions/sharepoint-online-service-description/sharepoint-online-limits</w:t>
      </w:r>
    </w:p>
    <w:p>
      <w:pPr>
        <w:pStyle w:val="ListParagraph"/>
        <w:numPr>
          <w:ilvl w:val="0"/>
          <w:numId w:val="40"/>
        </w:numPr>
      </w:pPr>
      <w:r>
        <w:t>MongoDB GridFS — https://www.mongodb.com/docs/manual/core/gridfs/</w:t>
      </w:r>
    </w:p>
    <w:p>
      <w:pPr>
        <w:pStyle w:val="ListParagraph"/>
        <w:numPr>
          <w:ilvl w:val="0"/>
          <w:numId w:val="40"/>
        </w:numPr>
      </w:pPr>
      <w:r>
        <w:t>MinIO Object Storage — https://min.io/docs/</w:t>
      </w:r>
    </w:p>
    <w:p>
      <w:pPr>
        <w:pStyle w:val="ListParagraph"/>
        <w:numPr>
          <w:ilvl w:val="0"/>
          <w:numId w:val="40"/>
        </w:numPr>
      </w:pPr>
      <w:r>
        <w:t>OWASP File Upload Cheat Sheet — https://cheatsheetseries.owasp.org/cheatsheets/File_Upload_Cheat_Sheet.html</w:t>
      </w:r>
    </w:p>
    <w:p>
      <w:pPr>
        <w:pStyle w:val="Heading2"/>
      </w:pPr>
      <w:bookmarkStart w:id="130" w:name="_Toc300000031"/>
      <w:r>
        <w:t>Scoring Methodology</w:t>
      </w:r>
      <w:bookmarkEnd w:id="130"/>
    </w:p>
    <w:p>
      <w:r>
        <w:t>The method was fixed before scoring, in this order, so that the weighting could not be chosen to favour a conclusion:</w:t>
      </w:r>
    </w:p>
    <w:p>
      <w:pPr>
        <w:pStyle w:val="ListParagraph"/>
        <w:numPr>
          <w:ilvl w:val="0"/>
          <w:numId w:val="40"/>
        </w:numPr>
      </w:pPr>
      <w:r>
        <w:t>Evaluation attributes were derived from the eClaims functional and non-functional requirements summarised in Section 2, and each attribute was traced back to the requirement that justifies it in Section 4.1.</w:t>
      </w:r>
    </w:p>
    <w:p>
      <w:pPr>
        <w:pStyle w:val="ListParagraph"/>
        <w:numPr>
          <w:ilvl w:val="0"/>
          <w:numId w:val="40"/>
        </w:numPr>
      </w:pPr>
      <w:r>
        <w:t>Weights totalling 100 were assigned on the basis of consequence of failure: an attribute whose absence would defeat the purpose of document management carries 15, one whose absence would degrade operation carries 10, and one bounded by an already-accepted assumption carries 5.</w:t>
      </w:r>
    </w:p>
    <w:p>
      <w:pPr>
        <w:pStyle w:val="ListParagraph"/>
        <w:numPr>
          <w:ilvl w:val="0"/>
          <w:numId w:val="40"/>
        </w:numPr>
      </w:pPr>
      <w:r>
        <w:t>Each option was then scored 1 to 5 against every attribute on native capability relative to the eClaims requirement — not absolute product quality — with 5 denoting the lowest operational overhead where that attribute is concerned.</w:t>
      </w:r>
    </w:p>
    <w:p>
      <w:pPr>
        <w:pStyle w:val="ListParagraph"/>
        <w:numPr>
          <w:ilvl w:val="0"/>
          <w:numId w:val="40"/>
        </w:numPr>
      </w:pPr>
      <w:r>
        <w:t>The weighted total is the sum of weight multiplied by score, divided by 100, giving a comparable result on the same 1 to 5 scale.</w:t>
      </w:r>
    </w:p>
    <w:p>
      <w:pPr>
        <w:pStyle w:val="ListParagraph"/>
        <w:numPr>
          <w:ilvl w:val="0"/>
          <w:numId w:val="40"/>
        </w:numPr>
      </w:pPr>
      <w:r>
        <w:t>The attribute most likely to be challenged was varied while the other weights were held constant, and the weight at which the runner-up overtakes is reported in Section 4.5.</w:t>
      </w:r>
    </w:p>
    <w:p>
      <w:r>
        <w:t>Worked example, S3 with PostgreSQL metadata and OpenSearch: (15×5 + 15×5 + 15×4 + 10×5 + 10×4 + 10×5 + 10×4 + 10×5 + 5×4) ÷ 100 = 460 ÷ 100 = 4.60.</w:t>
      </w:r>
    </w:p>
    <w:p>
      <w:r>
        <w:t>Two limitations should be read alongside the result. A weighted average compresses capability differences, so Section 4.3 records native support separately — a score of 3 for a capability that is absent but buildable is not the same thing as a 3 for one that is present but awkward. And the scores are informed engineering judgement against documented product capability, not measurements from a benchmark or a pilot implementation.</w:t>
      </w:r>
    </w:p>
    <w:sectPr w:rsidR="00932AC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DFF9A" w14:textId="77777777" w:rsidR="00F304AC" w:rsidRDefault="00F304AC" w:rsidP="002938CA">
      <w:pPr>
        <w:spacing w:after="0" w:line="240" w:lineRule="auto"/>
      </w:pPr>
      <w:r>
        <w:separator/>
      </w:r>
    </w:p>
  </w:endnote>
  <w:endnote w:type="continuationSeparator" w:id="0">
    <w:p w14:paraId="0ADE5546" w14:textId="77777777" w:rsidR="00F304AC" w:rsidRDefault="00F304AC"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Futur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w16cei="http://schemas.microsoft.com/office/word/2026/wordml/cei">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6957" w14:textId="77777777" w:rsidR="00F304AC" w:rsidRDefault="00F304AC" w:rsidP="002938CA">
      <w:pPr>
        <w:spacing w:after="0" w:line="240" w:lineRule="auto"/>
      </w:pPr>
      <w:r>
        <w:separator/>
      </w:r>
    </w:p>
  </w:footnote>
  <w:footnote w:type="continuationSeparator" w:id="0">
    <w:p w14:paraId="2D51F472" w14:textId="77777777" w:rsidR="00F304AC" w:rsidRDefault="00F304AC"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14:paraId="718A8366" w14:textId="48DA2C4A" w:rsidR="00395B23" w:rsidRPr="00CB769B" w:rsidRDefault="00F304AC"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BC4794">
          <w:rPr>
            <w:rFonts w:asciiTheme="majorHAnsi" w:hAnsiTheme="majorHAnsi"/>
          </w:rPr>
          <w:t>YCompany – eClaims</w:t>
        </w:r>
        <w:proofErr w:type="spellEnd"/>
        <w:r w:rsidR="00BC4794">
          <w:rPr>
            <w:rFonts w:asciiTheme="majorHAnsi" w:hAnsiTheme="majorHAnsi"/>
          </w:rPr>
          <w:t xml:space="preserve"/>
        </w:r>
        <w:proofErr w:type="spellStart"/>
        <w:r w:rsidR="00BC4794">
          <w:rPr>
            <w:rFonts w:asciiTheme="majorHAnsi" w:hAnsiTheme="majorHAnsi"/>
          </w:rPr>
          <w:t/>
        </w:r>
        <w:proofErr w:type="spellEnd"/>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EndPr/>
      <w:sdtContent>
        <w:r w:rsidR="00EF3CA0">
          <w:rPr>
            <w:rFonts w:asciiTheme="majorHAnsi" w:eastAsiaTheme="majorEastAsia" w:hAnsiTheme="majorHAnsi" w:cstheme="majorBidi"/>
            <w:i/>
            <w:sz w:val="20"/>
            <w:szCs w:val="20"/>
          </w:rPr>
          <w:t>DAR Document – Document Management Selection</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wp:cNvGraphicFramePr>
              <a:graphic>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a:solidFill>
                                <a:srgbClr val="FFFFFF"/>
                              </a:solidFill>
                            </a14:hiddenFill>
                          </a:ext>
                          <a:ext uri="{91240B29-F687-4F45-9708-019B960494DF}">
                            <a14:hiddenLine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wp:cNvGraphicFramePr>
              <a:graphic>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wp:cNvGraphicFramePr>
              <a:graphic>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47A3C04"/>
    <w:multiLevelType w:val="hybridMultilevel"/>
    <w:tmpl w:val="2C96E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954950"/>
    <w:multiLevelType w:val="hybridMultilevel"/>
    <w:tmpl w:val="B17A42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10"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1B30B42"/>
    <w:multiLevelType w:val="hybridMultilevel"/>
    <w:tmpl w:val="427A97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4"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5" w15:restartNumberingAfterBreak="0">
    <w:nsid w:val="27134E07"/>
    <w:multiLevelType w:val="hybridMultilevel"/>
    <w:tmpl w:val="2D36F4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7"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8"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9"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0"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1"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3"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4"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5" w15:restartNumberingAfterBreak="0">
    <w:nsid w:val="540C095F"/>
    <w:multiLevelType w:val="hybridMultilevel"/>
    <w:tmpl w:val="EBEE9E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64193"/>
    <w:multiLevelType w:val="hybridMultilevel"/>
    <w:tmpl w:val="B9047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1"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2" w15:restartNumberingAfterBreak="0">
    <w:nsid w:val="62BD359F"/>
    <w:multiLevelType w:val="hybridMultilevel"/>
    <w:tmpl w:val="79808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5" w15:restartNumberingAfterBreak="0">
    <w:nsid w:val="7A421636"/>
    <w:multiLevelType w:val="hybridMultilevel"/>
    <w:tmpl w:val="9AAE9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256884">
    <w:abstractNumId w:val="9"/>
  </w:num>
  <w:num w:numId="2" w16cid:durableId="2119833253">
    <w:abstractNumId w:val="17"/>
  </w:num>
  <w:num w:numId="3" w16cid:durableId="1986005398">
    <w:abstractNumId w:val="11"/>
  </w:num>
  <w:num w:numId="4" w16cid:durableId="4346374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7930">
    <w:abstractNumId w:val="29"/>
  </w:num>
  <w:num w:numId="6" w16cid:durableId="952127718">
    <w:abstractNumId w:val="23"/>
  </w:num>
  <w:num w:numId="7" w16cid:durableId="688871541">
    <w:abstractNumId w:val="30"/>
  </w:num>
  <w:num w:numId="8" w16cid:durableId="643508282">
    <w:abstractNumId w:val="19"/>
  </w:num>
  <w:num w:numId="9" w16cid:durableId="179248125">
    <w:abstractNumId w:val="2"/>
  </w:num>
  <w:num w:numId="10" w16cid:durableId="1401634397">
    <w:abstractNumId w:val="24"/>
  </w:num>
  <w:num w:numId="11" w16cid:durableId="1152795347">
    <w:abstractNumId w:val="4"/>
  </w:num>
  <w:num w:numId="12" w16cid:durableId="732311982">
    <w:abstractNumId w:val="1"/>
  </w:num>
  <w:num w:numId="13" w16cid:durableId="2144423319">
    <w:abstractNumId w:val="20"/>
  </w:num>
  <w:num w:numId="14" w16cid:durableId="576670135">
    <w:abstractNumId w:val="18"/>
  </w:num>
  <w:num w:numId="15" w16cid:durableId="681933949">
    <w:abstractNumId w:val="5"/>
  </w:num>
  <w:num w:numId="16" w16cid:durableId="1525628089">
    <w:abstractNumId w:val="9"/>
  </w:num>
  <w:num w:numId="17" w16cid:durableId="625433064">
    <w:abstractNumId w:val="9"/>
  </w:num>
  <w:num w:numId="18" w16cid:durableId="19114956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36270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257105">
    <w:abstractNumId w:val="9"/>
  </w:num>
  <w:num w:numId="21" w16cid:durableId="779640862">
    <w:abstractNumId w:val="31"/>
  </w:num>
  <w:num w:numId="22" w16cid:durableId="1998534045">
    <w:abstractNumId w:val="13"/>
  </w:num>
  <w:num w:numId="23" w16cid:durableId="1343239811">
    <w:abstractNumId w:val="22"/>
  </w:num>
  <w:num w:numId="24" w16cid:durableId="1799910954">
    <w:abstractNumId w:val="14"/>
  </w:num>
  <w:num w:numId="25" w16cid:durableId="14386041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9139079">
    <w:abstractNumId w:val="34"/>
  </w:num>
  <w:num w:numId="27" w16cid:durableId="6154069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4334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7169366">
    <w:abstractNumId w:val="8"/>
  </w:num>
  <w:num w:numId="30" w16cid:durableId="1747416444">
    <w:abstractNumId w:val="21"/>
  </w:num>
  <w:num w:numId="31" w16cid:durableId="1404571440">
    <w:abstractNumId w:val="16"/>
  </w:num>
  <w:num w:numId="32" w16cid:durableId="2000110238">
    <w:abstractNumId w:val="9"/>
  </w:num>
  <w:num w:numId="33" w16cid:durableId="1001356059">
    <w:abstractNumId w:val="28"/>
  </w:num>
  <w:num w:numId="34" w16cid:durableId="1396196277">
    <w:abstractNumId w:val="10"/>
  </w:num>
  <w:num w:numId="35" w16cid:durableId="1810889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6364908">
    <w:abstractNumId w:val="33"/>
  </w:num>
  <w:num w:numId="37" w16cid:durableId="1928807113">
    <w:abstractNumId w:val="0"/>
  </w:num>
  <w:num w:numId="38" w16cid:durableId="510683550">
    <w:abstractNumId w:val="26"/>
  </w:num>
  <w:num w:numId="39" w16cid:durableId="364260374">
    <w:abstractNumId w:val="3"/>
  </w:num>
  <w:num w:numId="40" w16cid:durableId="1601832176">
    <w:abstractNumId w:val="12"/>
  </w:num>
  <w:num w:numId="41" w16cid:durableId="1393576243">
    <w:abstractNumId w:val="35"/>
  </w:num>
  <w:num w:numId="42" w16cid:durableId="1605261960">
    <w:abstractNumId w:val="25"/>
  </w:num>
  <w:num w:numId="43" w16cid:durableId="846210254">
    <w:abstractNumId w:val="15"/>
  </w:num>
  <w:num w:numId="44" w16cid:durableId="706757079">
    <w:abstractNumId w:val="7"/>
  </w:num>
  <w:num w:numId="45" w16cid:durableId="1024021084">
    <w:abstractNumId w:val="32"/>
  </w:num>
  <w:num w:numId="46" w16cid:durableId="1939829899">
    <w:abstractNumId w:val="27"/>
  </w:num>
  <w:num w:numId="47" w16cid:durableId="1872495939">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6E71"/>
    <w:rsid w:val="00007CEA"/>
    <w:rsid w:val="00010536"/>
    <w:rsid w:val="00013528"/>
    <w:rsid w:val="000153B6"/>
    <w:rsid w:val="000331F4"/>
    <w:rsid w:val="00033E23"/>
    <w:rsid w:val="0003727E"/>
    <w:rsid w:val="00040AE2"/>
    <w:rsid w:val="0005066D"/>
    <w:rsid w:val="00050A10"/>
    <w:rsid w:val="00051F9E"/>
    <w:rsid w:val="00065E2C"/>
    <w:rsid w:val="00084000"/>
    <w:rsid w:val="000861FF"/>
    <w:rsid w:val="000906C0"/>
    <w:rsid w:val="0009124C"/>
    <w:rsid w:val="00092932"/>
    <w:rsid w:val="000A18D5"/>
    <w:rsid w:val="000A1F7A"/>
    <w:rsid w:val="000A7235"/>
    <w:rsid w:val="000A7290"/>
    <w:rsid w:val="000B4398"/>
    <w:rsid w:val="000C02C9"/>
    <w:rsid w:val="000D2F11"/>
    <w:rsid w:val="000D36D5"/>
    <w:rsid w:val="000D782B"/>
    <w:rsid w:val="000E192A"/>
    <w:rsid w:val="000F7DD4"/>
    <w:rsid w:val="0010043C"/>
    <w:rsid w:val="00103C75"/>
    <w:rsid w:val="00106C46"/>
    <w:rsid w:val="00117860"/>
    <w:rsid w:val="00122550"/>
    <w:rsid w:val="00122EA3"/>
    <w:rsid w:val="001268F9"/>
    <w:rsid w:val="0013000A"/>
    <w:rsid w:val="00130216"/>
    <w:rsid w:val="00130247"/>
    <w:rsid w:val="001305C6"/>
    <w:rsid w:val="00130A7C"/>
    <w:rsid w:val="00131EF3"/>
    <w:rsid w:val="00133677"/>
    <w:rsid w:val="001503FF"/>
    <w:rsid w:val="001603EA"/>
    <w:rsid w:val="001731B1"/>
    <w:rsid w:val="00174CE5"/>
    <w:rsid w:val="001756F8"/>
    <w:rsid w:val="00180D7C"/>
    <w:rsid w:val="00182668"/>
    <w:rsid w:val="00183D24"/>
    <w:rsid w:val="001869CB"/>
    <w:rsid w:val="00190740"/>
    <w:rsid w:val="0019502C"/>
    <w:rsid w:val="001A3699"/>
    <w:rsid w:val="001A5578"/>
    <w:rsid w:val="001A7C6C"/>
    <w:rsid w:val="001C038B"/>
    <w:rsid w:val="001D655B"/>
    <w:rsid w:val="001D6A7E"/>
    <w:rsid w:val="001D7A6B"/>
    <w:rsid w:val="001E777E"/>
    <w:rsid w:val="00200904"/>
    <w:rsid w:val="00202D86"/>
    <w:rsid w:val="00215262"/>
    <w:rsid w:val="0022692D"/>
    <w:rsid w:val="00226DDE"/>
    <w:rsid w:val="00227022"/>
    <w:rsid w:val="00235D29"/>
    <w:rsid w:val="002375AB"/>
    <w:rsid w:val="002408CD"/>
    <w:rsid w:val="00241303"/>
    <w:rsid w:val="00244C43"/>
    <w:rsid w:val="00245717"/>
    <w:rsid w:val="00246BA5"/>
    <w:rsid w:val="00246F77"/>
    <w:rsid w:val="00250386"/>
    <w:rsid w:val="0025148A"/>
    <w:rsid w:val="00253D3D"/>
    <w:rsid w:val="00255871"/>
    <w:rsid w:val="002565E1"/>
    <w:rsid w:val="002648CB"/>
    <w:rsid w:val="00265543"/>
    <w:rsid w:val="00273550"/>
    <w:rsid w:val="00275EA1"/>
    <w:rsid w:val="00280A5F"/>
    <w:rsid w:val="00281ED2"/>
    <w:rsid w:val="00285A43"/>
    <w:rsid w:val="002938CA"/>
    <w:rsid w:val="00294868"/>
    <w:rsid w:val="002A4330"/>
    <w:rsid w:val="002B125B"/>
    <w:rsid w:val="002B6A48"/>
    <w:rsid w:val="002D0EA3"/>
    <w:rsid w:val="002D4FFB"/>
    <w:rsid w:val="002F373E"/>
    <w:rsid w:val="00302ECF"/>
    <w:rsid w:val="0030454A"/>
    <w:rsid w:val="00311EEB"/>
    <w:rsid w:val="003179F8"/>
    <w:rsid w:val="003261AB"/>
    <w:rsid w:val="00327FC4"/>
    <w:rsid w:val="00337E88"/>
    <w:rsid w:val="00343CFC"/>
    <w:rsid w:val="00346EEF"/>
    <w:rsid w:val="00357FA0"/>
    <w:rsid w:val="003634D3"/>
    <w:rsid w:val="00363A7E"/>
    <w:rsid w:val="0037098A"/>
    <w:rsid w:val="00376CAC"/>
    <w:rsid w:val="0037788C"/>
    <w:rsid w:val="00377D49"/>
    <w:rsid w:val="00387000"/>
    <w:rsid w:val="00391741"/>
    <w:rsid w:val="003945F2"/>
    <w:rsid w:val="00395A9A"/>
    <w:rsid w:val="00395B23"/>
    <w:rsid w:val="003A235C"/>
    <w:rsid w:val="003A2B3F"/>
    <w:rsid w:val="003A4981"/>
    <w:rsid w:val="003C065B"/>
    <w:rsid w:val="003C4076"/>
    <w:rsid w:val="003D0B70"/>
    <w:rsid w:val="003D2559"/>
    <w:rsid w:val="003D393B"/>
    <w:rsid w:val="003E5BEB"/>
    <w:rsid w:val="00400639"/>
    <w:rsid w:val="00401D0F"/>
    <w:rsid w:val="0041450E"/>
    <w:rsid w:val="00434AFD"/>
    <w:rsid w:val="00436046"/>
    <w:rsid w:val="00446536"/>
    <w:rsid w:val="004509A4"/>
    <w:rsid w:val="00455198"/>
    <w:rsid w:val="00462690"/>
    <w:rsid w:val="00463769"/>
    <w:rsid w:val="004711F6"/>
    <w:rsid w:val="00472F02"/>
    <w:rsid w:val="00483B15"/>
    <w:rsid w:val="004B26E9"/>
    <w:rsid w:val="004B7924"/>
    <w:rsid w:val="004E39E9"/>
    <w:rsid w:val="004F3BC7"/>
    <w:rsid w:val="004F5C59"/>
    <w:rsid w:val="0050185F"/>
    <w:rsid w:val="00503CB2"/>
    <w:rsid w:val="005055ED"/>
    <w:rsid w:val="00520E45"/>
    <w:rsid w:val="00521A2F"/>
    <w:rsid w:val="00525815"/>
    <w:rsid w:val="00537391"/>
    <w:rsid w:val="00540C9C"/>
    <w:rsid w:val="00540D28"/>
    <w:rsid w:val="005458A0"/>
    <w:rsid w:val="00546AA9"/>
    <w:rsid w:val="00546B06"/>
    <w:rsid w:val="00547F0B"/>
    <w:rsid w:val="00550190"/>
    <w:rsid w:val="00552FE9"/>
    <w:rsid w:val="005532C2"/>
    <w:rsid w:val="00555275"/>
    <w:rsid w:val="00561D82"/>
    <w:rsid w:val="0056288A"/>
    <w:rsid w:val="0057306D"/>
    <w:rsid w:val="00573C7E"/>
    <w:rsid w:val="00573DFC"/>
    <w:rsid w:val="00587455"/>
    <w:rsid w:val="005A6236"/>
    <w:rsid w:val="005A74CA"/>
    <w:rsid w:val="005B24CF"/>
    <w:rsid w:val="005B2595"/>
    <w:rsid w:val="005B71BD"/>
    <w:rsid w:val="005C03A9"/>
    <w:rsid w:val="005C3247"/>
    <w:rsid w:val="005E2EA4"/>
    <w:rsid w:val="005F1E5C"/>
    <w:rsid w:val="006061F1"/>
    <w:rsid w:val="0061005D"/>
    <w:rsid w:val="0061690A"/>
    <w:rsid w:val="00617867"/>
    <w:rsid w:val="00623E77"/>
    <w:rsid w:val="00626CC8"/>
    <w:rsid w:val="00633BD6"/>
    <w:rsid w:val="006438B6"/>
    <w:rsid w:val="00643A1C"/>
    <w:rsid w:val="00644CE7"/>
    <w:rsid w:val="00645BEA"/>
    <w:rsid w:val="00646527"/>
    <w:rsid w:val="00647A16"/>
    <w:rsid w:val="00653601"/>
    <w:rsid w:val="00654DD5"/>
    <w:rsid w:val="00670807"/>
    <w:rsid w:val="00671FE9"/>
    <w:rsid w:val="00675EB0"/>
    <w:rsid w:val="00682104"/>
    <w:rsid w:val="00682A40"/>
    <w:rsid w:val="006855EC"/>
    <w:rsid w:val="00687061"/>
    <w:rsid w:val="00693C0E"/>
    <w:rsid w:val="006A0323"/>
    <w:rsid w:val="006A2050"/>
    <w:rsid w:val="006C496F"/>
    <w:rsid w:val="006C5684"/>
    <w:rsid w:val="006C7D07"/>
    <w:rsid w:val="006D47BF"/>
    <w:rsid w:val="006E0428"/>
    <w:rsid w:val="006E212E"/>
    <w:rsid w:val="006E24E9"/>
    <w:rsid w:val="006E4F40"/>
    <w:rsid w:val="00702A6B"/>
    <w:rsid w:val="00704DAA"/>
    <w:rsid w:val="0070561D"/>
    <w:rsid w:val="0071083B"/>
    <w:rsid w:val="00710BF7"/>
    <w:rsid w:val="0071415A"/>
    <w:rsid w:val="007169A9"/>
    <w:rsid w:val="007271CA"/>
    <w:rsid w:val="007310FB"/>
    <w:rsid w:val="00731530"/>
    <w:rsid w:val="00733C9A"/>
    <w:rsid w:val="00744354"/>
    <w:rsid w:val="00744F16"/>
    <w:rsid w:val="00750019"/>
    <w:rsid w:val="007516F9"/>
    <w:rsid w:val="00755035"/>
    <w:rsid w:val="00755657"/>
    <w:rsid w:val="00756E07"/>
    <w:rsid w:val="00762666"/>
    <w:rsid w:val="007661EC"/>
    <w:rsid w:val="00771FD6"/>
    <w:rsid w:val="007800EC"/>
    <w:rsid w:val="00784433"/>
    <w:rsid w:val="00786D60"/>
    <w:rsid w:val="007968B1"/>
    <w:rsid w:val="007969AC"/>
    <w:rsid w:val="007A30B6"/>
    <w:rsid w:val="007A6BAF"/>
    <w:rsid w:val="007A6DC9"/>
    <w:rsid w:val="007B3A31"/>
    <w:rsid w:val="007B74CB"/>
    <w:rsid w:val="007C248D"/>
    <w:rsid w:val="007C33F6"/>
    <w:rsid w:val="007F0B79"/>
    <w:rsid w:val="008056B7"/>
    <w:rsid w:val="00805BC0"/>
    <w:rsid w:val="00813808"/>
    <w:rsid w:val="008144E9"/>
    <w:rsid w:val="00814A5F"/>
    <w:rsid w:val="008161DC"/>
    <w:rsid w:val="008226DC"/>
    <w:rsid w:val="008269F0"/>
    <w:rsid w:val="00832D94"/>
    <w:rsid w:val="00833977"/>
    <w:rsid w:val="00836943"/>
    <w:rsid w:val="00840D07"/>
    <w:rsid w:val="00843611"/>
    <w:rsid w:val="00850229"/>
    <w:rsid w:val="008573BC"/>
    <w:rsid w:val="00860E3B"/>
    <w:rsid w:val="00861D4D"/>
    <w:rsid w:val="00865883"/>
    <w:rsid w:val="008724E8"/>
    <w:rsid w:val="008848D6"/>
    <w:rsid w:val="00891DBC"/>
    <w:rsid w:val="00893CF7"/>
    <w:rsid w:val="008A276E"/>
    <w:rsid w:val="008A7F7F"/>
    <w:rsid w:val="008B17F8"/>
    <w:rsid w:val="008B7040"/>
    <w:rsid w:val="008C0BDA"/>
    <w:rsid w:val="008C59B3"/>
    <w:rsid w:val="008D0795"/>
    <w:rsid w:val="008D6046"/>
    <w:rsid w:val="008E0608"/>
    <w:rsid w:val="008E45C4"/>
    <w:rsid w:val="008E637D"/>
    <w:rsid w:val="008E67E2"/>
    <w:rsid w:val="008E7B17"/>
    <w:rsid w:val="008F5AC1"/>
    <w:rsid w:val="00901988"/>
    <w:rsid w:val="00901FAF"/>
    <w:rsid w:val="00903DD3"/>
    <w:rsid w:val="0091521C"/>
    <w:rsid w:val="009228F6"/>
    <w:rsid w:val="0093042E"/>
    <w:rsid w:val="00932AC5"/>
    <w:rsid w:val="00937B84"/>
    <w:rsid w:val="0094082E"/>
    <w:rsid w:val="009413D0"/>
    <w:rsid w:val="0094478A"/>
    <w:rsid w:val="009451EB"/>
    <w:rsid w:val="00946055"/>
    <w:rsid w:val="00947D05"/>
    <w:rsid w:val="00952103"/>
    <w:rsid w:val="00956814"/>
    <w:rsid w:val="00962D93"/>
    <w:rsid w:val="009710F0"/>
    <w:rsid w:val="00971166"/>
    <w:rsid w:val="009765C3"/>
    <w:rsid w:val="00976EF0"/>
    <w:rsid w:val="00977192"/>
    <w:rsid w:val="009879DB"/>
    <w:rsid w:val="009923DF"/>
    <w:rsid w:val="00994713"/>
    <w:rsid w:val="009C1A6C"/>
    <w:rsid w:val="009C5891"/>
    <w:rsid w:val="009D01B7"/>
    <w:rsid w:val="009D48D4"/>
    <w:rsid w:val="009E06D0"/>
    <w:rsid w:val="009E19DB"/>
    <w:rsid w:val="009E51DF"/>
    <w:rsid w:val="009E6812"/>
    <w:rsid w:val="009F276E"/>
    <w:rsid w:val="00A01322"/>
    <w:rsid w:val="00A11A91"/>
    <w:rsid w:val="00A1252F"/>
    <w:rsid w:val="00A15A7E"/>
    <w:rsid w:val="00A245E8"/>
    <w:rsid w:val="00A27D17"/>
    <w:rsid w:val="00A40BA1"/>
    <w:rsid w:val="00A47877"/>
    <w:rsid w:val="00A61992"/>
    <w:rsid w:val="00A62857"/>
    <w:rsid w:val="00A73172"/>
    <w:rsid w:val="00A7607F"/>
    <w:rsid w:val="00A77C6D"/>
    <w:rsid w:val="00A93DDB"/>
    <w:rsid w:val="00A95153"/>
    <w:rsid w:val="00AA0218"/>
    <w:rsid w:val="00AA3979"/>
    <w:rsid w:val="00AA5AEE"/>
    <w:rsid w:val="00AA6C15"/>
    <w:rsid w:val="00AA7D35"/>
    <w:rsid w:val="00AB477E"/>
    <w:rsid w:val="00AB4870"/>
    <w:rsid w:val="00AB5E38"/>
    <w:rsid w:val="00AD5A73"/>
    <w:rsid w:val="00AE0696"/>
    <w:rsid w:val="00AE37D0"/>
    <w:rsid w:val="00AE4E22"/>
    <w:rsid w:val="00AF0091"/>
    <w:rsid w:val="00AF64DA"/>
    <w:rsid w:val="00B020DC"/>
    <w:rsid w:val="00B030BB"/>
    <w:rsid w:val="00B2107D"/>
    <w:rsid w:val="00B23607"/>
    <w:rsid w:val="00B35F69"/>
    <w:rsid w:val="00B36485"/>
    <w:rsid w:val="00B367C4"/>
    <w:rsid w:val="00B452E5"/>
    <w:rsid w:val="00B47C7C"/>
    <w:rsid w:val="00B55E63"/>
    <w:rsid w:val="00B657F5"/>
    <w:rsid w:val="00B71B4A"/>
    <w:rsid w:val="00B72BC2"/>
    <w:rsid w:val="00B74051"/>
    <w:rsid w:val="00B7736D"/>
    <w:rsid w:val="00B87AE0"/>
    <w:rsid w:val="00B92488"/>
    <w:rsid w:val="00B94E82"/>
    <w:rsid w:val="00B9788A"/>
    <w:rsid w:val="00BA0596"/>
    <w:rsid w:val="00BA57C5"/>
    <w:rsid w:val="00BA5984"/>
    <w:rsid w:val="00BB000F"/>
    <w:rsid w:val="00BB003A"/>
    <w:rsid w:val="00BB1AFA"/>
    <w:rsid w:val="00BB42D0"/>
    <w:rsid w:val="00BB52C1"/>
    <w:rsid w:val="00BC4794"/>
    <w:rsid w:val="00BC6E8A"/>
    <w:rsid w:val="00BD2422"/>
    <w:rsid w:val="00BE02CA"/>
    <w:rsid w:val="00BE0511"/>
    <w:rsid w:val="00BF58F6"/>
    <w:rsid w:val="00C10188"/>
    <w:rsid w:val="00C109CF"/>
    <w:rsid w:val="00C10E2A"/>
    <w:rsid w:val="00C15D73"/>
    <w:rsid w:val="00C22C69"/>
    <w:rsid w:val="00C411FF"/>
    <w:rsid w:val="00C424B3"/>
    <w:rsid w:val="00C45BF0"/>
    <w:rsid w:val="00C537AD"/>
    <w:rsid w:val="00C57835"/>
    <w:rsid w:val="00C6379E"/>
    <w:rsid w:val="00C65529"/>
    <w:rsid w:val="00CA1D4A"/>
    <w:rsid w:val="00CB0DC3"/>
    <w:rsid w:val="00CB769B"/>
    <w:rsid w:val="00CB78C5"/>
    <w:rsid w:val="00CC7A8E"/>
    <w:rsid w:val="00CD78BD"/>
    <w:rsid w:val="00CE1BA3"/>
    <w:rsid w:val="00CE27D9"/>
    <w:rsid w:val="00CE4F0A"/>
    <w:rsid w:val="00CE5753"/>
    <w:rsid w:val="00CE7DE2"/>
    <w:rsid w:val="00CF1E57"/>
    <w:rsid w:val="00CF21DA"/>
    <w:rsid w:val="00D03173"/>
    <w:rsid w:val="00D04E7D"/>
    <w:rsid w:val="00D107FF"/>
    <w:rsid w:val="00D11313"/>
    <w:rsid w:val="00D1384D"/>
    <w:rsid w:val="00D243BE"/>
    <w:rsid w:val="00D26EE7"/>
    <w:rsid w:val="00D32581"/>
    <w:rsid w:val="00D32867"/>
    <w:rsid w:val="00D35C8C"/>
    <w:rsid w:val="00D42F49"/>
    <w:rsid w:val="00D4726C"/>
    <w:rsid w:val="00D51929"/>
    <w:rsid w:val="00D55734"/>
    <w:rsid w:val="00D6531A"/>
    <w:rsid w:val="00D772B9"/>
    <w:rsid w:val="00D8438B"/>
    <w:rsid w:val="00D87E63"/>
    <w:rsid w:val="00D93314"/>
    <w:rsid w:val="00D93AF1"/>
    <w:rsid w:val="00D94944"/>
    <w:rsid w:val="00DA1603"/>
    <w:rsid w:val="00DA4E1F"/>
    <w:rsid w:val="00DB5C14"/>
    <w:rsid w:val="00DB77E8"/>
    <w:rsid w:val="00DC310F"/>
    <w:rsid w:val="00DC5611"/>
    <w:rsid w:val="00DC63F4"/>
    <w:rsid w:val="00DC75B8"/>
    <w:rsid w:val="00DD116F"/>
    <w:rsid w:val="00DD741A"/>
    <w:rsid w:val="00DE20B5"/>
    <w:rsid w:val="00DE42AC"/>
    <w:rsid w:val="00DF2F38"/>
    <w:rsid w:val="00DF57DB"/>
    <w:rsid w:val="00E00041"/>
    <w:rsid w:val="00E016A2"/>
    <w:rsid w:val="00E01B62"/>
    <w:rsid w:val="00E03149"/>
    <w:rsid w:val="00E05C36"/>
    <w:rsid w:val="00E16C24"/>
    <w:rsid w:val="00E2313C"/>
    <w:rsid w:val="00E32869"/>
    <w:rsid w:val="00E41615"/>
    <w:rsid w:val="00E44F4A"/>
    <w:rsid w:val="00E460AF"/>
    <w:rsid w:val="00E5541A"/>
    <w:rsid w:val="00E665C3"/>
    <w:rsid w:val="00E674B0"/>
    <w:rsid w:val="00E676E6"/>
    <w:rsid w:val="00E74BC5"/>
    <w:rsid w:val="00E8222F"/>
    <w:rsid w:val="00E823A1"/>
    <w:rsid w:val="00E83B72"/>
    <w:rsid w:val="00E957DA"/>
    <w:rsid w:val="00EA66F7"/>
    <w:rsid w:val="00EA785F"/>
    <w:rsid w:val="00EB3409"/>
    <w:rsid w:val="00EC0B4E"/>
    <w:rsid w:val="00EC5518"/>
    <w:rsid w:val="00EC6D9F"/>
    <w:rsid w:val="00EC72AB"/>
    <w:rsid w:val="00ED33D9"/>
    <w:rsid w:val="00ED5326"/>
    <w:rsid w:val="00EE1567"/>
    <w:rsid w:val="00EE4276"/>
    <w:rsid w:val="00EE63C2"/>
    <w:rsid w:val="00EF35E8"/>
    <w:rsid w:val="00EF3CA0"/>
    <w:rsid w:val="00F033E9"/>
    <w:rsid w:val="00F034A2"/>
    <w:rsid w:val="00F043F3"/>
    <w:rsid w:val="00F20A71"/>
    <w:rsid w:val="00F20BAC"/>
    <w:rsid w:val="00F23CB6"/>
    <w:rsid w:val="00F304AC"/>
    <w:rsid w:val="00F318A3"/>
    <w:rsid w:val="00F318F1"/>
    <w:rsid w:val="00F3614D"/>
    <w:rsid w:val="00F44D68"/>
    <w:rsid w:val="00F45B98"/>
    <w:rsid w:val="00F57D34"/>
    <w:rsid w:val="00F60430"/>
    <w:rsid w:val="00F63796"/>
    <w:rsid w:val="00F73C49"/>
    <w:rsid w:val="00F80974"/>
    <w:rsid w:val="00F90AE7"/>
    <w:rsid w:val="00F965D3"/>
    <w:rsid w:val="00FC122D"/>
    <w:rsid w:val="00FC5193"/>
    <w:rsid w:val="00FD018C"/>
    <w:rsid w:val="00FD4F97"/>
    <w:rsid w:val="00FE0E78"/>
    <w:rsid w:val="00FE1F73"/>
    <w:rsid w:val="00FE23E8"/>
    <w:rsid w:val="00FF51EC"/>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7C3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6560">
      <w:bodyDiv w:val="1"/>
      <w:marLeft w:val="0"/>
      <w:marRight w:val="0"/>
      <w:marTop w:val="0"/>
      <w:marBottom w:val="0"/>
      <w:divBdr>
        <w:top w:val="none" w:sz="0" w:space="0" w:color="auto"/>
        <w:left w:val="none" w:sz="0" w:space="0" w:color="auto"/>
        <w:bottom w:val="none" w:sz="0" w:space="0" w:color="auto"/>
        <w:right w:val="none" w:sz="0" w:space="0" w:color="auto"/>
      </w:divBdr>
    </w:div>
    <w:div w:id="46879820">
      <w:bodyDiv w:val="1"/>
      <w:marLeft w:val="0"/>
      <w:marRight w:val="0"/>
      <w:marTop w:val="0"/>
      <w:marBottom w:val="0"/>
      <w:divBdr>
        <w:top w:val="none" w:sz="0" w:space="0" w:color="auto"/>
        <w:left w:val="none" w:sz="0" w:space="0" w:color="auto"/>
        <w:bottom w:val="none" w:sz="0" w:space="0" w:color="auto"/>
        <w:right w:val="none" w:sz="0" w:space="0" w:color="auto"/>
      </w:divBdr>
    </w:div>
    <w:div w:id="52389072">
      <w:bodyDiv w:val="1"/>
      <w:marLeft w:val="0"/>
      <w:marRight w:val="0"/>
      <w:marTop w:val="0"/>
      <w:marBottom w:val="0"/>
      <w:divBdr>
        <w:top w:val="none" w:sz="0" w:space="0" w:color="auto"/>
        <w:left w:val="none" w:sz="0" w:space="0" w:color="auto"/>
        <w:bottom w:val="none" w:sz="0" w:space="0" w:color="auto"/>
        <w:right w:val="none" w:sz="0" w:space="0" w:color="auto"/>
      </w:divBdr>
    </w:div>
    <w:div w:id="132413185">
      <w:bodyDiv w:val="1"/>
      <w:marLeft w:val="0"/>
      <w:marRight w:val="0"/>
      <w:marTop w:val="0"/>
      <w:marBottom w:val="0"/>
      <w:divBdr>
        <w:top w:val="none" w:sz="0" w:space="0" w:color="auto"/>
        <w:left w:val="none" w:sz="0" w:space="0" w:color="auto"/>
        <w:bottom w:val="none" w:sz="0" w:space="0" w:color="auto"/>
        <w:right w:val="none" w:sz="0" w:space="0" w:color="auto"/>
      </w:divBdr>
    </w:div>
    <w:div w:id="137039066">
      <w:bodyDiv w:val="1"/>
      <w:marLeft w:val="0"/>
      <w:marRight w:val="0"/>
      <w:marTop w:val="0"/>
      <w:marBottom w:val="0"/>
      <w:divBdr>
        <w:top w:val="none" w:sz="0" w:space="0" w:color="auto"/>
        <w:left w:val="none" w:sz="0" w:space="0" w:color="auto"/>
        <w:bottom w:val="none" w:sz="0" w:space="0" w:color="auto"/>
        <w:right w:val="none" w:sz="0" w:space="0" w:color="auto"/>
      </w:divBdr>
    </w:div>
    <w:div w:id="140512122">
      <w:bodyDiv w:val="1"/>
      <w:marLeft w:val="0"/>
      <w:marRight w:val="0"/>
      <w:marTop w:val="0"/>
      <w:marBottom w:val="0"/>
      <w:divBdr>
        <w:top w:val="none" w:sz="0" w:space="0" w:color="auto"/>
        <w:left w:val="none" w:sz="0" w:space="0" w:color="auto"/>
        <w:bottom w:val="none" w:sz="0" w:space="0" w:color="auto"/>
        <w:right w:val="none" w:sz="0" w:space="0" w:color="auto"/>
      </w:divBdr>
    </w:div>
    <w:div w:id="155921602">
      <w:bodyDiv w:val="1"/>
      <w:marLeft w:val="0"/>
      <w:marRight w:val="0"/>
      <w:marTop w:val="0"/>
      <w:marBottom w:val="0"/>
      <w:divBdr>
        <w:top w:val="none" w:sz="0" w:space="0" w:color="auto"/>
        <w:left w:val="none" w:sz="0" w:space="0" w:color="auto"/>
        <w:bottom w:val="none" w:sz="0" w:space="0" w:color="auto"/>
        <w:right w:val="none" w:sz="0" w:space="0" w:color="auto"/>
      </w:divBdr>
    </w:div>
    <w:div w:id="214513997">
      <w:bodyDiv w:val="1"/>
      <w:marLeft w:val="0"/>
      <w:marRight w:val="0"/>
      <w:marTop w:val="0"/>
      <w:marBottom w:val="0"/>
      <w:divBdr>
        <w:top w:val="none" w:sz="0" w:space="0" w:color="auto"/>
        <w:left w:val="none" w:sz="0" w:space="0" w:color="auto"/>
        <w:bottom w:val="none" w:sz="0" w:space="0" w:color="auto"/>
        <w:right w:val="none" w:sz="0" w:space="0" w:color="auto"/>
      </w:divBdr>
    </w:div>
    <w:div w:id="244072245">
      <w:bodyDiv w:val="1"/>
      <w:marLeft w:val="0"/>
      <w:marRight w:val="0"/>
      <w:marTop w:val="0"/>
      <w:marBottom w:val="0"/>
      <w:divBdr>
        <w:top w:val="none" w:sz="0" w:space="0" w:color="auto"/>
        <w:left w:val="none" w:sz="0" w:space="0" w:color="auto"/>
        <w:bottom w:val="none" w:sz="0" w:space="0" w:color="auto"/>
        <w:right w:val="none" w:sz="0" w:space="0" w:color="auto"/>
      </w:divBdr>
    </w:div>
    <w:div w:id="331377973">
      <w:bodyDiv w:val="1"/>
      <w:marLeft w:val="0"/>
      <w:marRight w:val="0"/>
      <w:marTop w:val="0"/>
      <w:marBottom w:val="0"/>
      <w:divBdr>
        <w:top w:val="none" w:sz="0" w:space="0" w:color="auto"/>
        <w:left w:val="none" w:sz="0" w:space="0" w:color="auto"/>
        <w:bottom w:val="none" w:sz="0" w:space="0" w:color="auto"/>
        <w:right w:val="none" w:sz="0" w:space="0" w:color="auto"/>
      </w:divBdr>
    </w:div>
    <w:div w:id="333529086">
      <w:bodyDiv w:val="1"/>
      <w:marLeft w:val="0"/>
      <w:marRight w:val="0"/>
      <w:marTop w:val="0"/>
      <w:marBottom w:val="0"/>
      <w:divBdr>
        <w:top w:val="none" w:sz="0" w:space="0" w:color="auto"/>
        <w:left w:val="none" w:sz="0" w:space="0" w:color="auto"/>
        <w:bottom w:val="none" w:sz="0" w:space="0" w:color="auto"/>
        <w:right w:val="none" w:sz="0" w:space="0" w:color="auto"/>
      </w:divBdr>
    </w:div>
    <w:div w:id="362874544">
      <w:bodyDiv w:val="1"/>
      <w:marLeft w:val="0"/>
      <w:marRight w:val="0"/>
      <w:marTop w:val="0"/>
      <w:marBottom w:val="0"/>
      <w:divBdr>
        <w:top w:val="none" w:sz="0" w:space="0" w:color="auto"/>
        <w:left w:val="none" w:sz="0" w:space="0" w:color="auto"/>
        <w:bottom w:val="none" w:sz="0" w:space="0" w:color="auto"/>
        <w:right w:val="none" w:sz="0" w:space="0" w:color="auto"/>
      </w:divBdr>
    </w:div>
    <w:div w:id="442379047">
      <w:bodyDiv w:val="1"/>
      <w:marLeft w:val="0"/>
      <w:marRight w:val="0"/>
      <w:marTop w:val="0"/>
      <w:marBottom w:val="0"/>
      <w:divBdr>
        <w:top w:val="none" w:sz="0" w:space="0" w:color="auto"/>
        <w:left w:val="none" w:sz="0" w:space="0" w:color="auto"/>
        <w:bottom w:val="none" w:sz="0" w:space="0" w:color="auto"/>
        <w:right w:val="none" w:sz="0" w:space="0" w:color="auto"/>
      </w:divBdr>
    </w:div>
    <w:div w:id="551771822">
      <w:bodyDiv w:val="1"/>
      <w:marLeft w:val="0"/>
      <w:marRight w:val="0"/>
      <w:marTop w:val="0"/>
      <w:marBottom w:val="0"/>
      <w:divBdr>
        <w:top w:val="none" w:sz="0" w:space="0" w:color="auto"/>
        <w:left w:val="none" w:sz="0" w:space="0" w:color="auto"/>
        <w:bottom w:val="none" w:sz="0" w:space="0" w:color="auto"/>
        <w:right w:val="none" w:sz="0" w:space="0" w:color="auto"/>
      </w:divBdr>
    </w:div>
    <w:div w:id="607081187">
      <w:bodyDiv w:val="1"/>
      <w:marLeft w:val="0"/>
      <w:marRight w:val="0"/>
      <w:marTop w:val="0"/>
      <w:marBottom w:val="0"/>
      <w:divBdr>
        <w:top w:val="none" w:sz="0" w:space="0" w:color="auto"/>
        <w:left w:val="none" w:sz="0" w:space="0" w:color="auto"/>
        <w:bottom w:val="none" w:sz="0" w:space="0" w:color="auto"/>
        <w:right w:val="none" w:sz="0" w:space="0" w:color="auto"/>
      </w:divBdr>
    </w:div>
    <w:div w:id="781001596">
      <w:bodyDiv w:val="1"/>
      <w:marLeft w:val="0"/>
      <w:marRight w:val="0"/>
      <w:marTop w:val="0"/>
      <w:marBottom w:val="0"/>
      <w:divBdr>
        <w:top w:val="none" w:sz="0" w:space="0" w:color="auto"/>
        <w:left w:val="none" w:sz="0" w:space="0" w:color="auto"/>
        <w:bottom w:val="none" w:sz="0" w:space="0" w:color="auto"/>
        <w:right w:val="none" w:sz="0" w:space="0" w:color="auto"/>
      </w:divBdr>
    </w:div>
    <w:div w:id="803432070">
      <w:bodyDiv w:val="1"/>
      <w:marLeft w:val="0"/>
      <w:marRight w:val="0"/>
      <w:marTop w:val="0"/>
      <w:marBottom w:val="0"/>
      <w:divBdr>
        <w:top w:val="none" w:sz="0" w:space="0" w:color="auto"/>
        <w:left w:val="none" w:sz="0" w:space="0" w:color="auto"/>
        <w:bottom w:val="none" w:sz="0" w:space="0" w:color="auto"/>
        <w:right w:val="none" w:sz="0" w:space="0" w:color="auto"/>
      </w:divBdr>
    </w:div>
    <w:div w:id="804198546">
      <w:bodyDiv w:val="1"/>
      <w:marLeft w:val="0"/>
      <w:marRight w:val="0"/>
      <w:marTop w:val="0"/>
      <w:marBottom w:val="0"/>
      <w:divBdr>
        <w:top w:val="none" w:sz="0" w:space="0" w:color="auto"/>
        <w:left w:val="none" w:sz="0" w:space="0" w:color="auto"/>
        <w:bottom w:val="none" w:sz="0" w:space="0" w:color="auto"/>
        <w:right w:val="none" w:sz="0" w:space="0" w:color="auto"/>
      </w:divBdr>
    </w:div>
    <w:div w:id="832377909">
      <w:bodyDiv w:val="1"/>
      <w:marLeft w:val="0"/>
      <w:marRight w:val="0"/>
      <w:marTop w:val="0"/>
      <w:marBottom w:val="0"/>
      <w:divBdr>
        <w:top w:val="none" w:sz="0" w:space="0" w:color="auto"/>
        <w:left w:val="none" w:sz="0" w:space="0" w:color="auto"/>
        <w:bottom w:val="none" w:sz="0" w:space="0" w:color="auto"/>
        <w:right w:val="none" w:sz="0" w:space="0" w:color="auto"/>
      </w:divBdr>
    </w:div>
    <w:div w:id="853155511">
      <w:bodyDiv w:val="1"/>
      <w:marLeft w:val="0"/>
      <w:marRight w:val="0"/>
      <w:marTop w:val="0"/>
      <w:marBottom w:val="0"/>
      <w:divBdr>
        <w:top w:val="none" w:sz="0" w:space="0" w:color="auto"/>
        <w:left w:val="none" w:sz="0" w:space="0" w:color="auto"/>
        <w:bottom w:val="none" w:sz="0" w:space="0" w:color="auto"/>
        <w:right w:val="none" w:sz="0" w:space="0" w:color="auto"/>
      </w:divBdr>
    </w:div>
    <w:div w:id="895359445">
      <w:bodyDiv w:val="1"/>
      <w:marLeft w:val="0"/>
      <w:marRight w:val="0"/>
      <w:marTop w:val="0"/>
      <w:marBottom w:val="0"/>
      <w:divBdr>
        <w:top w:val="none" w:sz="0" w:space="0" w:color="auto"/>
        <w:left w:val="none" w:sz="0" w:space="0" w:color="auto"/>
        <w:bottom w:val="none" w:sz="0" w:space="0" w:color="auto"/>
        <w:right w:val="none" w:sz="0" w:space="0" w:color="auto"/>
      </w:divBdr>
    </w:div>
    <w:div w:id="965349394">
      <w:bodyDiv w:val="1"/>
      <w:marLeft w:val="0"/>
      <w:marRight w:val="0"/>
      <w:marTop w:val="0"/>
      <w:marBottom w:val="0"/>
      <w:divBdr>
        <w:top w:val="none" w:sz="0" w:space="0" w:color="auto"/>
        <w:left w:val="none" w:sz="0" w:space="0" w:color="auto"/>
        <w:bottom w:val="none" w:sz="0" w:space="0" w:color="auto"/>
        <w:right w:val="none" w:sz="0" w:space="0" w:color="auto"/>
      </w:divBdr>
    </w:div>
    <w:div w:id="966205287">
      <w:bodyDiv w:val="1"/>
      <w:marLeft w:val="0"/>
      <w:marRight w:val="0"/>
      <w:marTop w:val="0"/>
      <w:marBottom w:val="0"/>
      <w:divBdr>
        <w:top w:val="none" w:sz="0" w:space="0" w:color="auto"/>
        <w:left w:val="none" w:sz="0" w:space="0" w:color="auto"/>
        <w:bottom w:val="none" w:sz="0" w:space="0" w:color="auto"/>
        <w:right w:val="none" w:sz="0" w:space="0" w:color="auto"/>
      </w:divBdr>
    </w:div>
    <w:div w:id="997001877">
      <w:bodyDiv w:val="1"/>
      <w:marLeft w:val="0"/>
      <w:marRight w:val="0"/>
      <w:marTop w:val="0"/>
      <w:marBottom w:val="0"/>
      <w:divBdr>
        <w:top w:val="none" w:sz="0" w:space="0" w:color="auto"/>
        <w:left w:val="none" w:sz="0" w:space="0" w:color="auto"/>
        <w:bottom w:val="none" w:sz="0" w:space="0" w:color="auto"/>
        <w:right w:val="none" w:sz="0" w:space="0" w:color="auto"/>
      </w:divBdr>
    </w:div>
    <w:div w:id="1005867648">
      <w:bodyDiv w:val="1"/>
      <w:marLeft w:val="0"/>
      <w:marRight w:val="0"/>
      <w:marTop w:val="0"/>
      <w:marBottom w:val="0"/>
      <w:divBdr>
        <w:top w:val="none" w:sz="0" w:space="0" w:color="auto"/>
        <w:left w:val="none" w:sz="0" w:space="0" w:color="auto"/>
        <w:bottom w:val="none" w:sz="0" w:space="0" w:color="auto"/>
        <w:right w:val="none" w:sz="0" w:space="0" w:color="auto"/>
      </w:divBdr>
    </w:div>
    <w:div w:id="1061906640">
      <w:bodyDiv w:val="1"/>
      <w:marLeft w:val="0"/>
      <w:marRight w:val="0"/>
      <w:marTop w:val="0"/>
      <w:marBottom w:val="0"/>
      <w:divBdr>
        <w:top w:val="none" w:sz="0" w:space="0" w:color="auto"/>
        <w:left w:val="none" w:sz="0" w:space="0" w:color="auto"/>
        <w:bottom w:val="none" w:sz="0" w:space="0" w:color="auto"/>
        <w:right w:val="none" w:sz="0" w:space="0" w:color="auto"/>
      </w:divBdr>
    </w:div>
    <w:div w:id="1086616191">
      <w:bodyDiv w:val="1"/>
      <w:marLeft w:val="0"/>
      <w:marRight w:val="0"/>
      <w:marTop w:val="0"/>
      <w:marBottom w:val="0"/>
      <w:divBdr>
        <w:top w:val="none" w:sz="0" w:space="0" w:color="auto"/>
        <w:left w:val="none" w:sz="0" w:space="0" w:color="auto"/>
        <w:bottom w:val="none" w:sz="0" w:space="0" w:color="auto"/>
        <w:right w:val="none" w:sz="0" w:space="0" w:color="auto"/>
      </w:divBdr>
    </w:div>
    <w:div w:id="1100220142">
      <w:bodyDiv w:val="1"/>
      <w:marLeft w:val="0"/>
      <w:marRight w:val="0"/>
      <w:marTop w:val="0"/>
      <w:marBottom w:val="0"/>
      <w:divBdr>
        <w:top w:val="none" w:sz="0" w:space="0" w:color="auto"/>
        <w:left w:val="none" w:sz="0" w:space="0" w:color="auto"/>
        <w:bottom w:val="none" w:sz="0" w:space="0" w:color="auto"/>
        <w:right w:val="none" w:sz="0" w:space="0" w:color="auto"/>
      </w:divBdr>
    </w:div>
    <w:div w:id="1105033963">
      <w:bodyDiv w:val="1"/>
      <w:marLeft w:val="0"/>
      <w:marRight w:val="0"/>
      <w:marTop w:val="0"/>
      <w:marBottom w:val="0"/>
      <w:divBdr>
        <w:top w:val="none" w:sz="0" w:space="0" w:color="auto"/>
        <w:left w:val="none" w:sz="0" w:space="0" w:color="auto"/>
        <w:bottom w:val="none" w:sz="0" w:space="0" w:color="auto"/>
        <w:right w:val="none" w:sz="0" w:space="0" w:color="auto"/>
      </w:divBdr>
      <w:divsChild>
        <w:div w:id="2132433247">
          <w:marLeft w:val="0"/>
          <w:marRight w:val="0"/>
          <w:marTop w:val="450"/>
          <w:marBottom w:val="0"/>
          <w:divBdr>
            <w:top w:val="none" w:sz="0" w:space="0" w:color="auto"/>
            <w:left w:val="none" w:sz="0" w:space="0" w:color="auto"/>
            <w:bottom w:val="none" w:sz="0" w:space="0" w:color="auto"/>
            <w:right w:val="none" w:sz="0" w:space="0" w:color="auto"/>
          </w:divBdr>
          <w:divsChild>
            <w:div w:id="1838576841">
              <w:marLeft w:val="0"/>
              <w:marRight w:val="0"/>
              <w:marTop w:val="0"/>
              <w:marBottom w:val="0"/>
              <w:divBdr>
                <w:top w:val="none" w:sz="0" w:space="0" w:color="auto"/>
                <w:left w:val="none" w:sz="0" w:space="0" w:color="auto"/>
                <w:bottom w:val="none" w:sz="0" w:space="0" w:color="auto"/>
                <w:right w:val="none" w:sz="0" w:space="0" w:color="auto"/>
              </w:divBdr>
              <w:divsChild>
                <w:div w:id="2070496667">
                  <w:marLeft w:val="0"/>
                  <w:marRight w:val="0"/>
                  <w:marTop w:val="0"/>
                  <w:marBottom w:val="0"/>
                  <w:divBdr>
                    <w:top w:val="none" w:sz="0" w:space="0" w:color="auto"/>
                    <w:left w:val="none" w:sz="0" w:space="0" w:color="auto"/>
                    <w:bottom w:val="none" w:sz="0" w:space="0" w:color="auto"/>
                    <w:right w:val="none" w:sz="0" w:space="0" w:color="auto"/>
                  </w:divBdr>
                  <w:divsChild>
                    <w:div w:id="1500805070">
                      <w:marLeft w:val="0"/>
                      <w:marRight w:val="0"/>
                      <w:marTop w:val="225"/>
                      <w:marBottom w:val="225"/>
                      <w:divBdr>
                        <w:top w:val="none" w:sz="0" w:space="0" w:color="auto"/>
                        <w:left w:val="none" w:sz="0" w:space="0" w:color="auto"/>
                        <w:bottom w:val="none" w:sz="0" w:space="0" w:color="auto"/>
                        <w:right w:val="none" w:sz="0" w:space="0" w:color="auto"/>
                      </w:divBdr>
                    </w:div>
                    <w:div w:id="1019820984">
                      <w:marLeft w:val="0"/>
                      <w:marRight w:val="0"/>
                      <w:marTop w:val="225"/>
                      <w:marBottom w:val="0"/>
                      <w:divBdr>
                        <w:top w:val="none" w:sz="0" w:space="0" w:color="auto"/>
                        <w:left w:val="none" w:sz="0" w:space="0" w:color="auto"/>
                        <w:bottom w:val="none" w:sz="0" w:space="0" w:color="auto"/>
                        <w:right w:val="none" w:sz="0" w:space="0" w:color="auto"/>
                      </w:divBdr>
                    </w:div>
                    <w:div w:id="234827685">
                      <w:marLeft w:val="0"/>
                      <w:marRight w:val="0"/>
                      <w:marTop w:val="225"/>
                      <w:marBottom w:val="0"/>
                      <w:divBdr>
                        <w:top w:val="none" w:sz="0" w:space="0" w:color="auto"/>
                        <w:left w:val="none" w:sz="0" w:space="0" w:color="auto"/>
                        <w:bottom w:val="none" w:sz="0" w:space="0" w:color="auto"/>
                        <w:right w:val="none" w:sz="0" w:space="0" w:color="auto"/>
                      </w:divBdr>
                    </w:div>
                    <w:div w:id="1758359379">
                      <w:marLeft w:val="0"/>
                      <w:marRight w:val="0"/>
                      <w:marTop w:val="225"/>
                      <w:marBottom w:val="225"/>
                      <w:divBdr>
                        <w:top w:val="none" w:sz="0" w:space="0" w:color="auto"/>
                        <w:left w:val="none" w:sz="0" w:space="0" w:color="auto"/>
                        <w:bottom w:val="none" w:sz="0" w:space="0" w:color="auto"/>
                        <w:right w:val="none" w:sz="0" w:space="0" w:color="auto"/>
                      </w:divBdr>
                    </w:div>
                    <w:div w:id="1861385848">
                      <w:marLeft w:val="0"/>
                      <w:marRight w:val="0"/>
                      <w:marTop w:val="225"/>
                      <w:marBottom w:val="225"/>
                      <w:divBdr>
                        <w:top w:val="none" w:sz="0" w:space="0" w:color="auto"/>
                        <w:left w:val="none" w:sz="0" w:space="0" w:color="auto"/>
                        <w:bottom w:val="none" w:sz="0" w:space="0" w:color="auto"/>
                        <w:right w:val="none" w:sz="0" w:space="0" w:color="auto"/>
                      </w:divBdr>
                    </w:div>
                    <w:div w:id="2040273739">
                      <w:marLeft w:val="0"/>
                      <w:marRight w:val="0"/>
                      <w:marTop w:val="225"/>
                      <w:marBottom w:val="225"/>
                      <w:divBdr>
                        <w:top w:val="none" w:sz="0" w:space="0" w:color="auto"/>
                        <w:left w:val="none" w:sz="0" w:space="0" w:color="auto"/>
                        <w:bottom w:val="none" w:sz="0" w:space="0" w:color="auto"/>
                        <w:right w:val="none" w:sz="0" w:space="0" w:color="auto"/>
                      </w:divBdr>
                    </w:div>
                    <w:div w:id="300615233">
                      <w:marLeft w:val="0"/>
                      <w:marRight w:val="0"/>
                      <w:marTop w:val="225"/>
                      <w:marBottom w:val="225"/>
                      <w:divBdr>
                        <w:top w:val="none" w:sz="0" w:space="0" w:color="auto"/>
                        <w:left w:val="none" w:sz="0" w:space="0" w:color="auto"/>
                        <w:bottom w:val="none" w:sz="0" w:space="0" w:color="auto"/>
                        <w:right w:val="none" w:sz="0" w:space="0" w:color="auto"/>
                      </w:divBdr>
                    </w:div>
                    <w:div w:id="2051949779">
                      <w:marLeft w:val="0"/>
                      <w:marRight w:val="0"/>
                      <w:marTop w:val="225"/>
                      <w:marBottom w:val="225"/>
                      <w:divBdr>
                        <w:top w:val="none" w:sz="0" w:space="0" w:color="auto"/>
                        <w:left w:val="none" w:sz="0" w:space="0" w:color="auto"/>
                        <w:bottom w:val="none" w:sz="0" w:space="0" w:color="auto"/>
                        <w:right w:val="none" w:sz="0" w:space="0" w:color="auto"/>
                      </w:divBdr>
                    </w:div>
                    <w:div w:id="1607344610">
                      <w:marLeft w:val="0"/>
                      <w:marRight w:val="0"/>
                      <w:marTop w:val="225"/>
                      <w:marBottom w:val="225"/>
                      <w:divBdr>
                        <w:top w:val="none" w:sz="0" w:space="0" w:color="auto"/>
                        <w:left w:val="none" w:sz="0" w:space="0" w:color="auto"/>
                        <w:bottom w:val="none" w:sz="0" w:space="0" w:color="auto"/>
                        <w:right w:val="none" w:sz="0" w:space="0" w:color="auto"/>
                      </w:divBdr>
                    </w:div>
                    <w:div w:id="168598307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17784495">
          <w:marLeft w:val="0"/>
          <w:marRight w:val="0"/>
          <w:marTop w:val="0"/>
          <w:marBottom w:val="0"/>
          <w:divBdr>
            <w:top w:val="none" w:sz="0" w:space="0" w:color="auto"/>
            <w:left w:val="none" w:sz="0" w:space="0" w:color="auto"/>
            <w:bottom w:val="none" w:sz="0" w:space="0" w:color="auto"/>
            <w:right w:val="none" w:sz="0" w:space="0" w:color="auto"/>
          </w:divBdr>
          <w:divsChild>
            <w:div w:id="1931427945">
              <w:marLeft w:val="0"/>
              <w:marRight w:val="0"/>
              <w:marTop w:val="0"/>
              <w:marBottom w:val="0"/>
              <w:divBdr>
                <w:top w:val="none" w:sz="0" w:space="0" w:color="auto"/>
                <w:left w:val="none" w:sz="0" w:space="0" w:color="auto"/>
                <w:bottom w:val="none" w:sz="0" w:space="0" w:color="auto"/>
                <w:right w:val="none" w:sz="0" w:space="0" w:color="auto"/>
              </w:divBdr>
              <w:divsChild>
                <w:div w:id="1037123361">
                  <w:marLeft w:val="0"/>
                  <w:marRight w:val="0"/>
                  <w:marTop w:val="0"/>
                  <w:marBottom w:val="0"/>
                  <w:divBdr>
                    <w:top w:val="none" w:sz="0" w:space="0" w:color="auto"/>
                    <w:left w:val="none" w:sz="0" w:space="0" w:color="auto"/>
                    <w:bottom w:val="none" w:sz="0" w:space="0" w:color="auto"/>
                    <w:right w:val="none" w:sz="0" w:space="0" w:color="auto"/>
                  </w:divBdr>
                  <w:divsChild>
                    <w:div w:id="85885642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06679752">
          <w:marLeft w:val="0"/>
          <w:marRight w:val="0"/>
          <w:marTop w:val="0"/>
          <w:marBottom w:val="0"/>
          <w:divBdr>
            <w:top w:val="none" w:sz="0" w:space="0" w:color="auto"/>
            <w:left w:val="none" w:sz="0" w:space="0" w:color="auto"/>
            <w:bottom w:val="none" w:sz="0" w:space="0" w:color="auto"/>
            <w:right w:val="none" w:sz="0" w:space="0" w:color="auto"/>
          </w:divBdr>
          <w:divsChild>
            <w:div w:id="665674804">
              <w:marLeft w:val="0"/>
              <w:marRight w:val="0"/>
              <w:marTop w:val="0"/>
              <w:marBottom w:val="0"/>
              <w:divBdr>
                <w:top w:val="none" w:sz="0" w:space="0" w:color="auto"/>
                <w:left w:val="none" w:sz="0" w:space="0" w:color="auto"/>
                <w:bottom w:val="none" w:sz="0" w:space="0" w:color="auto"/>
                <w:right w:val="none" w:sz="0" w:space="0" w:color="auto"/>
              </w:divBdr>
              <w:divsChild>
                <w:div w:id="1585070776">
                  <w:marLeft w:val="0"/>
                  <w:marRight w:val="0"/>
                  <w:marTop w:val="0"/>
                  <w:marBottom w:val="0"/>
                  <w:divBdr>
                    <w:top w:val="none" w:sz="0" w:space="0" w:color="auto"/>
                    <w:left w:val="none" w:sz="0" w:space="0" w:color="auto"/>
                    <w:bottom w:val="none" w:sz="0" w:space="0" w:color="auto"/>
                    <w:right w:val="none" w:sz="0" w:space="0" w:color="auto"/>
                  </w:divBdr>
                  <w:divsChild>
                    <w:div w:id="16544844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59669710">
          <w:marLeft w:val="0"/>
          <w:marRight w:val="0"/>
          <w:marTop w:val="0"/>
          <w:marBottom w:val="0"/>
          <w:divBdr>
            <w:top w:val="none" w:sz="0" w:space="0" w:color="auto"/>
            <w:left w:val="none" w:sz="0" w:space="0" w:color="auto"/>
            <w:bottom w:val="none" w:sz="0" w:space="0" w:color="auto"/>
            <w:right w:val="none" w:sz="0" w:space="0" w:color="auto"/>
          </w:divBdr>
          <w:divsChild>
            <w:div w:id="1524980801">
              <w:marLeft w:val="0"/>
              <w:marRight w:val="0"/>
              <w:marTop w:val="0"/>
              <w:marBottom w:val="0"/>
              <w:divBdr>
                <w:top w:val="none" w:sz="0" w:space="0" w:color="auto"/>
                <w:left w:val="none" w:sz="0" w:space="0" w:color="auto"/>
                <w:bottom w:val="none" w:sz="0" w:space="0" w:color="auto"/>
                <w:right w:val="none" w:sz="0" w:space="0" w:color="auto"/>
              </w:divBdr>
              <w:divsChild>
                <w:div w:id="546725263">
                  <w:marLeft w:val="0"/>
                  <w:marRight w:val="0"/>
                  <w:marTop w:val="0"/>
                  <w:marBottom w:val="0"/>
                  <w:divBdr>
                    <w:top w:val="none" w:sz="0" w:space="0" w:color="auto"/>
                    <w:left w:val="none" w:sz="0" w:space="0" w:color="auto"/>
                    <w:bottom w:val="none" w:sz="0" w:space="0" w:color="auto"/>
                    <w:right w:val="none" w:sz="0" w:space="0" w:color="auto"/>
                  </w:divBdr>
                  <w:divsChild>
                    <w:div w:id="459764915">
                      <w:marLeft w:val="0"/>
                      <w:marRight w:val="0"/>
                      <w:marTop w:val="225"/>
                      <w:marBottom w:val="225"/>
                      <w:divBdr>
                        <w:top w:val="none" w:sz="0" w:space="0" w:color="auto"/>
                        <w:left w:val="none" w:sz="0" w:space="0" w:color="auto"/>
                        <w:bottom w:val="none" w:sz="0" w:space="0" w:color="auto"/>
                        <w:right w:val="none" w:sz="0" w:space="0" w:color="auto"/>
                      </w:divBdr>
                    </w:div>
                    <w:div w:id="746267379">
                      <w:marLeft w:val="0"/>
                      <w:marRight w:val="0"/>
                      <w:marTop w:val="225"/>
                      <w:marBottom w:val="225"/>
                      <w:divBdr>
                        <w:top w:val="none" w:sz="0" w:space="0" w:color="auto"/>
                        <w:left w:val="none" w:sz="0" w:space="0" w:color="auto"/>
                        <w:bottom w:val="none" w:sz="0" w:space="0" w:color="auto"/>
                        <w:right w:val="none" w:sz="0" w:space="0" w:color="auto"/>
                      </w:divBdr>
                    </w:div>
                    <w:div w:id="170937903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64228443">
          <w:marLeft w:val="0"/>
          <w:marRight w:val="0"/>
          <w:marTop w:val="0"/>
          <w:marBottom w:val="0"/>
          <w:divBdr>
            <w:top w:val="none" w:sz="0" w:space="0" w:color="auto"/>
            <w:left w:val="none" w:sz="0" w:space="0" w:color="auto"/>
            <w:bottom w:val="none" w:sz="0" w:space="0" w:color="auto"/>
            <w:right w:val="none" w:sz="0" w:space="0" w:color="auto"/>
          </w:divBdr>
          <w:divsChild>
            <w:div w:id="963996270">
              <w:marLeft w:val="0"/>
              <w:marRight w:val="0"/>
              <w:marTop w:val="0"/>
              <w:marBottom w:val="0"/>
              <w:divBdr>
                <w:top w:val="none" w:sz="0" w:space="0" w:color="auto"/>
                <w:left w:val="none" w:sz="0" w:space="0" w:color="auto"/>
                <w:bottom w:val="none" w:sz="0" w:space="0" w:color="auto"/>
                <w:right w:val="none" w:sz="0" w:space="0" w:color="auto"/>
              </w:divBdr>
              <w:divsChild>
                <w:div w:id="482161692">
                  <w:marLeft w:val="0"/>
                  <w:marRight w:val="0"/>
                  <w:marTop w:val="0"/>
                  <w:marBottom w:val="0"/>
                  <w:divBdr>
                    <w:top w:val="none" w:sz="0" w:space="0" w:color="auto"/>
                    <w:left w:val="none" w:sz="0" w:space="0" w:color="auto"/>
                    <w:bottom w:val="none" w:sz="0" w:space="0" w:color="auto"/>
                    <w:right w:val="none" w:sz="0" w:space="0" w:color="auto"/>
                  </w:divBdr>
                  <w:divsChild>
                    <w:div w:id="161540457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52323607">
          <w:marLeft w:val="0"/>
          <w:marRight w:val="0"/>
          <w:marTop w:val="0"/>
          <w:marBottom w:val="0"/>
          <w:divBdr>
            <w:top w:val="none" w:sz="0" w:space="0" w:color="auto"/>
            <w:left w:val="none" w:sz="0" w:space="0" w:color="auto"/>
            <w:bottom w:val="none" w:sz="0" w:space="0" w:color="auto"/>
            <w:right w:val="none" w:sz="0" w:space="0" w:color="auto"/>
          </w:divBdr>
          <w:divsChild>
            <w:div w:id="1749156016">
              <w:marLeft w:val="0"/>
              <w:marRight w:val="0"/>
              <w:marTop w:val="0"/>
              <w:marBottom w:val="0"/>
              <w:divBdr>
                <w:top w:val="none" w:sz="0" w:space="0" w:color="auto"/>
                <w:left w:val="none" w:sz="0" w:space="0" w:color="auto"/>
                <w:bottom w:val="none" w:sz="0" w:space="0" w:color="auto"/>
                <w:right w:val="none" w:sz="0" w:space="0" w:color="auto"/>
              </w:divBdr>
              <w:divsChild>
                <w:div w:id="1609385528">
                  <w:marLeft w:val="0"/>
                  <w:marRight w:val="0"/>
                  <w:marTop w:val="0"/>
                  <w:marBottom w:val="0"/>
                  <w:divBdr>
                    <w:top w:val="none" w:sz="0" w:space="0" w:color="auto"/>
                    <w:left w:val="none" w:sz="0" w:space="0" w:color="auto"/>
                    <w:bottom w:val="none" w:sz="0" w:space="0" w:color="auto"/>
                    <w:right w:val="none" w:sz="0" w:space="0" w:color="auto"/>
                  </w:divBdr>
                  <w:divsChild>
                    <w:div w:id="106360175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63203631">
          <w:marLeft w:val="0"/>
          <w:marRight w:val="0"/>
          <w:marTop w:val="0"/>
          <w:marBottom w:val="0"/>
          <w:divBdr>
            <w:top w:val="none" w:sz="0" w:space="0" w:color="auto"/>
            <w:left w:val="none" w:sz="0" w:space="0" w:color="auto"/>
            <w:bottom w:val="none" w:sz="0" w:space="0" w:color="auto"/>
            <w:right w:val="none" w:sz="0" w:space="0" w:color="auto"/>
          </w:divBdr>
          <w:divsChild>
            <w:div w:id="1715614294">
              <w:marLeft w:val="0"/>
              <w:marRight w:val="0"/>
              <w:marTop w:val="0"/>
              <w:marBottom w:val="0"/>
              <w:divBdr>
                <w:top w:val="none" w:sz="0" w:space="0" w:color="auto"/>
                <w:left w:val="none" w:sz="0" w:space="0" w:color="auto"/>
                <w:bottom w:val="none" w:sz="0" w:space="0" w:color="auto"/>
                <w:right w:val="none" w:sz="0" w:space="0" w:color="auto"/>
              </w:divBdr>
              <w:divsChild>
                <w:div w:id="537593926">
                  <w:marLeft w:val="0"/>
                  <w:marRight w:val="0"/>
                  <w:marTop w:val="0"/>
                  <w:marBottom w:val="0"/>
                  <w:divBdr>
                    <w:top w:val="none" w:sz="0" w:space="0" w:color="auto"/>
                    <w:left w:val="none" w:sz="0" w:space="0" w:color="auto"/>
                    <w:bottom w:val="none" w:sz="0" w:space="0" w:color="auto"/>
                    <w:right w:val="none" w:sz="0" w:space="0" w:color="auto"/>
                  </w:divBdr>
                  <w:divsChild>
                    <w:div w:id="119048416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31428689">
          <w:marLeft w:val="0"/>
          <w:marRight w:val="0"/>
          <w:marTop w:val="0"/>
          <w:marBottom w:val="0"/>
          <w:divBdr>
            <w:top w:val="none" w:sz="0" w:space="0" w:color="auto"/>
            <w:left w:val="none" w:sz="0" w:space="0" w:color="auto"/>
            <w:bottom w:val="none" w:sz="0" w:space="0" w:color="auto"/>
            <w:right w:val="none" w:sz="0" w:space="0" w:color="auto"/>
          </w:divBdr>
          <w:divsChild>
            <w:div w:id="1685128409">
              <w:marLeft w:val="0"/>
              <w:marRight w:val="0"/>
              <w:marTop w:val="0"/>
              <w:marBottom w:val="0"/>
              <w:divBdr>
                <w:top w:val="none" w:sz="0" w:space="0" w:color="auto"/>
                <w:left w:val="none" w:sz="0" w:space="0" w:color="auto"/>
                <w:bottom w:val="none" w:sz="0" w:space="0" w:color="auto"/>
                <w:right w:val="none" w:sz="0" w:space="0" w:color="auto"/>
              </w:divBdr>
              <w:divsChild>
                <w:div w:id="2132476854">
                  <w:marLeft w:val="0"/>
                  <w:marRight w:val="0"/>
                  <w:marTop w:val="0"/>
                  <w:marBottom w:val="0"/>
                  <w:divBdr>
                    <w:top w:val="none" w:sz="0" w:space="0" w:color="auto"/>
                    <w:left w:val="none" w:sz="0" w:space="0" w:color="auto"/>
                    <w:bottom w:val="none" w:sz="0" w:space="0" w:color="auto"/>
                    <w:right w:val="none" w:sz="0" w:space="0" w:color="auto"/>
                  </w:divBdr>
                  <w:divsChild>
                    <w:div w:id="137214756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46343522">
          <w:marLeft w:val="0"/>
          <w:marRight w:val="0"/>
          <w:marTop w:val="0"/>
          <w:marBottom w:val="0"/>
          <w:divBdr>
            <w:top w:val="none" w:sz="0" w:space="0" w:color="auto"/>
            <w:left w:val="none" w:sz="0" w:space="0" w:color="auto"/>
            <w:bottom w:val="none" w:sz="0" w:space="0" w:color="auto"/>
            <w:right w:val="none" w:sz="0" w:space="0" w:color="auto"/>
          </w:divBdr>
          <w:divsChild>
            <w:div w:id="590628357">
              <w:marLeft w:val="0"/>
              <w:marRight w:val="0"/>
              <w:marTop w:val="0"/>
              <w:marBottom w:val="0"/>
              <w:divBdr>
                <w:top w:val="none" w:sz="0" w:space="0" w:color="auto"/>
                <w:left w:val="none" w:sz="0" w:space="0" w:color="auto"/>
                <w:bottom w:val="none" w:sz="0" w:space="0" w:color="auto"/>
                <w:right w:val="none" w:sz="0" w:space="0" w:color="auto"/>
              </w:divBdr>
              <w:divsChild>
                <w:div w:id="2047827719">
                  <w:marLeft w:val="0"/>
                  <w:marRight w:val="0"/>
                  <w:marTop w:val="0"/>
                  <w:marBottom w:val="0"/>
                  <w:divBdr>
                    <w:top w:val="none" w:sz="0" w:space="0" w:color="auto"/>
                    <w:left w:val="none" w:sz="0" w:space="0" w:color="auto"/>
                    <w:bottom w:val="none" w:sz="0" w:space="0" w:color="auto"/>
                    <w:right w:val="none" w:sz="0" w:space="0" w:color="auto"/>
                  </w:divBdr>
                  <w:divsChild>
                    <w:div w:id="9386743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7624691">
          <w:marLeft w:val="0"/>
          <w:marRight w:val="0"/>
          <w:marTop w:val="0"/>
          <w:marBottom w:val="450"/>
          <w:divBdr>
            <w:top w:val="none" w:sz="0" w:space="0" w:color="auto"/>
            <w:left w:val="none" w:sz="0" w:space="0" w:color="auto"/>
            <w:bottom w:val="none" w:sz="0" w:space="0" w:color="auto"/>
            <w:right w:val="none" w:sz="0" w:space="0" w:color="auto"/>
          </w:divBdr>
          <w:divsChild>
            <w:div w:id="986323139">
              <w:marLeft w:val="0"/>
              <w:marRight w:val="0"/>
              <w:marTop w:val="0"/>
              <w:marBottom w:val="0"/>
              <w:divBdr>
                <w:top w:val="none" w:sz="0" w:space="0" w:color="auto"/>
                <w:left w:val="none" w:sz="0" w:space="0" w:color="auto"/>
                <w:bottom w:val="none" w:sz="0" w:space="0" w:color="auto"/>
                <w:right w:val="none" w:sz="0" w:space="0" w:color="auto"/>
              </w:divBdr>
              <w:divsChild>
                <w:div w:id="1855683067">
                  <w:marLeft w:val="0"/>
                  <w:marRight w:val="0"/>
                  <w:marTop w:val="0"/>
                  <w:marBottom w:val="0"/>
                  <w:divBdr>
                    <w:top w:val="none" w:sz="0" w:space="0" w:color="auto"/>
                    <w:left w:val="none" w:sz="0" w:space="0" w:color="auto"/>
                    <w:bottom w:val="none" w:sz="0" w:space="0" w:color="auto"/>
                    <w:right w:val="none" w:sz="0" w:space="0" w:color="auto"/>
                  </w:divBdr>
                  <w:divsChild>
                    <w:div w:id="45102329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107624902">
      <w:bodyDiv w:val="1"/>
      <w:marLeft w:val="0"/>
      <w:marRight w:val="0"/>
      <w:marTop w:val="0"/>
      <w:marBottom w:val="0"/>
      <w:divBdr>
        <w:top w:val="none" w:sz="0" w:space="0" w:color="auto"/>
        <w:left w:val="none" w:sz="0" w:space="0" w:color="auto"/>
        <w:bottom w:val="none" w:sz="0" w:space="0" w:color="auto"/>
        <w:right w:val="none" w:sz="0" w:space="0" w:color="auto"/>
      </w:divBdr>
    </w:div>
    <w:div w:id="1245994901">
      <w:bodyDiv w:val="1"/>
      <w:marLeft w:val="0"/>
      <w:marRight w:val="0"/>
      <w:marTop w:val="0"/>
      <w:marBottom w:val="0"/>
      <w:divBdr>
        <w:top w:val="none" w:sz="0" w:space="0" w:color="auto"/>
        <w:left w:val="none" w:sz="0" w:space="0" w:color="auto"/>
        <w:bottom w:val="none" w:sz="0" w:space="0" w:color="auto"/>
        <w:right w:val="none" w:sz="0" w:space="0" w:color="auto"/>
      </w:divBdr>
    </w:div>
    <w:div w:id="1266693327">
      <w:bodyDiv w:val="1"/>
      <w:marLeft w:val="0"/>
      <w:marRight w:val="0"/>
      <w:marTop w:val="0"/>
      <w:marBottom w:val="0"/>
      <w:divBdr>
        <w:top w:val="none" w:sz="0" w:space="0" w:color="auto"/>
        <w:left w:val="none" w:sz="0" w:space="0" w:color="auto"/>
        <w:bottom w:val="none" w:sz="0" w:space="0" w:color="auto"/>
        <w:right w:val="none" w:sz="0" w:space="0" w:color="auto"/>
      </w:divBdr>
    </w:div>
    <w:div w:id="1322389077">
      <w:bodyDiv w:val="1"/>
      <w:marLeft w:val="0"/>
      <w:marRight w:val="0"/>
      <w:marTop w:val="0"/>
      <w:marBottom w:val="0"/>
      <w:divBdr>
        <w:top w:val="none" w:sz="0" w:space="0" w:color="auto"/>
        <w:left w:val="none" w:sz="0" w:space="0" w:color="auto"/>
        <w:bottom w:val="none" w:sz="0" w:space="0" w:color="auto"/>
        <w:right w:val="none" w:sz="0" w:space="0" w:color="auto"/>
      </w:divBdr>
    </w:div>
    <w:div w:id="1406875728">
      <w:bodyDiv w:val="1"/>
      <w:marLeft w:val="0"/>
      <w:marRight w:val="0"/>
      <w:marTop w:val="0"/>
      <w:marBottom w:val="0"/>
      <w:divBdr>
        <w:top w:val="none" w:sz="0" w:space="0" w:color="auto"/>
        <w:left w:val="none" w:sz="0" w:space="0" w:color="auto"/>
        <w:bottom w:val="none" w:sz="0" w:space="0" w:color="auto"/>
        <w:right w:val="none" w:sz="0" w:space="0" w:color="auto"/>
      </w:divBdr>
    </w:div>
    <w:div w:id="1416173289">
      <w:bodyDiv w:val="1"/>
      <w:marLeft w:val="0"/>
      <w:marRight w:val="0"/>
      <w:marTop w:val="0"/>
      <w:marBottom w:val="0"/>
      <w:divBdr>
        <w:top w:val="none" w:sz="0" w:space="0" w:color="auto"/>
        <w:left w:val="none" w:sz="0" w:space="0" w:color="auto"/>
        <w:bottom w:val="none" w:sz="0" w:space="0" w:color="auto"/>
        <w:right w:val="none" w:sz="0" w:space="0" w:color="auto"/>
      </w:divBdr>
    </w:div>
    <w:div w:id="1435977716">
      <w:bodyDiv w:val="1"/>
      <w:marLeft w:val="0"/>
      <w:marRight w:val="0"/>
      <w:marTop w:val="0"/>
      <w:marBottom w:val="0"/>
      <w:divBdr>
        <w:top w:val="none" w:sz="0" w:space="0" w:color="auto"/>
        <w:left w:val="none" w:sz="0" w:space="0" w:color="auto"/>
        <w:bottom w:val="none" w:sz="0" w:space="0" w:color="auto"/>
        <w:right w:val="none" w:sz="0" w:space="0" w:color="auto"/>
      </w:divBdr>
    </w:div>
    <w:div w:id="1524056463">
      <w:bodyDiv w:val="1"/>
      <w:marLeft w:val="0"/>
      <w:marRight w:val="0"/>
      <w:marTop w:val="0"/>
      <w:marBottom w:val="0"/>
      <w:divBdr>
        <w:top w:val="none" w:sz="0" w:space="0" w:color="auto"/>
        <w:left w:val="none" w:sz="0" w:space="0" w:color="auto"/>
        <w:bottom w:val="none" w:sz="0" w:space="0" w:color="auto"/>
        <w:right w:val="none" w:sz="0" w:space="0" w:color="auto"/>
      </w:divBdr>
    </w:div>
    <w:div w:id="1533573564">
      <w:bodyDiv w:val="1"/>
      <w:marLeft w:val="0"/>
      <w:marRight w:val="0"/>
      <w:marTop w:val="0"/>
      <w:marBottom w:val="0"/>
      <w:divBdr>
        <w:top w:val="none" w:sz="0" w:space="0" w:color="auto"/>
        <w:left w:val="none" w:sz="0" w:space="0" w:color="auto"/>
        <w:bottom w:val="none" w:sz="0" w:space="0" w:color="auto"/>
        <w:right w:val="none" w:sz="0" w:space="0" w:color="auto"/>
      </w:divBdr>
    </w:div>
    <w:div w:id="1535313676">
      <w:bodyDiv w:val="1"/>
      <w:marLeft w:val="0"/>
      <w:marRight w:val="0"/>
      <w:marTop w:val="0"/>
      <w:marBottom w:val="0"/>
      <w:divBdr>
        <w:top w:val="none" w:sz="0" w:space="0" w:color="auto"/>
        <w:left w:val="none" w:sz="0" w:space="0" w:color="auto"/>
        <w:bottom w:val="none" w:sz="0" w:space="0" w:color="auto"/>
        <w:right w:val="none" w:sz="0" w:space="0" w:color="auto"/>
      </w:divBdr>
    </w:div>
    <w:div w:id="1706178412">
      <w:bodyDiv w:val="1"/>
      <w:marLeft w:val="0"/>
      <w:marRight w:val="0"/>
      <w:marTop w:val="0"/>
      <w:marBottom w:val="0"/>
      <w:divBdr>
        <w:top w:val="none" w:sz="0" w:space="0" w:color="auto"/>
        <w:left w:val="none" w:sz="0" w:space="0" w:color="auto"/>
        <w:bottom w:val="none" w:sz="0" w:space="0" w:color="auto"/>
        <w:right w:val="none" w:sz="0" w:space="0" w:color="auto"/>
      </w:divBdr>
    </w:div>
    <w:div w:id="1856264396">
      <w:bodyDiv w:val="1"/>
      <w:marLeft w:val="0"/>
      <w:marRight w:val="0"/>
      <w:marTop w:val="0"/>
      <w:marBottom w:val="0"/>
      <w:divBdr>
        <w:top w:val="none" w:sz="0" w:space="0" w:color="auto"/>
        <w:left w:val="none" w:sz="0" w:space="0" w:color="auto"/>
        <w:bottom w:val="none" w:sz="0" w:space="0" w:color="auto"/>
        <w:right w:val="none" w:sz="0" w:space="0" w:color="auto"/>
      </w:divBdr>
    </w:div>
    <w:div w:id="1858886465">
      <w:bodyDiv w:val="1"/>
      <w:marLeft w:val="0"/>
      <w:marRight w:val="0"/>
      <w:marTop w:val="0"/>
      <w:marBottom w:val="0"/>
      <w:divBdr>
        <w:top w:val="none" w:sz="0" w:space="0" w:color="auto"/>
        <w:left w:val="none" w:sz="0" w:space="0" w:color="auto"/>
        <w:bottom w:val="none" w:sz="0" w:space="0" w:color="auto"/>
        <w:right w:val="none" w:sz="0" w:space="0" w:color="auto"/>
      </w:divBdr>
    </w:div>
    <w:div w:id="1920282674">
      <w:bodyDiv w:val="1"/>
      <w:marLeft w:val="0"/>
      <w:marRight w:val="0"/>
      <w:marTop w:val="0"/>
      <w:marBottom w:val="0"/>
      <w:divBdr>
        <w:top w:val="none" w:sz="0" w:space="0" w:color="auto"/>
        <w:left w:val="none" w:sz="0" w:space="0" w:color="auto"/>
        <w:bottom w:val="none" w:sz="0" w:space="0" w:color="auto"/>
        <w:right w:val="none" w:sz="0" w:space="0" w:color="auto"/>
      </w:divBdr>
    </w:div>
    <w:div w:id="1963464357">
      <w:bodyDiv w:val="1"/>
      <w:marLeft w:val="0"/>
      <w:marRight w:val="0"/>
      <w:marTop w:val="0"/>
      <w:marBottom w:val="0"/>
      <w:divBdr>
        <w:top w:val="none" w:sz="0" w:space="0" w:color="auto"/>
        <w:left w:val="none" w:sz="0" w:space="0" w:color="auto"/>
        <w:bottom w:val="none" w:sz="0" w:space="0" w:color="auto"/>
        <w:right w:val="none" w:sz="0" w:space="0" w:color="auto"/>
      </w:divBdr>
    </w:div>
    <w:div w:id="1968464907">
      <w:bodyDiv w:val="1"/>
      <w:marLeft w:val="0"/>
      <w:marRight w:val="0"/>
      <w:marTop w:val="0"/>
      <w:marBottom w:val="0"/>
      <w:divBdr>
        <w:top w:val="none" w:sz="0" w:space="0" w:color="auto"/>
        <w:left w:val="none" w:sz="0" w:space="0" w:color="auto"/>
        <w:bottom w:val="none" w:sz="0" w:space="0" w:color="auto"/>
        <w:right w:val="none" w:sz="0" w:space="0" w:color="auto"/>
      </w:divBdr>
    </w:div>
    <w:div w:id="1972706581">
      <w:bodyDiv w:val="1"/>
      <w:marLeft w:val="0"/>
      <w:marRight w:val="0"/>
      <w:marTop w:val="0"/>
      <w:marBottom w:val="0"/>
      <w:divBdr>
        <w:top w:val="none" w:sz="0" w:space="0" w:color="auto"/>
        <w:left w:val="none" w:sz="0" w:space="0" w:color="auto"/>
        <w:bottom w:val="none" w:sz="0" w:space="0" w:color="auto"/>
        <w:right w:val="none" w:sz="0" w:space="0" w:color="auto"/>
      </w:divBdr>
    </w:div>
    <w:div w:id="1973752885">
      <w:bodyDiv w:val="1"/>
      <w:marLeft w:val="0"/>
      <w:marRight w:val="0"/>
      <w:marTop w:val="0"/>
      <w:marBottom w:val="0"/>
      <w:divBdr>
        <w:top w:val="none" w:sz="0" w:space="0" w:color="auto"/>
        <w:left w:val="none" w:sz="0" w:space="0" w:color="auto"/>
        <w:bottom w:val="none" w:sz="0" w:space="0" w:color="auto"/>
        <w:right w:val="none" w:sz="0" w:space="0" w:color="auto"/>
      </w:divBdr>
    </w:div>
    <w:div w:id="1982346783">
      <w:bodyDiv w:val="1"/>
      <w:marLeft w:val="0"/>
      <w:marRight w:val="0"/>
      <w:marTop w:val="0"/>
      <w:marBottom w:val="0"/>
      <w:divBdr>
        <w:top w:val="none" w:sz="0" w:space="0" w:color="auto"/>
        <w:left w:val="none" w:sz="0" w:space="0" w:color="auto"/>
        <w:bottom w:val="none" w:sz="0" w:space="0" w:color="auto"/>
        <w:right w:val="none" w:sz="0" w:space="0" w:color="auto"/>
      </w:divBdr>
    </w:div>
    <w:div w:id="2017069403">
      <w:bodyDiv w:val="1"/>
      <w:marLeft w:val="0"/>
      <w:marRight w:val="0"/>
      <w:marTop w:val="0"/>
      <w:marBottom w:val="0"/>
      <w:divBdr>
        <w:top w:val="none" w:sz="0" w:space="0" w:color="auto"/>
        <w:left w:val="none" w:sz="0" w:space="0" w:color="auto"/>
        <w:bottom w:val="none" w:sz="0" w:space="0" w:color="auto"/>
        <w:right w:val="none" w:sz="0" w:space="0" w:color="auto"/>
      </w:divBdr>
    </w:div>
    <w:div w:id="2037658328">
      <w:bodyDiv w:val="1"/>
      <w:marLeft w:val="0"/>
      <w:marRight w:val="0"/>
      <w:marTop w:val="0"/>
      <w:marBottom w:val="0"/>
      <w:divBdr>
        <w:top w:val="none" w:sz="0" w:space="0" w:color="auto"/>
        <w:left w:val="none" w:sz="0" w:space="0" w:color="auto"/>
        <w:bottom w:val="none" w:sz="0" w:space="0" w:color="auto"/>
        <w:right w:val="none" w:sz="0" w:space="0" w:color="auto"/>
      </w:divBdr>
    </w:div>
    <w:div w:id="208236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369</TotalTime>
  <Pages>28</Pages>
  <Words>7770</Words>
  <Characters>44292</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YCompany – eClaims</vt:lpstr>
    </vt:vector>
  </TitlesOfParts>
  <Company>Nagarro Software Pvt. Ltd.</Company>
  <LinksUpToDate>false</LinksUpToDate>
  <CharactersWithSpaces>51959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YCompany – eClaims</dc:title>
  <dc:subject>DAR Document – Document Management Selection</dc:subject>
  <dc:creator>Utsav Verma</dc:creator>
  <cp:keywords>eClaims; DAR; document management; Amazon S3; OpenSearch; PostgreSQL; Object Lock</cp:keywords>
  <cp:lastModifiedBy>Utsav Verma</cp:lastModifiedBy>
  <cp:revision>1</cp:revision>
  <cp:lastPrinted>2014-05-22T16:26:00Z</cp:lastPrinted>
  <dcterms:created xsi:type="dcterms:W3CDTF">2026-10-30T06:46:00Z</dcterms:created>
  <dcterms:modified xsi:type="dcterms:W3CDTF">2026-10-30T06:46:00Z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7ffb40b16d93be26db4924291c327452430c5528df45a39441a2dac1d20155dd</vt:lpwstr>
  </property>
</Properties>
</file>