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C57A" w14:textId="54877E76" w:rsidR="00756E07" w:rsidRPr="008848D6" w:rsidRDefault="00F304AC" w:rsidP="00C22C69">
      <w:pPr>
        <w:pStyle w:val="Title"/>
      </w:pPr>
      <w:sdt>
        <w:sdtPr>
          <w:rPr>
            <w:lang w:val="en-IN"/>
          </w:rPr>
          <w:alias w:val="Title"/>
          <w:id w:val="1332491293"/>
          <w:dataBinding w:prefixMappings="xmlns:ns0='http://schemas.openxmlformats.org/package/2006/metadata/core-properties' xmlns:ns1='http://purl.org/dc/elements/1.1/'" w:xpath="/ns0:coreProperties[1]/ns1:title[1]" w:storeItemID="{6C3C8BC8-F283-45AE-878A-BAB7291924A1}"/>
          <w:text/>
        </w:sdtPr>
        <w:sdtEndPr/>
        <w:sdtContent>
          <w:r w:rsidR="00BC4794" w:rsidRPr="00BC4794">
            <w:rPr>
              <w:lang w:val="en-IN"/>
            </w:rPr>
            <w:t>YCompany – eClaims</w:t>
          </w:r>
        </w:sdtContent>
      </w:sdt>
    </w:p>
    <w:sdt>
      <w:sdtPr>
        <w:rPr>
          <w:rFonts w:asciiTheme="minorHAnsi" w:eastAsiaTheme="minorEastAsia" w:hAnsiTheme="minorHAnsi" w:cstheme="minorBidi"/>
          <w:spacing w:val="0"/>
          <w:kern w:val="0"/>
          <w:sz w:val="22"/>
          <w:szCs w:val="22"/>
        </w:rPr>
        <w:id w:val="1373560079"/>
        <w:docPartObj>
          <w:docPartGallery w:val="Cover Pages"/>
          <w:docPartUnique/>
        </w:docPartObj>
      </w:sdtPr>
      <w:sdtEndPr>
        <w:rPr>
          <w:b/>
          <w:bCs/>
        </w:rPr>
      </w:sdtEndPr>
      <w:sdtContent>
        <w:p w14:paraId="73F7DB3E" w14:textId="21B71038" w:rsidR="00756E07" w:rsidRPr="008848D6" w:rsidRDefault="00756E07" w:rsidP="00C22C69">
          <w:pPr>
            <w:pStyle w:val="Title"/>
            <w:rPr>
              <w:sz w:val="36"/>
              <w:szCs w:val="36"/>
            </w:rPr>
          </w:pPr>
          <w:r w:rsidRPr="008848D6">
            <w:rPr>
              <w:rStyle w:val="SubtitleChar"/>
              <w:rFonts w:asciiTheme="majorHAnsi" w:hAnsiTheme="majorHAnsi"/>
              <w:noProof/>
              <w:sz w:val="32"/>
              <w:szCs w:val="32"/>
            </w:rPr>
            <mc:AlternateContent>
              <mc:Choice Requires="wps">
                <w:drawing>
                  <wp:anchor distT="0" distB="0" distL="114300" distR="114300" simplePos="0" relativeHeight="251660288" behindDoc="0" locked="0" layoutInCell="0" allowOverlap="1" wp14:anchorId="479BBB60" wp14:editId="3C7028B8">
                    <wp:simplePos x="0" y="0"/>
                    <wp:positionH relativeFrom="page">
                      <wp:align>center</wp:align>
                    </wp:positionH>
                    <wp:positionV relativeFrom="page">
                      <wp:align>bottom</wp:align>
                    </wp:positionV>
                    <wp:extent cx="8138795" cy="807085"/>
                    <wp:effectExtent l="0" t="0" r="24765" b="1524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w16cei="http://schemas.microsoft.com/office/word/2026/wordml/cei" xmlns:a="http://schemas.openxmlformats.org/drawingml/2006/main">
                <w:pict>
                  <v:rect w14:anchorId="612C2001" id="Rectangle 2" o:spid="_x0000_s1026" style="position:absolute;margin-left:0;margin-top:0;width:640.85pt;height:63.55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" o:allowincell="f" fillcolor="#5b9bd5 [3204]" strokecolor="#2f5496 [2408]">
                    <w10:wrap anchorx="page"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3360" behindDoc="0" locked="0" layoutInCell="0" allowOverlap="1" wp14:anchorId="35D6E254" wp14:editId="0FB56EEF">
                    <wp:simplePos x="0" y="0"/>
                    <wp:positionH relativeFrom="leftMargin">
                      <wp:align>center</wp:align>
                    </wp:positionH>
                    <wp:positionV relativeFrom="page">
                      <wp:align>center</wp:align>
                    </wp:positionV>
                    <wp:extent cx="90805" cy="10539095"/>
                    <wp:effectExtent l="9525" t="5715" r="13970" b="8890"/>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w16cei="http://schemas.microsoft.com/office/word/2026/wordml/cei" xmlns:a="http://schemas.openxmlformats.org/drawingml/2006/main">
                <w:pict>
                  <v:rect w14:anchorId="3D2228B1" id="Rectangle 5" o:spid="_x0000_s1026" style="position:absolute;margin-left:0;margin-top:0;width:7.15pt;height:829.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2336" behindDoc="0" locked="0" layoutInCell="0" allowOverlap="1" wp14:anchorId="3E6D8610" wp14:editId="0ABCF958">
                    <wp:simplePos x="0" y="0"/>
                    <wp:positionH relativeFrom="rightMargin">
                      <wp:align>center</wp:align>
                    </wp:positionH>
                    <wp:positionV relativeFrom="page">
                      <wp:align>center</wp:align>
                    </wp:positionV>
                    <wp:extent cx="90805" cy="10539095"/>
                    <wp:effectExtent l="9525" t="5715" r="13970" b="8890"/>
                    <wp:wrapNone/>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w16cei="http://schemas.microsoft.com/office/word/2026/wordml/cei" xmlns:a="http://schemas.openxmlformats.org/drawingml/2006/main">
                <w:pict>
                  <v:rect w14:anchorId="698A9FCE" id="Rectangle 4" o:spid="_x0000_s1026" style="position:absolute;margin-left:0;margin-top:0;width:7.15pt;height:829.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1312" behindDoc="0" locked="0" layoutInCell="0" allowOverlap="1" wp14:anchorId="0EB65D2B" wp14:editId="0520F6F1">
                    <wp:simplePos x="0" y="0"/>
                    <wp:positionH relativeFrom="page">
                      <wp:align>center</wp:align>
                    </wp:positionH>
                    <wp:positionV relativeFrom="topMargin">
                      <wp:align>top</wp:align>
                    </wp:positionV>
                    <wp:extent cx="8138795" cy="807085"/>
                    <wp:effectExtent l="0" t="0" r="24765" b="15240"/>
                    <wp:wrapNone/>
                    <wp:docPr id="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w16cei="http://schemas.microsoft.com/office/word/2026/wordml/cei" xmlns:a="http://schemas.openxmlformats.org/drawingml/2006/main">
                <w:pict>
                  <v:rect w14:anchorId="62BDE170" id="Rectangle 3" o:spid="_x0000_s1026" style="position:absolute;margin-left:0;margin-top:0;width:640.85pt;height:63.55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" o:allowincell="f" fillcolor="#5b9bd5 [3204]" strokecolor="#2f5496 [2408]">
                    <w10:wrap anchorx="page" anchory="margin"/>
                  </v:rect>
                </w:pict>
              </mc:Fallback>
            </mc:AlternateContent>
          </w:r>
          <w:sdt>
            <w:sdtPr>
              <w:rPr>
                <w:sz w:val="36"/>
                <w:szCs w:val="36"/>
              </w:rPr>
              <w:alias w:val="Subtitle"/>
              <w:id w:val="14700077"/>
              <w:dataBinding w:prefixMappings="xmlns:ns0='http://schemas.openxmlformats.org/package/2006/metadata/core-properties' xmlns:ns1='http://purl.org/dc/elements/1.1/'" w:xpath="/ns0:coreProperties[1]/ns1:subject[1]" w:storeItemID="{6C3C8BC8-F283-45AE-878A-BAB7291924A1}"/>
              <w:text/>
            </w:sdtPr>
            <w:sdtEndPr/>
            <w:sdtContent>
              <w:r w:rsidR="001D6A7E">
                <w:rPr>
                  <w:sz w:val="36"/>
                  <w:szCs w:val="36"/>
                  <w:lang w:val="en-IN"/>
                </w:rPr>
                <w:t>DAR Document – Container Orchestrator (Amazon ECS vs Amazon EKS)</w:t>
              </w:r>
            </w:sdtContent>
          </w:sdt>
        </w:p>
        <w:p w14:paraId="06A2D888" w14:textId="77777777" w:rsidR="00756E07" w:rsidRPr="008848D6" w:rsidRDefault="00756E07" w:rsidP="00C22C69">
          <w:pPr>
            <w:pStyle w:val="NoSpacing"/>
            <w:rPr>
              <w:rFonts w:asciiTheme="majorHAnsi" w:eastAsia="Times New Roman" w:hAnsiTheme="majorHAnsi"/>
              <w:sz w:val="52"/>
              <w:szCs w:val="52"/>
            </w:rPr>
          </w:pPr>
        </w:p>
        <w:p w14:paraId="30598863" w14:textId="77777777" w:rsidR="00756E07" w:rsidRPr="008848D6" w:rsidRDefault="00756E07" w:rsidP="00C22C69">
          <w:pPr>
            <w:pStyle w:val="NoSpacing"/>
            <w:rPr>
              <w:rFonts w:asciiTheme="majorHAnsi" w:eastAsiaTheme="majorEastAsia" w:hAnsiTheme="majorHAnsi" w:cstheme="majorBidi"/>
              <w:sz w:val="36"/>
              <w:szCs w:val="36"/>
            </w:rPr>
          </w:pPr>
        </w:p>
        <w:p w14:paraId="75D21388" w14:textId="77777777" w:rsidR="00756E07" w:rsidRPr="008848D6" w:rsidRDefault="00756E07" w:rsidP="00C22C69">
          <w:pPr>
            <w:pStyle w:val="Title"/>
            <w:rPr>
              <w:sz w:val="36"/>
              <w:szCs w:val="36"/>
            </w:rPr>
          </w:pPr>
        </w:p>
        <w:p w14:paraId="174432E2" w14:textId="77777777" w:rsidR="00756E07" w:rsidRPr="008848D6" w:rsidRDefault="00756E07" w:rsidP="00C22C69">
          <w:pPr>
            <w:pStyle w:val="NoSpacing"/>
            <w:rPr>
              <w:rFonts w:asciiTheme="majorHAnsi" w:eastAsiaTheme="majorEastAsia" w:hAnsiTheme="majorHAnsi" w:cstheme="majorBidi"/>
              <w:sz w:val="36"/>
              <w:szCs w:val="36"/>
            </w:rPr>
          </w:pPr>
        </w:p>
        <w:p w14:paraId="2E60BFED" w14:textId="77777777" w:rsidR="00756E07" w:rsidRPr="008848D6" w:rsidRDefault="00756E07" w:rsidP="00C22C69">
          <w:pPr>
            <w:spacing w:line="240" w:lineRule="auto"/>
            <w:rPr>
              <w:rFonts w:asciiTheme="majorHAnsi" w:hAnsiTheme="majorHAnsi"/>
            </w:rPr>
          </w:pPr>
        </w:p>
        <w:p w14:paraId="50AFA6F0" w14:textId="77777777" w:rsidR="00756E07" w:rsidRPr="008848D6" w:rsidRDefault="00AF0091" w:rsidP="00C22C69">
          <w:pPr>
            <w:tabs>
              <w:tab w:val="left" w:pos="2544"/>
            </w:tabs>
            <w:spacing w:line="240" w:lineRule="auto"/>
            <w:rPr>
              <w:rFonts w:asciiTheme="majorHAnsi" w:hAnsiTheme="majorHAnsi"/>
            </w:rPr>
          </w:pPr>
          <w:r w:rsidRPr="008848D6">
            <w:rPr>
              <w:rFonts w:asciiTheme="majorHAnsi" w:hAnsiTheme="majorHAnsi"/>
            </w:rPr>
            <w:tab/>
          </w:r>
        </w:p>
        <w:p w14:paraId="7DA415BB" w14:textId="77777777" w:rsidR="00756E07" w:rsidRPr="008848D6" w:rsidRDefault="00756E07" w:rsidP="00C22C69">
          <w:pPr>
            <w:spacing w:line="240" w:lineRule="auto"/>
            <w:rPr>
              <w:rFonts w:asciiTheme="majorHAnsi" w:hAnsiTheme="majorHAnsi"/>
            </w:rPr>
          </w:pPr>
        </w:p>
        <w:p w14:paraId="1AE2B141" w14:textId="77777777" w:rsidR="00756E07" w:rsidRPr="008848D6" w:rsidRDefault="00756E07" w:rsidP="00C22C69">
          <w:pPr>
            <w:spacing w:line="240" w:lineRule="auto"/>
            <w:rPr>
              <w:rFonts w:asciiTheme="majorHAnsi" w:hAnsiTheme="majorHAnsi"/>
            </w:rPr>
          </w:pPr>
        </w:p>
        <w:p w14:paraId="05B6CA15" w14:textId="77777777" w:rsidR="00756E07" w:rsidRPr="008848D6" w:rsidRDefault="00756E07" w:rsidP="00C22C69">
          <w:pPr>
            <w:spacing w:line="240" w:lineRule="auto"/>
            <w:rPr>
              <w:rFonts w:asciiTheme="majorHAnsi" w:hAnsiTheme="majorHAnsi"/>
            </w:rPr>
          </w:pPr>
        </w:p>
        <w:p w14:paraId="50733556" w14:textId="77777777" w:rsidR="00756E07" w:rsidRPr="008848D6" w:rsidRDefault="00756E07" w:rsidP="00C22C69">
          <w:pPr>
            <w:spacing w:line="240" w:lineRule="auto"/>
            <w:rPr>
              <w:rFonts w:asciiTheme="majorHAnsi" w:hAnsiTheme="majorHAnsi"/>
            </w:rPr>
          </w:pPr>
        </w:p>
        <w:p w14:paraId="6ED1F670" w14:textId="77777777" w:rsidR="00756E07" w:rsidRPr="008848D6" w:rsidRDefault="00756E07" w:rsidP="00C22C69">
          <w:pPr>
            <w:spacing w:line="240" w:lineRule="auto"/>
            <w:rPr>
              <w:rFonts w:asciiTheme="majorHAnsi" w:hAnsiTheme="majorHAnsi"/>
            </w:rPr>
          </w:pPr>
        </w:p>
        <w:p w14:paraId="07E80A7F" w14:textId="77777777" w:rsidR="00756E07" w:rsidRPr="008848D6" w:rsidRDefault="00756E07" w:rsidP="00C22C69">
          <w:pPr>
            <w:spacing w:line="240" w:lineRule="auto"/>
            <w:rPr>
              <w:rFonts w:asciiTheme="majorHAnsi" w:hAnsiTheme="majorHAnsi"/>
            </w:rPr>
          </w:pPr>
        </w:p>
        <w:p w14:paraId="6BE75B83" w14:textId="77777777" w:rsidR="00756E07" w:rsidRPr="008848D6" w:rsidRDefault="00756E07" w:rsidP="00C22C69">
          <w:pPr>
            <w:spacing w:line="240" w:lineRule="auto"/>
            <w:rPr>
              <w:rFonts w:asciiTheme="majorHAnsi" w:hAnsiTheme="majorHAnsi"/>
            </w:rPr>
          </w:pPr>
        </w:p>
        <w:p w14:paraId="25AEA554" w14:textId="77777777" w:rsidR="00756E07" w:rsidRPr="008848D6" w:rsidRDefault="00756E07" w:rsidP="00C22C69">
          <w:pPr>
            <w:spacing w:line="240" w:lineRule="auto"/>
            <w:rPr>
              <w:rFonts w:asciiTheme="majorHAnsi" w:hAnsiTheme="majorHAnsi"/>
            </w:rPr>
          </w:pPr>
        </w:p>
        <w:p w14:paraId="3809615B" w14:textId="77777777" w:rsidR="00756E07" w:rsidRPr="008848D6" w:rsidRDefault="00756E07" w:rsidP="00C22C69">
          <w:pPr>
            <w:spacing w:line="240" w:lineRule="auto"/>
            <w:rPr>
              <w:rFonts w:asciiTheme="majorHAnsi" w:hAnsiTheme="majorHAnsi"/>
            </w:rPr>
          </w:pPr>
        </w:p>
        <w:p w14:paraId="5AE8B1BB" w14:textId="77777777" w:rsidR="00756E07" w:rsidRPr="008848D6" w:rsidRDefault="00756E07" w:rsidP="00C22C69">
          <w:pPr>
            <w:spacing w:line="240" w:lineRule="auto"/>
            <w:rPr>
              <w:rFonts w:asciiTheme="majorHAnsi" w:hAnsiTheme="majorHAnsi"/>
            </w:rPr>
          </w:pPr>
        </w:p>
        <w:p w14:paraId="2BF72C53" w14:textId="77777777" w:rsidR="00756E07" w:rsidRPr="008848D6" w:rsidRDefault="00756E07" w:rsidP="00C22C69">
          <w:pPr>
            <w:spacing w:line="240" w:lineRule="auto"/>
            <w:rPr>
              <w:rFonts w:asciiTheme="majorHAnsi" w:hAnsiTheme="majorHAnsi"/>
            </w:rPr>
          </w:pPr>
        </w:p>
        <w:p w14:paraId="446C3A61" w14:textId="77777777" w:rsidR="00756E07" w:rsidRPr="008848D6" w:rsidRDefault="00756E07" w:rsidP="00C22C69">
          <w:pPr>
            <w:spacing w:line="240" w:lineRule="auto"/>
            <w:rPr>
              <w:rFonts w:asciiTheme="majorHAnsi" w:hAnsiTheme="majorHAnsi"/>
            </w:rPr>
          </w:pPr>
        </w:p>
        <w:p w14:paraId="070866FF" w14:textId="581FB006" w:rsidR="00756E07" w:rsidRPr="008848D6" w:rsidRDefault="00756E07" w:rsidP="00C22C69">
          <w:pPr>
            <w:spacing w:line="240" w:lineRule="auto"/>
            <w:rPr>
              <w:rFonts w:asciiTheme="majorHAnsi" w:hAnsiTheme="majorHAnsi"/>
            </w:rPr>
          </w:pPr>
        </w:p>
        <w:p w14:paraId="6863EA40" w14:textId="77777777" w:rsidR="00756E07" w:rsidRPr="008848D6" w:rsidRDefault="00756E07" w:rsidP="00C22C69">
          <w:pPr>
            <w:spacing w:line="240" w:lineRule="auto"/>
            <w:rPr>
              <w:rFonts w:asciiTheme="majorHAnsi" w:hAnsiTheme="majorHAnsi"/>
            </w:rPr>
          </w:pPr>
        </w:p>
        <w:p w14:paraId="5C1E7A22" w14:textId="77777777" w:rsidR="00756E07" w:rsidRPr="008848D6" w:rsidRDefault="00756E07" w:rsidP="00C22C69">
          <w:pPr>
            <w:spacing w:line="240" w:lineRule="auto"/>
            <w:rPr>
              <w:rFonts w:asciiTheme="majorHAnsi" w:hAnsiTheme="majorHAnsi"/>
            </w:rPr>
          </w:pPr>
        </w:p>
        <w:p w14:paraId="18403EE0" w14:textId="77777777" w:rsidR="00756E07" w:rsidRPr="008848D6" w:rsidRDefault="00756E07" w:rsidP="00C22C69">
          <w:pPr>
            <w:spacing w:line="240" w:lineRule="auto"/>
            <w:rPr>
              <w:rFonts w:asciiTheme="majorHAnsi" w:hAnsiTheme="majorHAnsi"/>
            </w:rPr>
          </w:pPr>
        </w:p>
        <w:sdt>
          <w:sdtPr>
            <w:rPr>
              <w:rFonts w:asciiTheme="majorHAnsi" w:hAnsiTheme="majorHAnsi" w:cs="Times New Roman"/>
            </w:rPr>
            <w:alias w:val="Company"/>
            <w:id w:val="14700089"/>
            <w:dataBinding w:prefixMappings="xmlns:ns0='http://schemas.openxmlformats.org/officeDocument/2006/extended-properties'" w:xpath="/ns0:Properties[1]/ns0:Company[1]" w:storeItemID="{6668398D-A668-4E3E-A5EB-62B293D839F1}"/>
            <w:text/>
          </w:sdtPr>
          <w:sdtEndPr/>
          <w:sdtContent>
            <w:p w14:paraId="73B8C6A7" w14:textId="77777777" w:rsidR="00756E07" w:rsidRPr="008848D6" w:rsidRDefault="00901988" w:rsidP="00C22C69">
              <w:pPr>
                <w:pStyle w:val="NoSpacing"/>
                <w:rPr>
                  <w:rFonts w:asciiTheme="majorHAnsi" w:hAnsiTheme="majorHAnsi"/>
                </w:rPr>
              </w:pPr>
              <w:r w:rsidRPr="008848D6">
                <w:rPr>
                  <w:rFonts w:asciiTheme="majorHAnsi" w:hAnsiTheme="majorHAnsi" w:cs="Times New Roman"/>
                </w:rPr>
                <w:t>Nagarro Software Pvt. Ltd.</w:t>
              </w:r>
            </w:p>
          </w:sdtContent>
        </w:sdt>
        <w:sdt>
          <w:sdtPr>
            <w:rPr>
              <w:rFonts w:asciiTheme="majorHAnsi" w:hAnsiTheme="majorHAnsi"/>
            </w:rPr>
            <w:alias w:val="Author"/>
            <w:id w:val="-2097089043"/>
            <w:dataBinding w:prefixMappings="xmlns:ns0='http://schemas.openxmlformats.org/package/2006/metadata/core-properties' xmlns:ns1='http://purl.org/dc/elements/1.1/'" w:xpath="/ns0:coreProperties[1]/ns1:creator[1]" w:storeItemID="{6C3C8BC8-F283-45AE-878A-BAB7291924A1}"/>
            <w:text/>
          </w:sdtPr>
          <w:sdtEndPr/>
          <w:sdtContent>
            <w:p w14:paraId="12A9E61D" w14:textId="7F0843D1" w:rsidR="00756E07" w:rsidRPr="008848D6" w:rsidRDefault="00617867" w:rsidP="00C22C69">
              <w:pPr>
                <w:pStyle w:val="NoSpacing"/>
                <w:rPr>
                  <w:rFonts w:asciiTheme="majorHAnsi" w:hAnsiTheme="majorHAnsi"/>
                  <w:b/>
                  <w:bCs/>
                </w:rPr>
              </w:pPr>
              <w:r>
                <w:rPr>
                  <w:rFonts w:asciiTheme="majorHAnsi" w:hAnsiTheme="majorHAnsi"/>
                </w:rPr>
                <w:t>Utsav Verma</w:t>
              </w:r>
            </w:p>
          </w:sdtContent>
        </w:sdt>
      </w:sdtContent>
    </w:sdt>
    <w:p w14:paraId="1AED9A50" w14:textId="77777777" w:rsidR="00756E07" w:rsidRPr="008848D6" w:rsidRDefault="00756E07" w:rsidP="00C22C69">
      <w:pPr>
        <w:spacing w:line="240" w:lineRule="auto"/>
        <w:rPr>
          <w:rFonts w:asciiTheme="majorHAnsi" w:hAnsiTheme="majorHAnsi"/>
          <w:b/>
          <w:bCs/>
        </w:rPr>
      </w:pPr>
      <w:r w:rsidRPr="008848D6">
        <w:rPr>
          <w:rFonts w:asciiTheme="majorHAnsi" w:hAnsiTheme="majorHAnsi"/>
          <w:b/>
          <w:bCs/>
        </w:rPr>
        <w:br w:type="page"/>
      </w:r>
    </w:p>
    <w:p w14:paraId="2845B63F" w14:textId="77777777" w:rsidR="00756E07" w:rsidRPr="008848D6" w:rsidRDefault="00756E07" w:rsidP="00C22C69">
      <w:pPr>
        <w:pStyle w:val="NoSpacing"/>
        <w:rPr>
          <w:rFonts w:asciiTheme="majorHAnsi" w:hAnsiTheme="majorHAnsi"/>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76"/>
        <w:gridCol w:w="1648"/>
        <w:gridCol w:w="2295"/>
        <w:gridCol w:w="3897"/>
      </w:tblGrid>
      <w:tr w:rsidR="00756E07" w:rsidRPr="008848D6" w14:paraId="1ECDD679" w14:textId="77777777" w:rsidTr="00756E07">
        <w:tc>
          <w:tcPr>
            <w:tcW w:w="9016" w:type="dxa"/>
            <w:gridSpan w:val="4"/>
            <w:tcBorders>
              <w:top w:val="dotted" w:sz="4" w:space="0" w:color="auto"/>
              <w:left w:val="dotted" w:sz="4" w:space="0" w:color="auto"/>
              <w:bottom w:val="dotted" w:sz="4" w:space="0" w:color="auto"/>
              <w:right w:val="dotted" w:sz="4" w:space="0" w:color="auto"/>
            </w:tcBorders>
            <w:hideMark/>
          </w:tcPr>
          <w:p w14:paraId="156D57CB" w14:textId="77777777" w:rsidR="00756E07" w:rsidRPr="008848D6" w:rsidRDefault="00756E07" w:rsidP="00C22C69">
            <w:pPr>
              <w:pStyle w:val="NoSpacing"/>
              <w:rPr>
                <w:rFonts w:asciiTheme="majorHAnsi" w:hAnsiTheme="majorHAnsi"/>
                <w:b/>
              </w:rPr>
            </w:pPr>
            <w:r w:rsidRPr="008848D6">
              <w:rPr>
                <w:rFonts w:asciiTheme="majorHAnsi" w:hAnsiTheme="majorHAnsi"/>
                <w:b/>
              </w:rPr>
              <w:t>Revision History</w:t>
            </w:r>
          </w:p>
        </w:tc>
      </w:tr>
      <w:tr w:rsidR="00756E07" w:rsidRPr="008848D6" w14:paraId="20E9BF81" w14:textId="77777777" w:rsidTr="00756E07">
        <w:tc>
          <w:tcPr>
            <w:tcW w:w="1176"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59A99D9F" w14:textId="77777777" w:rsidR="00756E07" w:rsidRPr="008848D6" w:rsidRDefault="00756E07" w:rsidP="00C22C69">
            <w:pPr>
              <w:pStyle w:val="NoSpacing"/>
              <w:rPr>
                <w:rFonts w:asciiTheme="majorHAnsi" w:hAnsiTheme="majorHAnsi"/>
              </w:rPr>
            </w:pPr>
            <w:r w:rsidRPr="008848D6">
              <w:rPr>
                <w:rFonts w:asciiTheme="majorHAnsi" w:hAnsiTheme="majorHAnsi"/>
              </w:rPr>
              <w:t>Version</w:t>
            </w:r>
          </w:p>
        </w:tc>
        <w:tc>
          <w:tcPr>
            <w:tcW w:w="1648"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5B10C968" w14:textId="77777777" w:rsidR="00756E07" w:rsidRPr="008848D6" w:rsidRDefault="00756E07" w:rsidP="00C22C69">
            <w:pPr>
              <w:pStyle w:val="NoSpacing"/>
              <w:rPr>
                <w:rFonts w:asciiTheme="majorHAnsi" w:hAnsiTheme="majorHAnsi"/>
              </w:rPr>
            </w:pPr>
            <w:r w:rsidRPr="008848D6">
              <w:rPr>
                <w:rFonts w:asciiTheme="majorHAnsi" w:hAnsiTheme="majorHAnsi"/>
              </w:rPr>
              <w:t>Date</w:t>
            </w:r>
          </w:p>
        </w:tc>
        <w:tc>
          <w:tcPr>
            <w:tcW w:w="2295"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2E0B8328" w14:textId="77777777" w:rsidR="00756E07" w:rsidRPr="008848D6" w:rsidRDefault="00756E07" w:rsidP="00C22C69">
            <w:pPr>
              <w:pStyle w:val="NoSpacing"/>
              <w:rPr>
                <w:rFonts w:asciiTheme="majorHAnsi" w:hAnsiTheme="majorHAnsi"/>
              </w:rPr>
            </w:pPr>
            <w:r w:rsidRPr="008848D6">
              <w:rPr>
                <w:rFonts w:asciiTheme="majorHAnsi" w:hAnsiTheme="majorHAnsi"/>
              </w:rPr>
              <w:t>Author/Contributor</w:t>
            </w:r>
          </w:p>
        </w:tc>
        <w:tc>
          <w:tcPr>
            <w:tcW w:w="3897"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0AB37059" w14:textId="77777777" w:rsidR="00756E07" w:rsidRPr="008848D6" w:rsidRDefault="00756E07" w:rsidP="00C22C69">
            <w:pPr>
              <w:pStyle w:val="NoSpacing"/>
              <w:rPr>
                <w:rFonts w:asciiTheme="majorHAnsi" w:hAnsiTheme="majorHAnsi"/>
              </w:rPr>
            </w:pPr>
            <w:r w:rsidRPr="008848D6">
              <w:rPr>
                <w:rFonts w:asciiTheme="majorHAnsi" w:hAnsiTheme="majorHAnsi"/>
              </w:rPr>
              <w:t>Comments</w:t>
            </w:r>
          </w:p>
        </w:tc>
      </w:tr>
      <w:tr w:rsidR="00756E07" w:rsidRPr="008848D6" w14:paraId="523EDA88" w14:textId="77777777" w:rsidTr="00200904">
        <w:tc>
          <w:tcPr>
            <w:tcW w:w="1176" w:type="dxa"/>
            <w:tcBorders>
              <w:top w:val="dotted" w:sz="4" w:space="0" w:color="auto"/>
              <w:left w:val="dotted" w:sz="4" w:space="0" w:color="auto"/>
              <w:bottom w:val="dotted" w:sz="4" w:space="0" w:color="auto"/>
              <w:right w:val="dotted" w:sz="4" w:space="0" w:color="auto"/>
            </w:tcBorders>
          </w:tcPr>
          <w:p w14:paraId="4264820B" w14:textId="63C2F9EE" w:rsidR="00756E07" w:rsidRPr="008848D6" w:rsidRDefault="001869CB" w:rsidP="00C22C69">
            <w:pPr>
              <w:pStyle w:val="NoSpacing"/>
              <w:rPr>
                <w:rFonts w:asciiTheme="majorHAnsi" w:hAnsiTheme="majorHAnsi"/>
              </w:rPr>
            </w:pPr>
            <w:r>
              <w:rPr>
                <w:rFonts w:asciiTheme="majorHAnsi" w:hAnsiTheme="majorHAnsi"/>
              </w:rPr>
              <w:t>1.0</w:t>
            </w:r>
          </w:p>
        </w:tc>
        <w:tc>
          <w:tcPr>
            <w:tcW w:w="1648" w:type="dxa"/>
            <w:tcBorders>
              <w:top w:val="dotted" w:sz="4" w:space="0" w:color="auto"/>
              <w:left w:val="dotted" w:sz="4" w:space="0" w:color="auto"/>
              <w:bottom w:val="dotted" w:sz="4" w:space="0" w:color="auto"/>
              <w:right w:val="dotted" w:sz="4" w:space="0" w:color="auto"/>
            </w:tcBorders>
          </w:tcPr>
          <w:p w14:paraId="24DDB318" w14:textId="7947DA8D" w:rsidR="00756E07" w:rsidRPr="008848D6" w:rsidRDefault="001869CB" w:rsidP="00C22C69">
            <w:pPr>
              <w:pStyle w:val="NoSpacing"/>
              <w:rPr>
                <w:rFonts w:asciiTheme="majorHAnsi" w:hAnsiTheme="majorHAnsi"/>
              </w:rPr>
            </w:pPr>
            <w:r>
              <w:rPr>
                <w:rFonts w:asciiTheme="majorHAnsi" w:hAnsiTheme="majorHAnsi"/>
              </w:rPr>
              <w:t>20-08-2026</w:t>
            </w:r>
          </w:p>
        </w:tc>
        <w:tc>
          <w:tcPr>
            <w:tcW w:w="2295" w:type="dxa"/>
            <w:tcBorders>
              <w:top w:val="dotted" w:sz="4" w:space="0" w:color="auto"/>
              <w:left w:val="dotted" w:sz="4" w:space="0" w:color="auto"/>
              <w:bottom w:val="dotted" w:sz="4" w:space="0" w:color="auto"/>
              <w:right w:val="dotted" w:sz="4" w:space="0" w:color="auto"/>
            </w:tcBorders>
          </w:tcPr>
          <w:p w14:paraId="682C640D" w14:textId="653B924F" w:rsidR="00756E07" w:rsidRPr="008848D6" w:rsidRDefault="001869CB" w:rsidP="00C22C69">
            <w:pPr>
              <w:pStyle w:val="NoSpacing"/>
              <w:rPr>
                <w:rFonts w:asciiTheme="majorHAnsi" w:hAnsiTheme="majorHAnsi"/>
              </w:rPr>
            </w:pPr>
            <w:r>
              <w:rPr>
                <w:rFonts w:asciiTheme="majorHAnsi" w:hAnsiTheme="majorHAnsi"/>
              </w:rPr>
              <w:t>Utsav Verma</w:t>
            </w:r>
          </w:p>
        </w:tc>
        <w:tc>
          <w:tcPr>
            <w:tcW w:w="3897" w:type="dxa"/>
            <w:tcBorders>
              <w:top w:val="dotted" w:sz="4" w:space="0" w:color="auto"/>
              <w:left w:val="dotted" w:sz="4" w:space="0" w:color="auto"/>
              <w:bottom w:val="dotted" w:sz="4" w:space="0" w:color="auto"/>
              <w:right w:val="dotted" w:sz="4" w:space="0" w:color="auto"/>
            </w:tcBorders>
          </w:tcPr>
          <w:p w14:paraId="0A0739BE" w14:textId="33C237EA" w:rsidR="00756E07" w:rsidRPr="008848D6" w:rsidRDefault="001869CB" w:rsidP="00CB78C5">
            <w:pPr>
              <w:pStyle w:val="NoSpacing"/>
              <w:rPr>
                <w:rFonts w:asciiTheme="majorHAnsi" w:hAnsiTheme="majorHAnsi"/>
              </w:rPr>
            </w:pPr>
            <w:r>
              <w:rPr>
                <w:rFonts w:asciiTheme="majorHAnsi" w:hAnsiTheme="majorHAnsi"/>
              </w:rPr>
              <w:t>Initial draft</w:t>
            </w:r>
          </w:p>
        </w:tc>
      </w:tr>
      <w:tr w:rsidR="00756E07" w:rsidRPr="008848D6" w14:paraId="27066A35" w14:textId="77777777" w:rsidTr="00756E07">
        <w:tc>
          <w:tcPr>
            <w:tcW w:w="1176" w:type="dxa"/>
            <w:tcBorders>
              <w:top w:val="dotted" w:sz="4" w:space="0" w:color="auto"/>
              <w:left w:val="dotted" w:sz="4" w:space="0" w:color="auto"/>
              <w:bottom w:val="dotted" w:sz="4" w:space="0" w:color="auto"/>
              <w:right w:val="dotted" w:sz="4" w:space="0" w:color="auto"/>
            </w:tcBorders>
          </w:tcPr>
          <w:p w14:paraId="50526933" w14:textId="77777777" w:rsidR="00756E07" w:rsidRPr="008848D6" w:rsidRDefault="00756E07" w:rsidP="00C22C69">
            <w:pPr>
              <w:pStyle w:val="NoSpacing"/>
              <w:rPr>
                <w:rFonts w:asciiTheme="majorHAnsi" w:hAnsiTheme="majorHAnsi"/>
              </w:rPr>
            </w:pPr>
            <w:r>
              <w:rPr>
                <w:rFonts w:asciiTheme="majorHAnsi" w:hAnsiTheme="majorHAnsi"/>
              </w:rPr>
              <w:t>2.0</w:t>
            </w:r>
          </w:p>
        </w:tc>
        <w:tc>
          <w:tcPr>
            <w:tcW w:w="1648" w:type="dxa"/>
            <w:tcBorders>
              <w:top w:val="dotted" w:sz="4" w:space="0" w:color="auto"/>
              <w:left w:val="dotted" w:sz="4" w:space="0" w:color="auto"/>
              <w:bottom w:val="dotted" w:sz="4" w:space="0" w:color="auto"/>
              <w:right w:val="dotted" w:sz="4" w:space="0" w:color="auto"/>
            </w:tcBorders>
          </w:tcPr>
          <w:p w14:paraId="049AA28C" w14:textId="77777777" w:rsidR="00756E07" w:rsidRPr="008848D6" w:rsidRDefault="00756E07" w:rsidP="00CB78C5">
            <w:pPr>
              <w:pStyle w:val="NoSpacing"/>
              <w:rPr>
                <w:rFonts w:asciiTheme="majorHAnsi" w:hAnsiTheme="majorHAnsi"/>
              </w:rPr>
            </w:pPr>
            <w:r>
              <w:rPr>
                <w:rFonts w:asciiTheme="majorHAnsi" w:hAnsiTheme="majorHAnsi"/>
              </w:rPr>
              <w:t>30-09-2026</w:t>
            </w:r>
          </w:p>
        </w:tc>
        <w:tc>
          <w:tcPr>
            <w:tcW w:w="2295" w:type="dxa"/>
            <w:tcBorders>
              <w:top w:val="dotted" w:sz="4" w:space="0" w:color="auto"/>
              <w:left w:val="dotted" w:sz="4" w:space="0" w:color="auto"/>
              <w:bottom w:val="dotted" w:sz="4" w:space="0" w:color="auto"/>
              <w:right w:val="dotted" w:sz="4" w:space="0" w:color="auto"/>
            </w:tcBorders>
          </w:tcPr>
          <w:p w14:paraId="3B5A803E" w14:textId="77777777" w:rsidR="00756E07" w:rsidRPr="008848D6" w:rsidRDefault="00756E07" w:rsidP="0041450E">
            <w:pPr>
              <w:pStyle w:val="NoSpacing"/>
              <w:rPr>
                <w:rFonts w:asciiTheme="majorHAnsi" w:hAnsiTheme="majorHAnsi"/>
              </w:rPr>
            </w:pPr>
            <w:r>
              <w:rPr>
                <w:rFonts w:asciiTheme="majorHAnsi" w:hAnsiTheme="majorHAnsi"/>
              </w:rPr>
              <w:t>Utsav Verma</w:t>
            </w:r>
          </w:p>
        </w:tc>
        <w:tc>
          <w:tcPr>
            <w:tcW w:w="3897" w:type="dxa"/>
            <w:tcBorders>
              <w:top w:val="dotted" w:sz="4" w:space="0" w:color="auto"/>
              <w:left w:val="dotted" w:sz="4" w:space="0" w:color="auto"/>
              <w:bottom w:val="dotted" w:sz="4" w:space="0" w:color="auto"/>
              <w:right w:val="dotted" w:sz="4" w:space="0" w:color="auto"/>
            </w:tcBorders>
          </w:tcPr>
          <w:p w14:paraId="19F6AAE2" w14:textId="77777777" w:rsidR="00756E07" w:rsidRPr="008848D6" w:rsidRDefault="00756E07" w:rsidP="0041450E">
            <w:pPr>
              <w:pStyle w:val="NoSpacing"/>
              <w:rPr>
                <w:rFonts w:asciiTheme="majorHAnsi" w:hAnsiTheme="majorHAnsi"/>
              </w:rPr>
            </w:pPr>
            <w:r>
              <w:rPr>
                <w:rFonts w:asciiTheme="majorHAnsi" w:hAnsiTheme="majorHAnsi"/>
              </w:rPr>
              <w:t>Full revision: requirements traced to the case study; Amazon ECS and Amazon EKS on AWS Fargate priced for US East (N. Virginia); on-premise options; sensitivity analysis; risks with mitigations; point matrix aligned with the Compute DAR, Section 4.5</w:t>
            </w:r>
          </w:p>
        </w:tc>
      </w:tr>
      <w:tr w:rsidR="00756E07" w:rsidRPr="008848D6" w14:paraId="1D7DEFA9" w14:textId="77777777" w:rsidTr="00756E07">
        <w:tc>
          <w:tcPr>
            <w:tcW w:w="1176" w:type="dxa"/>
            <w:tcBorders>
              <w:top w:val="dotted" w:sz="4" w:space="0" w:color="auto"/>
              <w:left w:val="dotted" w:sz="4" w:space="0" w:color="auto"/>
              <w:bottom w:val="dotted" w:sz="4" w:space="0" w:color="auto"/>
              <w:right w:val="dotted" w:sz="4" w:space="0" w:color="auto"/>
            </w:tcBorders>
          </w:tcPr>
          <w:p w14:paraId="32E0D77A" w14:textId="77777777" w:rsidR="00756E07" w:rsidRPr="008848D6" w:rsidRDefault="00756E07" w:rsidP="00C22C69">
            <w:pPr>
              <w:pStyle w:val="NoSpacing"/>
              <w:rPr>
                <w:rFonts w:asciiTheme="majorHAnsi" w:hAnsiTheme="majorHAnsi"/>
              </w:rPr>
            </w:pPr>
            <w:r>
              <w:rPr>
                <w:rFonts w:asciiTheme="majorHAnsi" w:hAnsiTheme="majorHAnsi"/>
              </w:rPr>
              <w:t>2.1</w:t>
            </w:r>
          </w:p>
        </w:tc>
        <w:tc>
          <w:tcPr>
            <w:tcW w:w="1648" w:type="dxa"/>
            <w:tcBorders>
              <w:top w:val="dotted" w:sz="4" w:space="0" w:color="auto"/>
              <w:left w:val="dotted" w:sz="4" w:space="0" w:color="auto"/>
              <w:bottom w:val="dotted" w:sz="4" w:space="0" w:color="auto"/>
              <w:right w:val="dotted" w:sz="4" w:space="0" w:color="auto"/>
            </w:tcBorders>
          </w:tcPr>
          <w:p w14:paraId="183DFCDE" w14:textId="77777777" w:rsidR="00756E07" w:rsidRPr="008848D6" w:rsidRDefault="00756E07" w:rsidP="00CB78C5">
            <w:pPr>
              <w:pStyle w:val="NoSpacing"/>
              <w:rPr>
                <w:rFonts w:asciiTheme="majorHAnsi" w:hAnsiTheme="majorHAnsi"/>
              </w:rPr>
            </w:pPr>
            <w:r>
              <w:rPr>
                <w:rFonts w:asciiTheme="majorHAnsi" w:hAnsiTheme="majorHAnsi"/>
              </w:rPr>
              <w:t>29-10-2026</w:t>
            </w:r>
          </w:p>
        </w:tc>
        <w:tc>
          <w:tcPr>
            <w:tcW w:w="2295" w:type="dxa"/>
            <w:tcBorders>
              <w:top w:val="dotted" w:sz="4" w:space="0" w:color="auto"/>
              <w:left w:val="dotted" w:sz="4" w:space="0" w:color="auto"/>
              <w:bottom w:val="dotted" w:sz="4" w:space="0" w:color="auto"/>
              <w:right w:val="dotted" w:sz="4" w:space="0" w:color="auto"/>
            </w:tcBorders>
          </w:tcPr>
          <w:p w14:paraId="6351DBB0" w14:textId="77777777" w:rsidR="00756E07" w:rsidRPr="008848D6" w:rsidRDefault="00756E07" w:rsidP="0041450E">
            <w:pPr>
              <w:pStyle w:val="NoSpacing"/>
              <w:rPr>
                <w:rFonts w:asciiTheme="majorHAnsi" w:hAnsiTheme="majorHAnsi"/>
              </w:rPr>
            </w:pPr>
            <w:r>
              <w:rPr>
                <w:rFonts w:asciiTheme="majorHAnsi" w:hAnsiTheme="majorHAnsi"/>
              </w:rPr>
              <w:t>Utsav Verma</w:t>
            </w:r>
          </w:p>
        </w:tc>
        <w:tc>
          <w:tcPr>
            <w:tcW w:w="3897" w:type="dxa"/>
            <w:tcBorders>
              <w:top w:val="dotted" w:sz="4" w:space="0" w:color="auto"/>
              <w:left w:val="dotted" w:sz="4" w:space="0" w:color="auto"/>
              <w:bottom w:val="dotted" w:sz="4" w:space="0" w:color="auto"/>
              <w:right w:val="dotted" w:sz="4" w:space="0" w:color="auto"/>
            </w:tcBorders>
          </w:tcPr>
          <w:p w14:paraId="6CC60448" w14:textId="77777777" w:rsidR="00756E07" w:rsidRPr="008848D6" w:rsidRDefault="00756E07" w:rsidP="0041450E">
            <w:pPr>
              <w:pStyle w:val="NoSpacing"/>
              <w:rPr>
                <w:rFonts w:asciiTheme="majorHAnsi" w:hAnsiTheme="majorHAnsi"/>
              </w:rPr>
            </w:pPr>
            <w:r>
              <w:rPr>
                <w:rFonts w:asciiTheme="majorHAnsi" w:hAnsiTheme="majorHAnsi"/>
              </w:rPr>
              <w:t>us-east-2 warm standby (SAD v1.2): a fourth cluster, EKS fee USD 292 a month, upgrade effort 15–21 person-days a year, us-east-2 prices confirmed; MongoDB removed (SAD v1.3); SAD reference updated to v1.4</w:t>
            </w:r>
          </w:p>
        </w:tc>
      </w:tr>
      <w:tr w:rsidR="00756E07" w:rsidRPr="008848D6" w14:paraId="220DBCB3" w14:textId="77777777" w:rsidTr="00756E07">
        <w:tc>
          <w:tcPr>
            <w:tcW w:w="1176" w:type="dxa"/>
            <w:tcBorders>
              <w:top w:val="dotted" w:sz="4" w:space="0" w:color="auto"/>
              <w:left w:val="dotted" w:sz="4" w:space="0" w:color="auto"/>
              <w:bottom w:val="dotted" w:sz="4" w:space="0" w:color="auto"/>
              <w:right w:val="dotted" w:sz="4" w:space="0" w:color="auto"/>
            </w:tcBorders>
          </w:tcPr>
          <w:p w14:paraId="6A43F505" w14:textId="77777777" w:rsidR="00756E07" w:rsidRPr="008848D6" w:rsidRDefault="00756E07" w:rsidP="00C22C69">
            <w:pPr>
              <w:pStyle w:val="NoSpacing"/>
              <w:rPr>
                <w:rFonts w:asciiTheme="majorHAnsi" w:hAnsiTheme="majorHAnsi"/>
              </w:rPr>
            </w:pPr>
            <w:r>
              <w:rPr>
                <w:rFonts w:asciiTheme="majorHAnsi" w:hAnsiTheme="majorHAnsi"/>
              </w:rPr>
              <w:t>2.2</w:t>
            </w:r>
          </w:p>
        </w:tc>
        <w:tc>
          <w:tcPr>
            <w:tcW w:w="1648" w:type="dxa"/>
            <w:tcBorders>
              <w:top w:val="dotted" w:sz="4" w:space="0" w:color="auto"/>
              <w:left w:val="dotted" w:sz="4" w:space="0" w:color="auto"/>
              <w:bottom w:val="dotted" w:sz="4" w:space="0" w:color="auto"/>
              <w:right w:val="dotted" w:sz="4" w:space="0" w:color="auto"/>
            </w:tcBorders>
          </w:tcPr>
          <w:p w14:paraId="6AEF847D" w14:textId="77777777" w:rsidR="00756E07" w:rsidRPr="008848D6" w:rsidRDefault="00756E07" w:rsidP="00CB78C5">
            <w:pPr>
              <w:pStyle w:val="NoSpacing"/>
              <w:rPr>
                <w:rFonts w:asciiTheme="majorHAnsi" w:hAnsiTheme="majorHAnsi"/>
              </w:rPr>
            </w:pPr>
            <w:r>
              <w:rPr>
                <w:rFonts w:asciiTheme="majorHAnsi" w:hAnsiTheme="majorHAnsi"/>
              </w:rPr>
              <w:t>30-10-2026</w:t>
            </w:r>
          </w:p>
        </w:tc>
        <w:tc>
          <w:tcPr>
            <w:tcW w:w="2295" w:type="dxa"/>
            <w:tcBorders>
              <w:top w:val="dotted" w:sz="4" w:space="0" w:color="auto"/>
              <w:left w:val="dotted" w:sz="4" w:space="0" w:color="auto"/>
              <w:bottom w:val="dotted" w:sz="4" w:space="0" w:color="auto"/>
              <w:right w:val="dotted" w:sz="4" w:space="0" w:color="auto"/>
            </w:tcBorders>
          </w:tcPr>
          <w:p w14:paraId="4BB577F2" w14:textId="77777777" w:rsidR="00756E07" w:rsidRPr="008848D6" w:rsidRDefault="00756E07" w:rsidP="0041450E">
            <w:pPr>
              <w:pStyle w:val="NoSpacing"/>
              <w:rPr>
                <w:rFonts w:asciiTheme="majorHAnsi" w:hAnsiTheme="majorHAnsi"/>
              </w:rPr>
            </w:pPr>
            <w:r>
              <w:rPr>
                <w:rFonts w:asciiTheme="majorHAnsi" w:hAnsiTheme="majorHAnsi"/>
              </w:rPr>
              <w:t>Utsav Verma</w:t>
            </w:r>
          </w:p>
        </w:tc>
        <w:tc>
          <w:tcPr>
            <w:tcW w:w="3897" w:type="dxa"/>
            <w:tcBorders>
              <w:top w:val="dotted" w:sz="4" w:space="0" w:color="auto"/>
              <w:left w:val="dotted" w:sz="4" w:space="0" w:color="auto"/>
              <w:bottom w:val="dotted" w:sz="4" w:space="0" w:color="auto"/>
              <w:right w:val="dotted" w:sz="4" w:space="0" w:color="auto"/>
            </w:tcBorders>
          </w:tcPr>
          <w:p w14:paraId="1E5AB81A" w14:textId="77777777" w:rsidR="00756E07" w:rsidRPr="008848D6" w:rsidRDefault="00756E07" w:rsidP="0041450E">
            <w:pPr>
              <w:pStyle w:val="NoSpacing"/>
              <w:rPr>
                <w:rFonts w:asciiTheme="majorHAnsi" w:hAnsiTheme="majorHAnsi"/>
              </w:rPr>
            </w:pPr>
            <w:r>
              <w:rPr>
                <w:rFonts w:asciiTheme="majorHAnsi" w:hAnsiTheme="majorHAnsi"/>
              </w:rPr>
              <w:t>The point matrix is defined here only; the Compute DAR, Section 4.5, now records the result and points to this document</w:t>
            </w:r>
          </w:p>
        </w:tc>
      </w:tr>
      <w:tr w:rsidR="00756E07" w:rsidRPr="008848D6" w14:paraId="69DC1C38" w14:textId="77777777" w:rsidTr="00756E07">
        <w:tc>
          <w:tcPr>
            <w:tcW w:w="1176" w:type="dxa"/>
            <w:tcBorders>
              <w:top w:val="dotted" w:sz="4" w:space="0" w:color="auto"/>
              <w:left w:val="dotted" w:sz="4" w:space="0" w:color="auto"/>
              <w:bottom w:val="dotted" w:sz="4" w:space="0" w:color="auto"/>
              <w:right w:val="dotted" w:sz="4" w:space="0" w:color="auto"/>
            </w:tcBorders>
          </w:tcPr>
          <w:p w14:paraId="0638A875"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46A35776"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035F243C"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73FDC785" w14:textId="77777777" w:rsidR="00756E07" w:rsidRPr="008848D6" w:rsidRDefault="00756E07" w:rsidP="0041450E">
            <w:pPr>
              <w:pStyle w:val="NoSpacing"/>
              <w:rPr>
                <w:rFonts w:asciiTheme="majorHAnsi" w:hAnsiTheme="majorHAnsi"/>
              </w:rPr>
            </w:pPr>
          </w:p>
        </w:tc>
      </w:tr>
    </w:tbl>
    <w:p w14:paraId="3C33878E" w14:textId="77777777" w:rsidR="00756E07" w:rsidRPr="008848D6" w:rsidRDefault="00756E07" w:rsidP="00C22C69">
      <w:pPr>
        <w:pStyle w:val="NoSpacing"/>
        <w:rPr>
          <w:rFonts w:asciiTheme="majorHAnsi" w:hAnsiTheme="majorHAnsi"/>
        </w:rPr>
      </w:pPr>
    </w:p>
    <w:p w14:paraId="1FE42C0D" w14:textId="77777777" w:rsidR="00756E07" w:rsidRPr="008848D6" w:rsidRDefault="00756E07" w:rsidP="00C22C69">
      <w:pPr>
        <w:spacing w:line="240" w:lineRule="auto"/>
        <w:rPr>
          <w:rFonts w:asciiTheme="majorHAnsi" w:hAnsiTheme="majorHAnsi"/>
        </w:rPr>
      </w:pPr>
      <w:r w:rsidRPr="008848D6">
        <w:rPr>
          <w:rFonts w:asciiTheme="majorHAnsi" w:hAnsiTheme="majorHAnsi"/>
        </w:rPr>
        <w:br w:type="page"/>
      </w:r>
    </w:p>
    <w:sdt>
      <w:sdtPr>
        <w:rPr>
          <w:rFonts w:asciiTheme="minorHAnsi" w:eastAsiaTheme="minorEastAsia" w:hAnsiTheme="minorHAnsi" w:cstheme="minorBidi"/>
          <w:b w:val="0"/>
          <w:bCs w:val="0"/>
          <w:color w:val="auto"/>
          <w:sz w:val="22"/>
          <w:szCs w:val="22"/>
          <w:lang w:val="en-IN"/>
        </w:rPr>
        <w:id w:val="462467966"/>
        <w:docPartObj>
          <w:docPartGallery w:val="Table of Contents"/>
          <w:docPartUnique/>
        </w:docPartObj>
      </w:sdtPr>
      <w:sdtEndPr>
        <w:rPr>
          <w:rFonts w:ascii="Calibri Light" w:eastAsiaTheme="minorHAnsi" w:hAnsi="Calibri Light"/>
          <w:noProof/>
          <w:lang w:val="en-US"/>
        </w:rPr>
      </w:sdtEndPr>
      <w:sdtContent>
        <w:p w14:paraId="0F7AC3EB" w14:textId="77777777" w:rsidR="00756E07" w:rsidRPr="008848D6" w:rsidRDefault="00756E07" w:rsidP="00C22C69">
          <w:pPr>
            <w:pStyle w:val="TOCHeading"/>
            <w:spacing w:line="240" w:lineRule="auto"/>
          </w:pPr>
          <w:r w:rsidRPr="008848D6">
            <w:t>Contents</w:t>
          </w:r>
        </w:p>
        <w:p w14:paraId="1A1DB2DA" w14:textId="56C7CA4D" w:rsidR="00106C46" w:rsidRDefault="00756E07">
          <w:pPr>
            <w:pStyle w:val="TOC1"/>
            <w:rPr>
              <w:rFonts w:asciiTheme="minorHAnsi" w:hAnsiTheme="minorHAnsi"/>
              <w:noProof/>
              <w:kern w:val="2"/>
              <w:sz w:val="24"/>
              <w:szCs w:val="24"/>
              <w:lang w:val="en-IN" w:eastAsia="en-IN"/>
              <w14:ligatures w14:val="standardContextual"/>
            </w:rPr>
          </w:pPr>
          <w:r w:rsidRPr="008848D6">
            <w:rPr>
              <w:rFonts w:asciiTheme="majorHAnsi" w:hAnsiTheme="majorHAnsi"/>
            </w:rPr>
            <w:fldChar w:fldCharType="begin"/>
          </w:r>
          <w:r w:rsidRPr="008848D6">
            <w:rPr>
              <w:rFonts w:asciiTheme="majorHAnsi" w:hAnsiTheme="majorHAnsi"/>
            </w:rPr>
            <w:instrText xml:space="preserve"> TOC \o "1-3" \h \z \u </w:instrText>
          </w:r>
          <w:r w:rsidRPr="008848D6">
            <w:rPr>
              <w:rFonts w:asciiTheme="majorHAnsi" w:hAnsiTheme="majorHAnsi"/>
            </w:rPr>
            <w:fldChar w:fldCharType="separate"/>
          </w:r>
          <w:hyperlink w:anchor="_Toc244213660" w:history="1">
            <w:r w:rsidR="00106C46" w:rsidRPr="004513F3">
              <w:rPr>
                <w:rStyle w:val="Hyperlink"/>
                <w:noProof/>
              </w:rPr>
              <w:t>1</w:t>
            </w:r>
            <w:r w:rsidR="00106C46">
              <w:rPr>
                <w:rFonts w:asciiTheme="minorHAnsi" w:hAnsiTheme="minorHAnsi"/>
                <w:noProof/>
                <w:kern w:val="2"/>
                <w:sz w:val="24"/>
                <w:szCs w:val="24"/>
                <w:lang w:val="en-IN" w:eastAsia="en-IN"/>
                <w14:ligatures w14:val="standardContextual"/>
              </w:rPr>
              <w:tab/>
            </w:r>
            <w:r w:rsidR="00106C46" w:rsidRPr="004513F3">
              <w:rPr>
                <w:rStyle w:val="Hyperlink"/>
                <w:noProof/>
              </w:rPr>
              <w:t>Introduction</w:t>
            </w:r>
            <w:r w:rsidR="00106C46">
              <w:rPr>
                <w:noProof/>
                <w:webHidden/>
              </w:rPr>
              <w:tab/>
            </w:r>
            <w:r w:rsidR="00106C46">
              <w:rPr>
                <w:noProof/>
                <w:webHidden/>
              </w:rPr>
              <w:fldChar w:fldCharType="begin"/>
            </w:r>
            <w:r w:rsidR="00106C46">
              <w:rPr>
                <w:noProof/>
                <w:webHidden/>
              </w:rPr>
              <w:instrText xml:space="preserve"> PAGEREF _Toc244213660 \h </w:instrText>
            </w:r>
            <w:r w:rsidR="00106C46">
              <w:rPr>
                <w:noProof/>
                <w:webHidden/>
              </w:rPr>
            </w:r>
            <w:r w:rsidR="00106C46">
              <w:rPr>
                <w:noProof/>
                <w:webHidden/>
              </w:rPr>
              <w:fldChar w:fldCharType="separate"/>
            </w:r>
            <w:r w:rsidR="00106C46">
              <w:rPr>
                <w:noProof/>
                <w:webHidden/>
              </w:rPr>
              <w:t>4</w:t>
            </w:r>
            <w:r w:rsidR="00106C46">
              <w:rPr>
                <w:noProof/>
                <w:webHidden/>
              </w:rPr>
              <w:fldChar w:fldCharType="end"/>
            </w:r>
          </w:hyperlink>
        </w:p>
        <w:p w14:paraId="00631B55" w14:textId="6D65AF74"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61" w:history="1">
            <w:r w:rsidRPr="004513F3">
              <w:rPr>
                <w:rStyle w:val="Hyperlink"/>
                <w:noProof/>
              </w:rPr>
              <w:t>1.1</w:t>
            </w:r>
            <w:r>
              <w:rPr>
                <w:rFonts w:asciiTheme="minorHAnsi" w:hAnsiTheme="minorHAnsi"/>
                <w:noProof/>
                <w:kern w:val="2"/>
                <w:sz w:val="24"/>
                <w:szCs w:val="24"/>
                <w:lang w:val="en-IN" w:eastAsia="en-IN"/>
                <w14:ligatures w14:val="standardContextual"/>
              </w:rPr>
              <w:tab/>
            </w:r>
            <w:r w:rsidRPr="004513F3">
              <w:rPr>
                <w:rStyle w:val="Hyperlink"/>
                <w:noProof/>
              </w:rPr>
              <w:t>Objective and scope of the document</w:t>
            </w:r>
            <w:r>
              <w:rPr>
                <w:noProof/>
                <w:webHidden/>
              </w:rPr>
              <w:tab/>
            </w:r>
            <w:r>
              <w:rPr>
                <w:noProof/>
                <w:webHidden/>
              </w:rPr>
              <w:fldChar w:fldCharType="begin"/>
            </w:r>
            <w:r>
              <w:rPr>
                <w:noProof/>
                <w:webHidden/>
              </w:rPr>
              <w:instrText xml:space="preserve"> PAGEREF _Toc244213661 \h </w:instrText>
            </w:r>
            <w:r>
              <w:rPr>
                <w:noProof/>
                <w:webHidden/>
              </w:rPr>
            </w:r>
            <w:r>
              <w:rPr>
                <w:noProof/>
                <w:webHidden/>
              </w:rPr>
              <w:fldChar w:fldCharType="separate"/>
            </w:r>
            <w:r>
              <w:rPr>
                <w:noProof/>
                <w:webHidden/>
              </w:rPr>
              <w:t>4</w:t>
            </w:r>
            <w:r>
              <w:rPr>
                <w:noProof/>
                <w:webHidden/>
              </w:rPr>
              <w:fldChar w:fldCharType="end"/>
            </w:r>
          </w:hyperlink>
        </w:p>
        <w:p w14:paraId="751C3FF3" w14:textId="7C6628FE" w:rsidR="00106C46" w:rsidRDefault="00106C46">
          <w:pPr>
            <w:pStyle w:val="TOC1"/>
            <w:rPr>
              <w:rFonts w:asciiTheme="minorHAnsi" w:hAnsiTheme="minorHAnsi"/>
              <w:noProof/>
              <w:kern w:val="2"/>
              <w:sz w:val="24"/>
              <w:szCs w:val="24"/>
              <w:lang w:val="en-IN" w:eastAsia="en-IN"/>
              <w14:ligatures w14:val="standardContextual"/>
            </w:rPr>
          </w:pPr>
          <w:hyperlink w:anchor="_Toc244213662" w:history="1">
            <w:r w:rsidRPr="004513F3">
              <w:rPr>
                <w:rStyle w:val="Hyperlink"/>
                <w:noProof/>
              </w:rPr>
              <w:t>2</w:t>
            </w:r>
            <w:r>
              <w:rPr>
                <w:rFonts w:asciiTheme="minorHAnsi" w:hAnsiTheme="minorHAnsi"/>
                <w:noProof/>
                <w:kern w:val="2"/>
                <w:sz w:val="24"/>
                <w:szCs w:val="24"/>
                <w:lang w:val="en-IN" w:eastAsia="en-IN"/>
                <w14:ligatures w14:val="standardContextual"/>
              </w:rPr>
              <w:tab/>
            </w:r>
            <w:r w:rsidRPr="004513F3">
              <w:rPr>
                <w:rStyle w:val="Hyperlink"/>
                <w:noProof/>
              </w:rPr>
              <w:t>Requirements at a Glance</w:t>
            </w:r>
            <w:r>
              <w:rPr>
                <w:noProof/>
                <w:webHidden/>
              </w:rPr>
              <w:tab/>
            </w:r>
            <w:r>
              <w:rPr>
                <w:noProof/>
                <w:webHidden/>
              </w:rPr>
              <w:fldChar w:fldCharType="begin"/>
            </w:r>
            <w:r>
              <w:rPr>
                <w:noProof/>
                <w:webHidden/>
              </w:rPr>
              <w:instrText xml:space="preserve"> PAGEREF _Toc244213662 \h </w:instrText>
            </w:r>
            <w:r>
              <w:rPr>
                <w:noProof/>
                <w:webHidden/>
              </w:rPr>
            </w:r>
            <w:r>
              <w:rPr>
                <w:noProof/>
                <w:webHidden/>
              </w:rPr>
              <w:fldChar w:fldCharType="separate"/>
            </w:r>
            <w:r>
              <w:rPr>
                <w:noProof/>
                <w:webHidden/>
              </w:rPr>
              <w:t>6</w:t>
            </w:r>
            <w:r>
              <w:rPr>
                <w:noProof/>
                <w:webHidden/>
              </w:rPr>
              <w:fldChar w:fldCharType="end"/>
            </w:r>
          </w:hyperlink>
        </w:p>
        <w:p w14:paraId="57CE56B2" w14:textId="009B5424" w:rsidR="00106C46" w:rsidRDefault="00106C46">
          <w:pPr>
            <w:pStyle w:val="TOC1"/>
            <w:rPr>
              <w:rFonts w:asciiTheme="minorHAnsi" w:hAnsiTheme="minorHAnsi"/>
              <w:noProof/>
              <w:kern w:val="2"/>
              <w:sz w:val="24"/>
              <w:szCs w:val="24"/>
              <w:lang w:val="en-IN" w:eastAsia="en-IN"/>
              <w14:ligatures w14:val="standardContextual"/>
            </w:rPr>
          </w:pPr>
          <w:hyperlink w:anchor="_Toc244213663" w:history="1">
            <w:r w:rsidRPr="004513F3">
              <w:rPr>
                <w:rStyle w:val="Hyperlink"/>
                <w:noProof/>
              </w:rPr>
              <w:t>3</w:t>
            </w:r>
            <w:r>
              <w:rPr>
                <w:rFonts w:asciiTheme="minorHAnsi" w:hAnsiTheme="minorHAnsi"/>
                <w:noProof/>
                <w:kern w:val="2"/>
                <w:sz w:val="24"/>
                <w:szCs w:val="24"/>
                <w:lang w:val="en-IN" w:eastAsia="en-IN"/>
                <w14:ligatures w14:val="standardContextual"/>
              </w:rPr>
              <w:tab/>
            </w:r>
            <w:r w:rsidRPr="004513F3">
              <w:rPr>
                <w:rStyle w:val="Hyperlink"/>
                <w:noProof/>
              </w:rPr>
              <w:t>Available tools</w:t>
            </w:r>
            <w:r>
              <w:rPr>
                <w:noProof/>
                <w:webHidden/>
              </w:rPr>
              <w:tab/>
            </w:r>
            <w:r>
              <w:rPr>
                <w:noProof/>
                <w:webHidden/>
              </w:rPr>
              <w:fldChar w:fldCharType="begin"/>
            </w:r>
            <w:r>
              <w:rPr>
                <w:noProof/>
                <w:webHidden/>
              </w:rPr>
              <w:instrText xml:space="preserve"> PAGEREF _Toc244213663 \h </w:instrText>
            </w:r>
            <w:r>
              <w:rPr>
                <w:noProof/>
                <w:webHidden/>
              </w:rPr>
            </w:r>
            <w:r>
              <w:rPr>
                <w:noProof/>
                <w:webHidden/>
              </w:rPr>
              <w:fldChar w:fldCharType="separate"/>
            </w:r>
            <w:r>
              <w:rPr>
                <w:noProof/>
                <w:webHidden/>
              </w:rPr>
              <w:t>9</w:t>
            </w:r>
            <w:r>
              <w:rPr>
                <w:noProof/>
                <w:webHidden/>
              </w:rPr>
              <w:fldChar w:fldCharType="end"/>
            </w:r>
          </w:hyperlink>
        </w:p>
        <w:p w14:paraId="21E0D7D6" w14:textId="729CCC80"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64" w:history="1">
            <w:r w:rsidRPr="004513F3">
              <w:rPr>
                <w:rStyle w:val="Hyperlink"/>
                <w:noProof/>
              </w:rPr>
              <w:t>3.1</w:t>
            </w:r>
            <w:r>
              <w:rPr>
                <w:rFonts w:asciiTheme="minorHAnsi" w:hAnsiTheme="minorHAnsi"/>
                <w:noProof/>
                <w:kern w:val="2"/>
                <w:sz w:val="24"/>
                <w:szCs w:val="24"/>
                <w:lang w:val="en-IN" w:eastAsia="en-IN"/>
                <w14:ligatures w14:val="standardContextual"/>
              </w:rPr>
              <w:tab/>
            </w:r>
            <w:r w:rsidRPr="004513F3">
              <w:rPr>
                <w:rStyle w:val="Hyperlink"/>
                <w:noProof/>
              </w:rPr>
              <w:t>Amazon ECS on AWS Fargate</w:t>
            </w:r>
            <w:r>
              <w:rPr>
                <w:noProof/>
                <w:webHidden/>
              </w:rPr>
              <w:tab/>
            </w:r>
            <w:r>
              <w:rPr>
                <w:noProof/>
                <w:webHidden/>
              </w:rPr>
              <w:fldChar w:fldCharType="begin"/>
            </w:r>
            <w:r>
              <w:rPr>
                <w:noProof/>
                <w:webHidden/>
              </w:rPr>
              <w:instrText xml:space="preserve"> PAGEREF _Toc244213664 \h </w:instrText>
            </w:r>
            <w:r>
              <w:rPr>
                <w:noProof/>
                <w:webHidden/>
              </w:rPr>
            </w:r>
            <w:r>
              <w:rPr>
                <w:noProof/>
                <w:webHidden/>
              </w:rPr>
              <w:fldChar w:fldCharType="separate"/>
            </w:r>
            <w:r>
              <w:rPr>
                <w:noProof/>
                <w:webHidden/>
              </w:rPr>
              <w:t>9</w:t>
            </w:r>
            <w:r>
              <w:rPr>
                <w:noProof/>
                <w:webHidden/>
              </w:rPr>
              <w:fldChar w:fldCharType="end"/>
            </w:r>
          </w:hyperlink>
        </w:p>
        <w:p w14:paraId="49C4F92B" w14:textId="2C627B6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44213665" w:history="1">
            <w:r w:rsidRPr="004513F3">
              <w:rPr>
                <w:rStyle w:val="Hyperlink"/>
                <w:noProof/>
              </w:rPr>
              <w:t>3.1.1</w:t>
            </w:r>
            <w:r>
              <w:rPr>
                <w:rFonts w:asciiTheme="minorHAnsi" w:hAnsiTheme="minorHAnsi"/>
                <w:noProof/>
                <w:kern w:val="2"/>
                <w:sz w:val="24"/>
                <w:szCs w:val="24"/>
                <w:lang w:val="en-IN" w:eastAsia="en-IN"/>
                <w14:ligatures w14:val="standardContextual"/>
              </w:rPr>
              <w:tab/>
            </w:r>
            <w:r w:rsidRPr="004513F3">
              <w:rPr>
                <w:rStyle w:val="Hyperlink"/>
                <w:noProof/>
              </w:rPr>
              <w:t>Features</w:t>
            </w:r>
            <w:r>
              <w:rPr>
                <w:noProof/>
                <w:webHidden/>
              </w:rPr>
              <w:tab/>
            </w:r>
            <w:r>
              <w:rPr>
                <w:noProof/>
                <w:webHidden/>
              </w:rPr>
              <w:fldChar w:fldCharType="begin"/>
            </w:r>
            <w:r>
              <w:rPr>
                <w:noProof/>
                <w:webHidden/>
              </w:rPr>
              <w:instrText xml:space="preserve"> PAGEREF _Toc244213665 \h </w:instrText>
            </w:r>
            <w:r>
              <w:rPr>
                <w:noProof/>
                <w:webHidden/>
              </w:rPr>
            </w:r>
            <w:r>
              <w:rPr>
                <w:noProof/>
                <w:webHidden/>
              </w:rPr>
              <w:fldChar w:fldCharType="separate"/>
            </w:r>
            <w:r>
              <w:rPr>
                <w:noProof/>
                <w:webHidden/>
              </w:rPr>
              <w:t>9</w:t>
            </w:r>
            <w:r>
              <w:rPr>
                <w:noProof/>
                <w:webHidden/>
              </w:rPr>
              <w:fldChar w:fldCharType="end"/>
            </w:r>
          </w:hyperlink>
        </w:p>
        <w:p w14:paraId="2497CAF4" w14:textId="5BDE4C82"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44213666" w:history="1">
            <w:r w:rsidRPr="004513F3">
              <w:rPr>
                <w:rStyle w:val="Hyperlink"/>
                <w:noProof/>
              </w:rPr>
              <w:t>3.1.2</w:t>
            </w:r>
            <w:r>
              <w:rPr>
                <w:rFonts w:asciiTheme="minorHAnsi" w:hAnsiTheme="minorHAnsi"/>
                <w:noProof/>
                <w:kern w:val="2"/>
                <w:sz w:val="24"/>
                <w:szCs w:val="24"/>
                <w:lang w:val="en-IN" w:eastAsia="en-IN"/>
                <w14:ligatures w14:val="standardContextual"/>
              </w:rPr>
              <w:tab/>
            </w:r>
            <w:r w:rsidRPr="004513F3">
              <w:rPr>
                <w:rStyle w:val="Hyperlink"/>
                <w:noProof/>
              </w:rPr>
              <w:t>Pricing</w:t>
            </w:r>
            <w:r>
              <w:rPr>
                <w:noProof/>
                <w:webHidden/>
              </w:rPr>
              <w:tab/>
            </w:r>
            <w:r>
              <w:rPr>
                <w:noProof/>
                <w:webHidden/>
              </w:rPr>
              <w:fldChar w:fldCharType="begin"/>
            </w:r>
            <w:r>
              <w:rPr>
                <w:noProof/>
                <w:webHidden/>
              </w:rPr>
              <w:instrText xml:space="preserve"> PAGEREF _Toc244213666 \h </w:instrText>
            </w:r>
            <w:r>
              <w:rPr>
                <w:noProof/>
                <w:webHidden/>
              </w:rPr>
            </w:r>
            <w:r>
              <w:rPr>
                <w:noProof/>
                <w:webHidden/>
              </w:rPr>
              <w:fldChar w:fldCharType="separate"/>
            </w:r>
            <w:r>
              <w:rPr>
                <w:noProof/>
                <w:webHidden/>
              </w:rPr>
              <w:t>11</w:t>
            </w:r>
            <w:r>
              <w:rPr>
                <w:noProof/>
                <w:webHidden/>
              </w:rPr>
              <w:fldChar w:fldCharType="end"/>
            </w:r>
          </w:hyperlink>
        </w:p>
        <w:p w14:paraId="6E51AE6E" w14:textId="3881AEC9"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67" w:history="1">
            <w:r w:rsidRPr="004513F3">
              <w:rPr>
                <w:rStyle w:val="Hyperlink"/>
                <w:noProof/>
              </w:rPr>
              <w:t>3.2</w:t>
            </w:r>
            <w:r>
              <w:rPr>
                <w:rFonts w:asciiTheme="minorHAnsi" w:hAnsiTheme="minorHAnsi"/>
                <w:noProof/>
                <w:kern w:val="2"/>
                <w:sz w:val="24"/>
                <w:szCs w:val="24"/>
                <w:lang w:val="en-IN" w:eastAsia="en-IN"/>
                <w14:ligatures w14:val="standardContextual"/>
              </w:rPr>
              <w:tab/>
            </w:r>
            <w:r w:rsidRPr="004513F3">
              <w:rPr>
                <w:rStyle w:val="Hyperlink"/>
                <w:noProof/>
              </w:rPr>
              <w:t>Amazon EKS (on AWS Fargate or Managed Node Groups)</w:t>
            </w:r>
            <w:r>
              <w:rPr>
                <w:noProof/>
                <w:webHidden/>
              </w:rPr>
              <w:tab/>
            </w:r>
            <w:r>
              <w:rPr>
                <w:noProof/>
                <w:webHidden/>
              </w:rPr>
              <w:fldChar w:fldCharType="begin"/>
            </w:r>
            <w:r>
              <w:rPr>
                <w:noProof/>
                <w:webHidden/>
              </w:rPr>
              <w:instrText xml:space="preserve"> PAGEREF _Toc244213667 \h </w:instrText>
            </w:r>
            <w:r>
              <w:rPr>
                <w:noProof/>
                <w:webHidden/>
              </w:rPr>
            </w:r>
            <w:r>
              <w:rPr>
                <w:noProof/>
                <w:webHidden/>
              </w:rPr>
              <w:fldChar w:fldCharType="separate"/>
            </w:r>
            <w:r>
              <w:rPr>
                <w:noProof/>
                <w:webHidden/>
              </w:rPr>
              <w:t>11</w:t>
            </w:r>
            <w:r>
              <w:rPr>
                <w:noProof/>
                <w:webHidden/>
              </w:rPr>
              <w:fldChar w:fldCharType="end"/>
            </w:r>
          </w:hyperlink>
        </w:p>
        <w:p w14:paraId="4E9DB037" w14:textId="460A14CE"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44213668" w:history="1">
            <w:r w:rsidRPr="004513F3">
              <w:rPr>
                <w:rStyle w:val="Hyperlink"/>
                <w:noProof/>
              </w:rPr>
              <w:t>3.2.1</w:t>
            </w:r>
            <w:r>
              <w:rPr>
                <w:rFonts w:asciiTheme="minorHAnsi" w:hAnsiTheme="minorHAnsi"/>
                <w:noProof/>
                <w:kern w:val="2"/>
                <w:sz w:val="24"/>
                <w:szCs w:val="24"/>
                <w:lang w:val="en-IN" w:eastAsia="en-IN"/>
                <w14:ligatures w14:val="standardContextual"/>
              </w:rPr>
              <w:tab/>
            </w:r>
            <w:r w:rsidRPr="004513F3">
              <w:rPr>
                <w:rStyle w:val="Hyperlink"/>
                <w:noProof/>
              </w:rPr>
              <w:t>Features</w:t>
            </w:r>
            <w:r>
              <w:rPr>
                <w:noProof/>
                <w:webHidden/>
              </w:rPr>
              <w:tab/>
            </w:r>
            <w:r>
              <w:rPr>
                <w:noProof/>
                <w:webHidden/>
              </w:rPr>
              <w:fldChar w:fldCharType="begin"/>
            </w:r>
            <w:r>
              <w:rPr>
                <w:noProof/>
                <w:webHidden/>
              </w:rPr>
              <w:instrText xml:space="preserve"> PAGEREF _Toc244213668 \h </w:instrText>
            </w:r>
            <w:r>
              <w:rPr>
                <w:noProof/>
                <w:webHidden/>
              </w:rPr>
            </w:r>
            <w:r>
              <w:rPr>
                <w:noProof/>
                <w:webHidden/>
              </w:rPr>
              <w:fldChar w:fldCharType="separate"/>
            </w:r>
            <w:r>
              <w:rPr>
                <w:noProof/>
                <w:webHidden/>
              </w:rPr>
              <w:t>12</w:t>
            </w:r>
            <w:r>
              <w:rPr>
                <w:noProof/>
                <w:webHidden/>
              </w:rPr>
              <w:fldChar w:fldCharType="end"/>
            </w:r>
          </w:hyperlink>
        </w:p>
        <w:p w14:paraId="127E0A5F" w14:textId="4FC1A4A5" w:rsidR="00106C46" w:rsidRDefault="00106C46">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44213669" w:history="1">
            <w:r w:rsidRPr="004513F3">
              <w:rPr>
                <w:rStyle w:val="Hyperlink"/>
                <w:noProof/>
              </w:rPr>
              <w:t>3.2.2</w:t>
            </w:r>
            <w:r>
              <w:rPr>
                <w:rFonts w:asciiTheme="minorHAnsi" w:hAnsiTheme="minorHAnsi"/>
                <w:noProof/>
                <w:kern w:val="2"/>
                <w:sz w:val="24"/>
                <w:szCs w:val="24"/>
                <w:lang w:val="en-IN" w:eastAsia="en-IN"/>
                <w14:ligatures w14:val="standardContextual"/>
              </w:rPr>
              <w:tab/>
            </w:r>
            <w:r w:rsidRPr="004513F3">
              <w:rPr>
                <w:rStyle w:val="Hyperlink"/>
                <w:noProof/>
              </w:rPr>
              <w:t>Pricing</w:t>
            </w:r>
            <w:r>
              <w:rPr>
                <w:noProof/>
                <w:webHidden/>
              </w:rPr>
              <w:tab/>
            </w:r>
            <w:r>
              <w:rPr>
                <w:noProof/>
                <w:webHidden/>
              </w:rPr>
              <w:fldChar w:fldCharType="begin"/>
            </w:r>
            <w:r>
              <w:rPr>
                <w:noProof/>
                <w:webHidden/>
              </w:rPr>
              <w:instrText xml:space="preserve"> PAGEREF _Toc244213669 \h </w:instrText>
            </w:r>
            <w:r>
              <w:rPr>
                <w:noProof/>
                <w:webHidden/>
              </w:rPr>
            </w:r>
            <w:r>
              <w:rPr>
                <w:noProof/>
                <w:webHidden/>
              </w:rPr>
              <w:fldChar w:fldCharType="separate"/>
            </w:r>
            <w:r>
              <w:rPr>
                <w:noProof/>
                <w:webHidden/>
              </w:rPr>
              <w:t>13</w:t>
            </w:r>
            <w:r>
              <w:rPr>
                <w:noProof/>
                <w:webHidden/>
              </w:rPr>
              <w:fldChar w:fldCharType="end"/>
            </w:r>
          </w:hyperlink>
        </w:p>
        <w:p w14:paraId="08609091" w14:textId="7AF50A04" w:rsidR="00106C46" w:rsidRDefault="00106C46">
          <w:pPr>
            <w:pStyle w:val="TOC1"/>
            <w:rPr>
              <w:rFonts w:asciiTheme="minorHAnsi" w:hAnsiTheme="minorHAnsi"/>
              <w:noProof/>
              <w:kern w:val="2"/>
              <w:sz w:val="24"/>
              <w:szCs w:val="24"/>
              <w:lang w:val="en-IN" w:eastAsia="en-IN"/>
              <w14:ligatures w14:val="standardContextual"/>
            </w:rPr>
          </w:pPr>
          <w:hyperlink w:anchor="_Toc244213670" w:history="1">
            <w:r w:rsidRPr="004513F3">
              <w:rPr>
                <w:rStyle w:val="Hyperlink"/>
                <w:noProof/>
              </w:rPr>
              <w:t>4</w:t>
            </w:r>
            <w:r>
              <w:rPr>
                <w:rFonts w:asciiTheme="minorHAnsi" w:hAnsiTheme="minorHAnsi"/>
                <w:noProof/>
                <w:kern w:val="2"/>
                <w:sz w:val="24"/>
                <w:szCs w:val="24"/>
                <w:lang w:val="en-IN" w:eastAsia="en-IN"/>
                <w14:ligatures w14:val="standardContextual"/>
              </w:rPr>
              <w:tab/>
            </w:r>
            <w:r w:rsidRPr="004513F3">
              <w:rPr>
                <w:rStyle w:val="Hyperlink"/>
                <w:noProof/>
              </w:rPr>
              <w:t>Comparison Analysis</w:t>
            </w:r>
            <w:r>
              <w:rPr>
                <w:noProof/>
                <w:webHidden/>
              </w:rPr>
              <w:tab/>
            </w:r>
            <w:r>
              <w:rPr>
                <w:noProof/>
                <w:webHidden/>
              </w:rPr>
              <w:fldChar w:fldCharType="begin"/>
            </w:r>
            <w:r>
              <w:rPr>
                <w:noProof/>
                <w:webHidden/>
              </w:rPr>
              <w:instrText xml:space="preserve"> PAGEREF _Toc244213670 \h </w:instrText>
            </w:r>
            <w:r>
              <w:rPr>
                <w:noProof/>
                <w:webHidden/>
              </w:rPr>
            </w:r>
            <w:r>
              <w:rPr>
                <w:noProof/>
                <w:webHidden/>
              </w:rPr>
              <w:fldChar w:fldCharType="separate"/>
            </w:r>
            <w:r>
              <w:rPr>
                <w:noProof/>
                <w:webHidden/>
              </w:rPr>
              <w:t>14</w:t>
            </w:r>
            <w:r>
              <w:rPr>
                <w:noProof/>
                <w:webHidden/>
              </w:rPr>
              <w:fldChar w:fldCharType="end"/>
            </w:r>
          </w:hyperlink>
        </w:p>
        <w:p w14:paraId="7B96CB09" w14:textId="5D962223"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71" w:history="1">
            <w:r w:rsidRPr="004513F3">
              <w:rPr>
                <w:rStyle w:val="Hyperlink"/>
                <w:noProof/>
              </w:rPr>
              <w:t>4.1</w:t>
            </w:r>
            <w:r>
              <w:rPr>
                <w:rFonts w:asciiTheme="minorHAnsi" w:hAnsiTheme="minorHAnsi"/>
                <w:noProof/>
                <w:kern w:val="2"/>
                <w:sz w:val="24"/>
                <w:szCs w:val="24"/>
                <w:lang w:val="en-IN" w:eastAsia="en-IN"/>
                <w14:ligatures w14:val="standardContextual"/>
              </w:rPr>
              <w:tab/>
            </w:r>
            <w:r w:rsidRPr="004513F3">
              <w:rPr>
                <w:rStyle w:val="Hyperlink"/>
                <w:noProof/>
              </w:rPr>
              <w:t>Point Matrix</w:t>
            </w:r>
            <w:r>
              <w:rPr>
                <w:noProof/>
                <w:webHidden/>
              </w:rPr>
              <w:tab/>
            </w:r>
            <w:r>
              <w:rPr>
                <w:noProof/>
                <w:webHidden/>
              </w:rPr>
              <w:fldChar w:fldCharType="begin"/>
            </w:r>
            <w:r>
              <w:rPr>
                <w:noProof/>
                <w:webHidden/>
              </w:rPr>
              <w:instrText xml:space="preserve"> PAGEREF _Toc244213671 \h </w:instrText>
            </w:r>
            <w:r>
              <w:rPr>
                <w:noProof/>
                <w:webHidden/>
              </w:rPr>
            </w:r>
            <w:r>
              <w:rPr>
                <w:noProof/>
                <w:webHidden/>
              </w:rPr>
              <w:fldChar w:fldCharType="separate"/>
            </w:r>
            <w:r>
              <w:rPr>
                <w:noProof/>
                <w:webHidden/>
              </w:rPr>
              <w:t>14</w:t>
            </w:r>
            <w:r>
              <w:rPr>
                <w:noProof/>
                <w:webHidden/>
              </w:rPr>
              <w:fldChar w:fldCharType="end"/>
            </w:r>
          </w:hyperlink>
        </w:p>
        <w:p w14:paraId="62F81998" w14:textId="53224205"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72" w:history="1">
            <w:r w:rsidRPr="004513F3">
              <w:rPr>
                <w:rStyle w:val="Hyperlink"/>
                <w:noProof/>
              </w:rPr>
              <w:t>4.2</w:t>
            </w:r>
            <w:r>
              <w:rPr>
                <w:rFonts w:asciiTheme="minorHAnsi" w:hAnsiTheme="minorHAnsi"/>
                <w:noProof/>
                <w:kern w:val="2"/>
                <w:sz w:val="24"/>
                <w:szCs w:val="24"/>
                <w:lang w:val="en-IN" w:eastAsia="en-IN"/>
                <w14:ligatures w14:val="standardContextual"/>
              </w:rPr>
              <w:tab/>
            </w:r>
            <w:r w:rsidRPr="004513F3">
              <w:rPr>
                <w:rStyle w:val="Hyperlink"/>
                <w:noProof/>
              </w:rPr>
              <w:t>Comparison 1 — Monthly Cost at eClaims Scale</w:t>
            </w:r>
            <w:r>
              <w:rPr>
                <w:noProof/>
                <w:webHidden/>
              </w:rPr>
              <w:tab/>
            </w:r>
            <w:r>
              <w:rPr>
                <w:noProof/>
                <w:webHidden/>
              </w:rPr>
              <w:fldChar w:fldCharType="begin"/>
            </w:r>
            <w:r>
              <w:rPr>
                <w:noProof/>
                <w:webHidden/>
              </w:rPr>
              <w:instrText xml:space="preserve"> PAGEREF _Toc244213672 \h </w:instrText>
            </w:r>
            <w:r>
              <w:rPr>
                <w:noProof/>
                <w:webHidden/>
              </w:rPr>
            </w:r>
            <w:r>
              <w:rPr>
                <w:noProof/>
                <w:webHidden/>
              </w:rPr>
              <w:fldChar w:fldCharType="separate"/>
            </w:r>
            <w:r>
              <w:rPr>
                <w:noProof/>
                <w:webHidden/>
              </w:rPr>
              <w:t>17</w:t>
            </w:r>
            <w:r>
              <w:rPr>
                <w:noProof/>
                <w:webHidden/>
              </w:rPr>
              <w:fldChar w:fldCharType="end"/>
            </w:r>
          </w:hyperlink>
        </w:p>
        <w:p w14:paraId="62FAC9D6" w14:textId="449CEC7C"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73" w:history="1">
            <w:r w:rsidRPr="004513F3">
              <w:rPr>
                <w:rStyle w:val="Hyperlink"/>
                <w:noProof/>
              </w:rPr>
              <w:t>4.3</w:t>
            </w:r>
            <w:r>
              <w:rPr>
                <w:rFonts w:asciiTheme="minorHAnsi" w:hAnsiTheme="minorHAnsi"/>
                <w:noProof/>
                <w:kern w:val="2"/>
                <w:sz w:val="24"/>
                <w:szCs w:val="24"/>
                <w:lang w:val="en-IN" w:eastAsia="en-IN"/>
                <w14:ligatures w14:val="standardContextual"/>
              </w:rPr>
              <w:tab/>
            </w:r>
            <w:r w:rsidRPr="004513F3">
              <w:rPr>
                <w:rStyle w:val="Hyperlink"/>
                <w:noProof/>
              </w:rPr>
              <w:t>Comparison 2 — Operational Comparison</w:t>
            </w:r>
            <w:r>
              <w:rPr>
                <w:noProof/>
                <w:webHidden/>
              </w:rPr>
              <w:tab/>
            </w:r>
            <w:r>
              <w:rPr>
                <w:noProof/>
                <w:webHidden/>
              </w:rPr>
              <w:fldChar w:fldCharType="begin"/>
            </w:r>
            <w:r>
              <w:rPr>
                <w:noProof/>
                <w:webHidden/>
              </w:rPr>
              <w:instrText xml:space="preserve"> PAGEREF _Toc244213673 \h </w:instrText>
            </w:r>
            <w:r>
              <w:rPr>
                <w:noProof/>
                <w:webHidden/>
              </w:rPr>
            </w:r>
            <w:r>
              <w:rPr>
                <w:noProof/>
                <w:webHidden/>
              </w:rPr>
              <w:fldChar w:fldCharType="separate"/>
            </w:r>
            <w:r>
              <w:rPr>
                <w:noProof/>
                <w:webHidden/>
              </w:rPr>
              <w:t>18</w:t>
            </w:r>
            <w:r>
              <w:rPr>
                <w:noProof/>
                <w:webHidden/>
              </w:rPr>
              <w:fldChar w:fldCharType="end"/>
            </w:r>
          </w:hyperlink>
        </w:p>
        <w:p w14:paraId="4A1E0CFB" w14:textId="6D9B756B" w:rsidR="00106C46" w:rsidRDefault="00106C46">
          <w:pPr>
            <w:pStyle w:val="TOC1"/>
            <w:rPr>
              <w:rFonts w:asciiTheme="minorHAnsi" w:hAnsiTheme="minorHAnsi"/>
              <w:noProof/>
              <w:kern w:val="2"/>
              <w:sz w:val="24"/>
              <w:szCs w:val="24"/>
              <w:lang w:val="en-IN" w:eastAsia="en-IN"/>
              <w14:ligatures w14:val="standardContextual"/>
            </w:rPr>
          </w:pPr>
          <w:hyperlink w:anchor="_Toc244213674" w:history="1">
            <w:r w:rsidRPr="004513F3">
              <w:rPr>
                <w:rStyle w:val="Hyperlink"/>
                <w:noProof/>
              </w:rPr>
              <w:t>5</w:t>
            </w:r>
            <w:r>
              <w:rPr>
                <w:rFonts w:asciiTheme="minorHAnsi" w:hAnsiTheme="minorHAnsi"/>
                <w:noProof/>
                <w:kern w:val="2"/>
                <w:sz w:val="24"/>
                <w:szCs w:val="24"/>
                <w:lang w:val="en-IN" w:eastAsia="en-IN"/>
                <w14:ligatures w14:val="standardContextual"/>
              </w:rPr>
              <w:tab/>
            </w:r>
            <w:r w:rsidRPr="004513F3">
              <w:rPr>
                <w:rStyle w:val="Hyperlink"/>
                <w:noProof/>
              </w:rPr>
              <w:t>Recommendation</w:t>
            </w:r>
            <w:r>
              <w:rPr>
                <w:noProof/>
                <w:webHidden/>
              </w:rPr>
              <w:tab/>
            </w:r>
            <w:r>
              <w:rPr>
                <w:noProof/>
                <w:webHidden/>
              </w:rPr>
              <w:fldChar w:fldCharType="begin"/>
            </w:r>
            <w:r>
              <w:rPr>
                <w:noProof/>
                <w:webHidden/>
              </w:rPr>
              <w:instrText xml:space="preserve"> PAGEREF _Toc244213674 \h </w:instrText>
            </w:r>
            <w:r>
              <w:rPr>
                <w:noProof/>
                <w:webHidden/>
              </w:rPr>
            </w:r>
            <w:r>
              <w:rPr>
                <w:noProof/>
                <w:webHidden/>
              </w:rPr>
              <w:fldChar w:fldCharType="separate"/>
            </w:r>
            <w:r>
              <w:rPr>
                <w:noProof/>
                <w:webHidden/>
              </w:rPr>
              <w:t>20</w:t>
            </w:r>
            <w:r>
              <w:rPr>
                <w:noProof/>
                <w:webHidden/>
              </w:rPr>
              <w:fldChar w:fldCharType="end"/>
            </w:r>
          </w:hyperlink>
        </w:p>
        <w:p w14:paraId="7DE4C4C8" w14:textId="61D7FE71" w:rsidR="00106C46" w:rsidRDefault="00106C46">
          <w:pPr>
            <w:pStyle w:val="TOC1"/>
            <w:rPr>
              <w:rFonts w:asciiTheme="minorHAnsi" w:hAnsiTheme="minorHAnsi"/>
              <w:noProof/>
              <w:kern w:val="2"/>
              <w:sz w:val="24"/>
              <w:szCs w:val="24"/>
              <w:lang w:val="en-IN" w:eastAsia="en-IN"/>
              <w14:ligatures w14:val="standardContextual"/>
            </w:rPr>
          </w:pPr>
          <w:hyperlink w:anchor="_Toc244213675" w:history="1">
            <w:r w:rsidRPr="004513F3">
              <w:rPr>
                <w:rStyle w:val="Hyperlink"/>
                <w:noProof/>
              </w:rPr>
              <w:t>6</w:t>
            </w:r>
            <w:r>
              <w:rPr>
                <w:rFonts w:asciiTheme="minorHAnsi" w:hAnsiTheme="minorHAnsi"/>
                <w:noProof/>
                <w:kern w:val="2"/>
                <w:sz w:val="24"/>
                <w:szCs w:val="24"/>
                <w:lang w:val="en-IN" w:eastAsia="en-IN"/>
                <w14:ligatures w14:val="standardContextual"/>
              </w:rPr>
              <w:tab/>
            </w:r>
            <w:r w:rsidRPr="004513F3">
              <w:rPr>
                <w:rStyle w:val="Hyperlink"/>
                <w:noProof/>
              </w:rPr>
              <w:t>Assumptions</w:t>
            </w:r>
            <w:r>
              <w:rPr>
                <w:noProof/>
                <w:webHidden/>
              </w:rPr>
              <w:tab/>
            </w:r>
            <w:r>
              <w:rPr>
                <w:noProof/>
                <w:webHidden/>
              </w:rPr>
              <w:fldChar w:fldCharType="begin"/>
            </w:r>
            <w:r>
              <w:rPr>
                <w:noProof/>
                <w:webHidden/>
              </w:rPr>
              <w:instrText xml:space="preserve"> PAGEREF _Toc244213675 \h </w:instrText>
            </w:r>
            <w:r>
              <w:rPr>
                <w:noProof/>
                <w:webHidden/>
              </w:rPr>
            </w:r>
            <w:r>
              <w:rPr>
                <w:noProof/>
                <w:webHidden/>
              </w:rPr>
              <w:fldChar w:fldCharType="separate"/>
            </w:r>
            <w:r>
              <w:rPr>
                <w:noProof/>
                <w:webHidden/>
              </w:rPr>
              <w:t>22</w:t>
            </w:r>
            <w:r>
              <w:rPr>
                <w:noProof/>
                <w:webHidden/>
              </w:rPr>
              <w:fldChar w:fldCharType="end"/>
            </w:r>
          </w:hyperlink>
        </w:p>
        <w:p w14:paraId="4C5E376C" w14:textId="2C348DD9" w:rsidR="00106C46" w:rsidRDefault="00106C46">
          <w:pPr>
            <w:pStyle w:val="TOC1"/>
            <w:rPr>
              <w:rFonts w:asciiTheme="minorHAnsi" w:hAnsiTheme="minorHAnsi"/>
              <w:noProof/>
              <w:kern w:val="2"/>
              <w:sz w:val="24"/>
              <w:szCs w:val="24"/>
              <w:lang w:val="en-IN" w:eastAsia="en-IN"/>
              <w14:ligatures w14:val="standardContextual"/>
            </w:rPr>
          </w:pPr>
          <w:hyperlink w:anchor="_Toc244213676" w:history="1">
            <w:r w:rsidRPr="004513F3">
              <w:rPr>
                <w:rStyle w:val="Hyperlink"/>
                <w:noProof/>
              </w:rPr>
              <w:t>7</w:t>
            </w:r>
            <w:r>
              <w:rPr>
                <w:rFonts w:asciiTheme="minorHAnsi" w:hAnsiTheme="minorHAnsi"/>
                <w:noProof/>
                <w:kern w:val="2"/>
                <w:sz w:val="24"/>
                <w:szCs w:val="24"/>
                <w:lang w:val="en-IN" w:eastAsia="en-IN"/>
                <w14:ligatures w14:val="standardContextual"/>
              </w:rPr>
              <w:tab/>
            </w:r>
            <w:r w:rsidRPr="004513F3">
              <w:rPr>
                <w:rStyle w:val="Hyperlink"/>
                <w:noProof/>
              </w:rPr>
              <w:t>Risks</w:t>
            </w:r>
            <w:r>
              <w:rPr>
                <w:noProof/>
                <w:webHidden/>
              </w:rPr>
              <w:tab/>
            </w:r>
            <w:r>
              <w:rPr>
                <w:noProof/>
                <w:webHidden/>
              </w:rPr>
              <w:fldChar w:fldCharType="begin"/>
            </w:r>
            <w:r>
              <w:rPr>
                <w:noProof/>
                <w:webHidden/>
              </w:rPr>
              <w:instrText xml:space="preserve"> PAGEREF _Toc244213676 \h </w:instrText>
            </w:r>
            <w:r>
              <w:rPr>
                <w:noProof/>
                <w:webHidden/>
              </w:rPr>
            </w:r>
            <w:r>
              <w:rPr>
                <w:noProof/>
                <w:webHidden/>
              </w:rPr>
              <w:fldChar w:fldCharType="separate"/>
            </w:r>
            <w:r>
              <w:rPr>
                <w:noProof/>
                <w:webHidden/>
              </w:rPr>
              <w:t>23</w:t>
            </w:r>
            <w:r>
              <w:rPr>
                <w:noProof/>
                <w:webHidden/>
              </w:rPr>
              <w:fldChar w:fldCharType="end"/>
            </w:r>
          </w:hyperlink>
        </w:p>
        <w:p w14:paraId="5581135C" w14:textId="65E3ED5A" w:rsidR="00106C46" w:rsidRDefault="00106C46">
          <w:pPr>
            <w:pStyle w:val="TOC1"/>
            <w:rPr>
              <w:rFonts w:asciiTheme="minorHAnsi" w:hAnsiTheme="minorHAnsi"/>
              <w:noProof/>
              <w:kern w:val="2"/>
              <w:sz w:val="24"/>
              <w:szCs w:val="24"/>
              <w:lang w:val="en-IN" w:eastAsia="en-IN"/>
              <w14:ligatures w14:val="standardContextual"/>
            </w:rPr>
          </w:pPr>
          <w:hyperlink w:anchor="_Toc244213677" w:history="1">
            <w:r w:rsidRPr="004513F3">
              <w:rPr>
                <w:rStyle w:val="Hyperlink"/>
                <w:noProof/>
              </w:rPr>
              <w:t>8</w:t>
            </w:r>
            <w:r>
              <w:rPr>
                <w:rFonts w:asciiTheme="minorHAnsi" w:hAnsiTheme="minorHAnsi"/>
                <w:noProof/>
                <w:kern w:val="2"/>
                <w:sz w:val="24"/>
                <w:szCs w:val="24"/>
                <w:lang w:val="en-IN" w:eastAsia="en-IN"/>
                <w14:ligatures w14:val="standardContextual"/>
              </w:rPr>
              <w:tab/>
            </w:r>
            <w:r w:rsidRPr="004513F3">
              <w:rPr>
                <w:rStyle w:val="Hyperlink"/>
                <w:noProof/>
              </w:rPr>
              <w:t>Appendix</w:t>
            </w:r>
            <w:r>
              <w:rPr>
                <w:noProof/>
                <w:webHidden/>
              </w:rPr>
              <w:tab/>
            </w:r>
            <w:r>
              <w:rPr>
                <w:noProof/>
                <w:webHidden/>
              </w:rPr>
              <w:fldChar w:fldCharType="begin"/>
            </w:r>
            <w:r>
              <w:rPr>
                <w:noProof/>
                <w:webHidden/>
              </w:rPr>
              <w:instrText xml:space="preserve"> PAGEREF _Toc244213677 \h </w:instrText>
            </w:r>
            <w:r>
              <w:rPr>
                <w:noProof/>
                <w:webHidden/>
              </w:rPr>
            </w:r>
            <w:r>
              <w:rPr>
                <w:noProof/>
                <w:webHidden/>
              </w:rPr>
              <w:fldChar w:fldCharType="separate"/>
            </w:r>
            <w:r>
              <w:rPr>
                <w:noProof/>
                <w:webHidden/>
              </w:rPr>
              <w:t>26</w:t>
            </w:r>
            <w:r>
              <w:rPr>
                <w:noProof/>
                <w:webHidden/>
              </w:rPr>
              <w:fldChar w:fldCharType="end"/>
            </w:r>
          </w:hyperlink>
        </w:p>
        <w:p w14:paraId="53D08431" w14:textId="774796B6" w:rsidR="00106C46" w:rsidRDefault="00106C46">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78" w:history="1">
            <w:r w:rsidRPr="004513F3">
              <w:rPr>
                <w:rStyle w:val="Hyperlink"/>
                <w:noProof/>
              </w:rPr>
              <w:t>8.1</w:t>
            </w:r>
            <w:r>
              <w:rPr>
                <w:rFonts w:asciiTheme="minorHAnsi" w:hAnsiTheme="minorHAnsi"/>
                <w:noProof/>
                <w:kern w:val="2"/>
                <w:sz w:val="24"/>
                <w:szCs w:val="24"/>
                <w:lang w:val="en-IN" w:eastAsia="en-IN"/>
                <w14:ligatures w14:val="standardContextual"/>
              </w:rPr>
              <w:tab/>
            </w:r>
            <w:r w:rsidRPr="004513F3">
              <w:rPr>
                <w:rStyle w:val="Hyperlink"/>
                <w:noProof/>
              </w:rPr>
              <w:t>References</w:t>
            </w:r>
            <w:r>
              <w:rPr>
                <w:noProof/>
                <w:webHidden/>
              </w:rPr>
              <w:tab/>
            </w:r>
            <w:r>
              <w:rPr>
                <w:noProof/>
                <w:webHidden/>
              </w:rPr>
              <w:fldChar w:fldCharType="begin"/>
            </w:r>
            <w:r>
              <w:rPr>
                <w:noProof/>
                <w:webHidden/>
              </w:rPr>
              <w:instrText xml:space="preserve"> PAGEREF _Toc244213678 \h </w:instrText>
            </w:r>
            <w:r>
              <w:rPr>
                <w:noProof/>
                <w:webHidden/>
              </w:rPr>
            </w:r>
            <w:r>
              <w:rPr>
                <w:noProof/>
                <w:webHidden/>
              </w:rPr>
              <w:fldChar w:fldCharType="separate"/>
            </w:r>
            <w:r>
              <w:rPr>
                <w:noProof/>
                <w:webHidden/>
              </w:rPr>
              <w:t>26</w:t>
            </w:r>
            <w:r>
              <w:rPr>
                <w:noProof/>
                <w:webHidden/>
              </w:rPr>
              <w:fldChar w:fldCharType="end"/>
            </w:r>
          </w:hyperlink>
        </w:p>
        <w:p w14:paraId="6CD82433" w14:textId="016C287E" w:rsidR="00756E07" w:rsidRPr="008848D6" w:rsidRDefault="00756E07" w:rsidP="00C22C69">
          <w:pPr>
            <w:spacing w:line="240" w:lineRule="auto"/>
            <w:rPr>
              <w:rFonts w:asciiTheme="majorHAnsi" w:hAnsiTheme="majorHAnsi"/>
            </w:rPr>
          </w:pPr>
          <w:r w:rsidRPr="008848D6">
            <w:rPr>
              <w:rFonts w:asciiTheme="majorHAnsi" w:hAnsiTheme="majorHAnsi"/>
              <w:b/>
              <w:bCs/>
              <w:noProof/>
            </w:rPr>
            <w:fldChar w:fldCharType="end"/>
          </w:r>
        </w:p>
      </w:sdtContent>
    </w:sdt>
    <w:p w14:paraId="3AF1A074" w14:textId="77777777" w:rsidR="00BF58F6" w:rsidRPr="008848D6" w:rsidRDefault="00643A1C" w:rsidP="00C22C69">
      <w:pPr>
        <w:spacing w:line="240" w:lineRule="auto"/>
        <w:rPr>
          <w:rFonts w:asciiTheme="majorHAnsi" w:hAnsiTheme="majorHAnsi"/>
        </w:rPr>
      </w:pPr>
      <w:r w:rsidRPr="008848D6">
        <w:rPr>
          <w:rFonts w:asciiTheme="majorHAnsi" w:hAnsiTheme="majorHAnsi"/>
        </w:rPr>
        <w:br w:type="page"/>
      </w:r>
    </w:p>
    <w:p w14:paraId="73800EC2" w14:textId="77777777" w:rsidR="00932AC5" w:rsidRDefault="00850229">
      <w:pPr>
        <w:pStyle w:val="Heading1"/>
      </w:pPr>
      <w:bookmarkStart w:id="0" w:name="_Toc244213660"/>
      <w:r>
        <w:lastRenderedPageBreak/>
        <w:t>Introduction</w:t>
      </w:r>
      <w:bookmarkEnd w:id="0"/>
    </w:p>
    <w:p w14:paraId="12C322FD" w14:textId="77777777" w:rsidR="00932AC5" w:rsidRDefault="00850229">
      <w:r>
        <w:t>This Decision Analysis and Recommendation (DAR) document records the choice of container orchestrator for YCompany's eClaims platform. The orchestrator is the AWS service that places, runs, restarts, scales and releases the FastAPI microservices that process every motor claim.</w:t>
      </w:r>
    </w:p>
    <w:p w14:paraId="6321F6C9" w14:textId="77777777" w:rsidR="00932AC5" w:rsidRDefault="00850229">
      <w:r>
        <w:t>This DAR narrows a decision that has already been taken. The Compute and Deployment Platform DAR compared serverless functions, serverless containers and Kubernetes, and recommended serverless containers: each eClaims service runs as a long-lived container task on AWS Fargate, with no host fleet to manage. Two AWS services can orchestrate Fargate capacity: Amazon Elastic Container Service (ECS) and Amazon Elastic Kubernetes Service (EKS). The Compute DAR records the result of that choice in its Section 4.5. This document gives the full analysis behind it, including the point matrix, which is defined only here.</w:t>
      </w:r>
    </w:p>
    <w:p w14:paraId="290563AC" w14:textId="77777777" w:rsidR="00932AC5" w:rsidRDefault="00850229">
      <w:pPr>
        <w:pStyle w:val="Heading2"/>
      </w:pPr>
      <w:bookmarkStart w:id="1" w:name="_Toc244213661"/>
      <w:r>
        <w:t>Objective and scope of the document</w:t>
      </w:r>
      <w:bookmarkEnd w:id="1"/>
    </w:p>
    <w:p w14:paraId="4ECD917A" w14:textId="77777777" w:rsidR="00932AC5" w:rsidRDefault="00850229">
      <w:r>
        <w:t>The objective is to select the orchestrator for eClaims against criteria derived from the requirements. The document also states plainly how the on-premise deployment requirement in the case study is met once that choice is made.</w:t>
      </w:r>
    </w:p>
    <w:p w14:paraId="3F52E6E9" w14:textId="77777777" w:rsidR="00932AC5" w:rsidRDefault="00850229">
      <w:r>
        <w:t>The scope of this DAR includes:</w:t>
      </w:r>
    </w:p>
    <w:p w14:paraId="6A716091" w14:textId="77777777" w:rsidR="00932AC5" w:rsidRDefault="00850229">
      <w:pPr>
        <w:pStyle w:val="ListParagraph"/>
        <w:numPr>
          <w:ilvl w:val="0"/>
          <w:numId w:val="40"/>
        </w:numPr>
      </w:pPr>
      <w:r>
        <w:t>Candidates — Amazon ECS on AWS Fargate, and Amazon EKS on AWS Fargate or on EC2 managed node groups.</w:t>
      </w:r>
    </w:p>
    <w:p w14:paraId="1A929868" w14:textId="77777777" w:rsidR="00932AC5" w:rsidRDefault="00850229">
      <w:pPr>
        <w:pStyle w:val="ListParagraph"/>
        <w:numPr>
          <w:ilvl w:val="0"/>
          <w:numId w:val="40"/>
        </w:numPr>
      </w:pPr>
      <w:r>
        <w:t>Requirements — the case-study requirements that bear on the orchestrator, each traced to its source (Section 2).</w:t>
      </w:r>
    </w:p>
    <w:p w14:paraId="04ED9FAF" w14:textId="77777777" w:rsidR="00932AC5" w:rsidRDefault="00850229">
      <w:pPr>
        <w:pStyle w:val="ListParagraph"/>
        <w:numPr>
          <w:ilvl w:val="0"/>
          <w:numId w:val="40"/>
        </w:numPr>
      </w:pPr>
      <w:r>
        <w:t>Features and pricing — at public list prices for US East (N. Virginia), the primary Region of the Phase 1 deployment (Section 3); the us-east-2 standby Region lists the same prices.</w:t>
      </w:r>
    </w:p>
    <w:p w14:paraId="2B139E25" w14:textId="77777777" w:rsidR="00932AC5" w:rsidRDefault="00850229">
      <w:pPr>
        <w:pStyle w:val="ListParagraph"/>
        <w:numPr>
          <w:ilvl w:val="0"/>
          <w:numId w:val="40"/>
        </w:numPr>
      </w:pPr>
      <w:r>
        <w:t>Comparison — the weighted point matrix behind Section 4.5 of the Compute DAR, a monthly cost comparison for the eClaims footprint, and an operational comparison of version lifecycle, skills and ecosystem (Section 4).</w:t>
      </w:r>
    </w:p>
    <w:p w14:paraId="2AA6B34E" w14:textId="77777777" w:rsidR="00932AC5" w:rsidRDefault="00850229">
      <w:pPr>
        <w:pStyle w:val="ListParagraph"/>
        <w:numPr>
          <w:ilvl w:val="0"/>
          <w:numId w:val="40"/>
        </w:numPr>
      </w:pPr>
      <w:r>
        <w:t>Recommendation — including how sensitive the result is to the weight on portability, and the conditions under which it would change (Section 5).</w:t>
      </w:r>
    </w:p>
    <w:p w14:paraId="58398436" w14:textId="77777777" w:rsidR="00932AC5" w:rsidRDefault="00850229">
      <w:pPr>
        <w:pStyle w:val="ListParagraph"/>
        <w:numPr>
          <w:ilvl w:val="0"/>
          <w:numId w:val="40"/>
        </w:numPr>
      </w:pPr>
      <w:r>
        <w:t>Assumptions, and risks with mitigations (Sections 6 and 7).</w:t>
      </w:r>
    </w:p>
    <w:p w14:paraId="3191F365" w14:textId="77777777" w:rsidR="00932AC5" w:rsidRDefault="00850229">
      <w:r>
        <w:t>Phase 1 is delivered on AWS, as Assumptions 1 and 10 in Section 10 of the Solution Approach Document (SAD) record. The case study also requires on-premise deployment (Section 5.2, NFR 2). This document therefore evaluates the on-premise form of each orchestrator and names the path eClaims would take:</w:t>
      </w:r>
    </w:p>
    <w:p w14:paraId="4733331F" w14:textId="77777777" w:rsidR="00932AC5" w:rsidRDefault="00850229">
      <w:pPr>
        <w:pStyle w:val="ListParagraph"/>
        <w:numPr>
          <w:ilvl w:val="0"/>
          <w:numId w:val="40"/>
        </w:numPr>
      </w:pPr>
      <w:r>
        <w:t>for ECS, ECS Anywhere;</w:t>
      </w:r>
    </w:p>
    <w:p w14:paraId="123D0667" w14:textId="77777777" w:rsidR="00932AC5" w:rsidRDefault="00850229">
      <w:pPr>
        <w:pStyle w:val="ListParagraph"/>
        <w:numPr>
          <w:ilvl w:val="0"/>
          <w:numId w:val="40"/>
        </w:numPr>
      </w:pPr>
      <w:r>
        <w:t>for EKS, EKS Anywhere, EKS Hybrid Nodes or another conformant Kubernetes distribution.</w:t>
      </w:r>
    </w:p>
    <w:p w14:paraId="4A2B6499" w14:textId="77777777" w:rsidR="00932AC5" w:rsidRDefault="00850229">
      <w:r>
        <w:t>The following are out of scope:</w:t>
      </w:r>
    </w:p>
    <w:p w14:paraId="7DBF30D9" w14:textId="77777777" w:rsidR="00932AC5" w:rsidRDefault="00850229">
      <w:pPr>
        <w:pStyle w:val="ListParagraph"/>
        <w:numPr>
          <w:ilvl w:val="0"/>
          <w:numId w:val="40"/>
        </w:numPr>
      </w:pPr>
      <w:r>
        <w:t>the compute model, which the Compute DAR settles;</w:t>
      </w:r>
    </w:p>
    <w:p w14:paraId="2AC1EAEC" w14:textId="77777777" w:rsidR="00932AC5" w:rsidRDefault="00850229">
      <w:pPr>
        <w:pStyle w:val="ListParagraph"/>
        <w:numPr>
          <w:ilvl w:val="0"/>
          <w:numId w:val="40"/>
        </w:numPr>
      </w:pPr>
      <w:r>
        <w:t>network topology, task sizing and the release pipeline, which the SAD covers (Sections 4 and 9);</w:t>
      </w:r>
    </w:p>
    <w:p w14:paraId="6C5E1D66" w14:textId="77777777" w:rsidR="00932AC5" w:rsidRDefault="00850229">
      <w:pPr>
        <w:pStyle w:val="ListParagraph"/>
        <w:numPr>
          <w:ilvl w:val="0"/>
          <w:numId w:val="40"/>
        </w:numPr>
      </w:pPr>
      <w:r>
        <w:t>on-premise equivalents of the other AWS-managed services, which the SAD's on-premise profile covers (Section 4, Deployment Options).</w:t>
      </w:r>
    </w:p>
    <w:p w14:paraId="719ABEB3" w14:textId="77777777" w:rsidR="00932AC5" w:rsidRDefault="00850229">
      <w:r>
        <w:lastRenderedPageBreak/>
        <w:t>Prices are public list prices accessed on 30 September 2026. They exclude taxes and negotiated discounts, and they are not quotations.</w:t>
      </w:r>
    </w:p>
    <w:p w14:paraId="5892C18D" w14:textId="77777777" w:rsidR="00932AC5" w:rsidRDefault="00850229">
      <w:r>
        <w:br w:type="page"/>
      </w:r>
    </w:p>
    <w:p w14:paraId="1118270D" w14:textId="77777777" w:rsidR="00932AC5" w:rsidRDefault="00850229">
      <w:pPr>
        <w:pStyle w:val="Heading1"/>
      </w:pPr>
      <w:bookmarkStart w:id="2" w:name="_Toc244213662"/>
      <w:r>
        <w:lastRenderedPageBreak/>
        <w:t>Requirements at a Glance</w:t>
      </w:r>
      <w:bookmarkEnd w:id="2"/>
    </w:p>
    <w:p w14:paraId="669ED59E" w14:textId="77777777" w:rsidR="00932AC5" w:rsidRDefault="00850229">
      <w:r>
        <w:t>This section lists only the requirements that bear on the choice of orchestrator. They describe the following workload:</w:t>
      </w:r>
    </w:p>
    <w:p w14:paraId="7675FB91" w14:textId="77777777" w:rsidR="00932AC5" w:rsidRDefault="00850229">
      <w:pPr>
        <w:pStyle w:val="ListParagraph"/>
        <w:numPr>
          <w:ilvl w:val="0"/>
          <w:numId w:val="40"/>
        </w:numPr>
      </w:pPr>
      <w:r>
        <w:t>about a dozen long-lived FastAPI services: eleven in SAD Section 4, Layer 3, plus the Auth Service;</w:t>
      </w:r>
    </w:p>
    <w:p w14:paraId="2740DC78" w14:textId="77777777" w:rsidR="00932AC5" w:rsidRDefault="00850229">
      <w:pPr>
        <w:pStyle w:val="ListParagraph"/>
        <w:numPr>
          <w:ilvl w:val="0"/>
          <w:numId w:val="40"/>
        </w:numPr>
      </w:pPr>
      <w:r>
        <w:t>each service serves HTTP traffic through the Application Load Balancer (ALB);</w:t>
      </w:r>
    </w:p>
    <w:p w14:paraId="7E56A58E" w14:textId="77777777" w:rsidR="00932AC5" w:rsidRDefault="00850229">
      <w:pPr>
        <w:pStyle w:val="ListParagraph"/>
        <w:numPr>
          <w:ilvl w:val="0"/>
          <w:numId w:val="40"/>
        </w:numPr>
      </w:pPr>
      <w:r>
        <w:t>queue consumers and scheduled reporting jobs run alongside the services;</w:t>
      </w:r>
    </w:p>
    <w:p w14:paraId="5D1A411B" w14:textId="77777777" w:rsidR="00932AC5" w:rsidRDefault="00850229">
      <w:pPr>
        <w:pStyle w:val="ListParagraph"/>
        <w:numPr>
          <w:ilvl w:val="0"/>
          <w:numId w:val="40"/>
        </w:numPr>
      </w:pPr>
      <w:r>
        <w:t>a lean operations team runs all of it 24×7.</w:t>
      </w:r>
    </w:p>
    <w:p w14:paraId="534080D9" w14:textId="77777777" w:rsidR="00932AC5" w:rsidRDefault="00850229">
      <w:r>
        <w:t>Case-study references are to Section 5 (Design Requirements), Section 5.1 (functional requirements FR 1–6) and Section 5.2 (non-functional requirements NFR 1–6).</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60"/>
        <w:gridCol w:w="2260"/>
        <w:gridCol w:w="1906"/>
        <w:gridCol w:w="2140"/>
        <w:gridCol w:w="2260"/>
      </w:tblGrid>
      <w:tr w:rsidR="00932AC5" w14:paraId="58DEF6F3" w14:textId="77777777">
        <w:trPr>
          <w:cantSplit/>
          <w:tblHeader/>
        </w:trPr>
        <w:tc>
          <w:tcPr>
            <w:tcW w:w="460" w:type="dxa"/>
            <w:tcBorders>
              <w:top w:val="dotted" w:sz="4" w:space="0" w:color="auto"/>
              <w:left w:val="dotted" w:sz="4" w:space="0" w:color="auto"/>
              <w:bottom w:val="dotted" w:sz="4" w:space="0" w:color="auto"/>
              <w:right w:val="dotted" w:sz="4" w:space="0" w:color="auto"/>
            </w:tcBorders>
            <w:shd w:val="pct5" w:color="auto" w:fill="auto"/>
          </w:tcPr>
          <w:p w14:paraId="6C9BEF14" w14:textId="77777777" w:rsidR="00932AC5" w:rsidRDefault="00850229">
            <w:pPr>
              <w:pStyle w:val="NoSpacing"/>
            </w:pPr>
            <w:r>
              <w:rPr>
                <w:b/>
              </w:rPr>
              <w:t>#</w:t>
            </w:r>
          </w:p>
        </w:tc>
        <w:tc>
          <w:tcPr>
            <w:tcW w:w="2260" w:type="dxa"/>
            <w:tcBorders>
              <w:top w:val="dotted" w:sz="4" w:space="0" w:color="auto"/>
              <w:left w:val="dotted" w:sz="4" w:space="0" w:color="auto"/>
              <w:bottom w:val="dotted" w:sz="4" w:space="0" w:color="auto"/>
              <w:right w:val="dotted" w:sz="4" w:space="0" w:color="auto"/>
            </w:tcBorders>
            <w:shd w:val="pct5" w:color="auto" w:fill="auto"/>
          </w:tcPr>
          <w:p w14:paraId="352FC1D6" w14:textId="77777777" w:rsidR="00932AC5" w:rsidRDefault="00850229">
            <w:pPr>
              <w:pStyle w:val="NoSpacing"/>
            </w:pPr>
            <w:r>
              <w:rPr>
                <w:b/>
              </w:rPr>
              <w:t>Criterion</w:t>
            </w:r>
          </w:p>
        </w:tc>
        <w:tc>
          <w:tcPr>
            <w:tcW w:w="1906" w:type="dxa"/>
            <w:tcBorders>
              <w:top w:val="dotted" w:sz="4" w:space="0" w:color="auto"/>
              <w:left w:val="dotted" w:sz="4" w:space="0" w:color="auto"/>
              <w:bottom w:val="dotted" w:sz="4" w:space="0" w:color="auto"/>
              <w:right w:val="dotted" w:sz="4" w:space="0" w:color="auto"/>
            </w:tcBorders>
            <w:shd w:val="pct5" w:color="auto" w:fill="auto"/>
          </w:tcPr>
          <w:p w14:paraId="042BF40E" w14:textId="77777777" w:rsidR="00932AC5" w:rsidRDefault="00850229">
            <w:pPr>
              <w:pStyle w:val="NoSpacing"/>
            </w:pPr>
            <w:r>
              <w:rPr>
                <w:b/>
              </w:rPr>
              <w:t>Source in the case study</w:t>
            </w:r>
          </w:p>
        </w:tc>
        <w:tc>
          <w:tcPr>
            <w:tcW w:w="2140" w:type="dxa"/>
            <w:tcBorders>
              <w:top w:val="dotted" w:sz="4" w:space="0" w:color="auto"/>
              <w:left w:val="dotted" w:sz="4" w:space="0" w:color="auto"/>
              <w:bottom w:val="dotted" w:sz="4" w:space="0" w:color="auto"/>
              <w:right w:val="dotted" w:sz="4" w:space="0" w:color="auto"/>
            </w:tcBorders>
            <w:shd w:val="pct5" w:color="auto" w:fill="auto"/>
          </w:tcPr>
          <w:p w14:paraId="253E713D" w14:textId="77777777" w:rsidR="00932AC5" w:rsidRDefault="00850229">
            <w:pPr>
              <w:pStyle w:val="NoSpacing"/>
            </w:pPr>
            <w:r>
              <w:rPr>
                <w:b/>
              </w:rPr>
              <w:t>Why it matters for eClaims</w:t>
            </w:r>
          </w:p>
        </w:tc>
        <w:tc>
          <w:tcPr>
            <w:tcW w:w="2260" w:type="dxa"/>
            <w:tcBorders>
              <w:top w:val="dotted" w:sz="4" w:space="0" w:color="auto"/>
              <w:left w:val="dotted" w:sz="4" w:space="0" w:color="auto"/>
              <w:bottom w:val="dotted" w:sz="4" w:space="0" w:color="auto"/>
              <w:right w:val="dotted" w:sz="4" w:space="0" w:color="auto"/>
            </w:tcBorders>
            <w:shd w:val="pct5" w:color="auto" w:fill="auto"/>
          </w:tcPr>
          <w:p w14:paraId="678AF4D1" w14:textId="77777777" w:rsidR="00932AC5" w:rsidRDefault="00850229">
            <w:pPr>
              <w:pStyle w:val="NoSpacing"/>
            </w:pPr>
            <w:r>
              <w:rPr>
                <w:b/>
              </w:rPr>
              <w:t>Assessed in</w:t>
            </w:r>
          </w:p>
        </w:tc>
      </w:tr>
      <w:tr w:rsidR="00932AC5" w14:paraId="769D232A" w14:textId="77777777">
        <w:trPr>
          <w:cantSplit/>
        </w:trPr>
        <w:tc>
          <w:tcPr>
            <w:tcW w:w="460" w:type="dxa"/>
            <w:tcBorders>
              <w:top w:val="dotted" w:sz="4" w:space="0" w:color="auto"/>
              <w:left w:val="dotted" w:sz="4" w:space="0" w:color="auto"/>
              <w:bottom w:val="dotted" w:sz="4" w:space="0" w:color="auto"/>
              <w:right w:val="dotted" w:sz="4" w:space="0" w:color="auto"/>
            </w:tcBorders>
          </w:tcPr>
          <w:p w14:paraId="7CB4C03C" w14:textId="77777777" w:rsidR="00932AC5" w:rsidRDefault="00850229">
            <w:pPr>
              <w:pStyle w:val="NoSpacing"/>
            </w:pPr>
            <w:r>
              <w:t>1</w:t>
            </w:r>
          </w:p>
        </w:tc>
        <w:tc>
          <w:tcPr>
            <w:tcW w:w="2260" w:type="dxa"/>
            <w:tcBorders>
              <w:top w:val="dotted" w:sz="4" w:space="0" w:color="auto"/>
              <w:left w:val="dotted" w:sz="4" w:space="0" w:color="auto"/>
              <w:bottom w:val="dotted" w:sz="4" w:space="0" w:color="auto"/>
              <w:right w:val="dotted" w:sz="4" w:space="0" w:color="auto"/>
            </w:tcBorders>
          </w:tcPr>
          <w:p w14:paraId="3D3FB695" w14:textId="77777777" w:rsidR="00932AC5" w:rsidRDefault="00850229">
            <w:pPr>
              <w:pStyle w:val="NoSpacing"/>
            </w:pPr>
            <w:r>
              <w:t>24×7 operation, automatic restart after a crash, reliability</w:t>
            </w:r>
          </w:p>
        </w:tc>
        <w:tc>
          <w:tcPr>
            <w:tcW w:w="1906" w:type="dxa"/>
            <w:tcBorders>
              <w:top w:val="dotted" w:sz="4" w:space="0" w:color="auto"/>
              <w:left w:val="dotted" w:sz="4" w:space="0" w:color="auto"/>
              <w:bottom w:val="dotted" w:sz="4" w:space="0" w:color="auto"/>
              <w:right w:val="dotted" w:sz="4" w:space="0" w:color="auto"/>
            </w:tcBorders>
          </w:tcPr>
          <w:p w14:paraId="504C4479" w14:textId="77777777" w:rsidR="00932AC5" w:rsidRDefault="00850229">
            <w:pPr>
              <w:pStyle w:val="NoSpacing"/>
            </w:pPr>
            <w:r>
              <w:t>Section 5, Design Requirements</w:t>
            </w:r>
          </w:p>
        </w:tc>
        <w:tc>
          <w:tcPr>
            <w:tcW w:w="2140" w:type="dxa"/>
            <w:tcBorders>
              <w:top w:val="dotted" w:sz="4" w:space="0" w:color="auto"/>
              <w:left w:val="dotted" w:sz="4" w:space="0" w:color="auto"/>
              <w:bottom w:val="dotted" w:sz="4" w:space="0" w:color="auto"/>
              <w:right w:val="dotted" w:sz="4" w:space="0" w:color="auto"/>
            </w:tcBorders>
          </w:tcPr>
          <w:p w14:paraId="18EBC7B3" w14:textId="77777777" w:rsidR="00932AC5" w:rsidRDefault="00850229">
            <w:pPr>
              <w:pStyle w:val="NoSpacing"/>
            </w:pPr>
            <w:r>
              <w:t>A failed Claims or Payment task must be replaced without an operator, in any of three Availability Zones (SAD Section 7, Availability).</w:t>
            </w:r>
          </w:p>
        </w:tc>
        <w:tc>
          <w:tcPr>
            <w:tcW w:w="2260" w:type="dxa"/>
            <w:tcBorders>
              <w:top w:val="dotted" w:sz="4" w:space="0" w:color="auto"/>
              <w:left w:val="dotted" w:sz="4" w:space="0" w:color="auto"/>
              <w:bottom w:val="dotted" w:sz="4" w:space="0" w:color="auto"/>
              <w:right w:val="dotted" w:sz="4" w:space="0" w:color="auto"/>
            </w:tcBorders>
          </w:tcPr>
          <w:p w14:paraId="2858ED87" w14:textId="77777777" w:rsidR="00932AC5" w:rsidRDefault="00850229">
            <w:pPr>
              <w:pStyle w:val="NoSpacing"/>
            </w:pPr>
            <w:r>
              <w:t>Met equally (same Fargate runtime); upkeep under Maintainability</w:t>
            </w:r>
          </w:p>
        </w:tc>
      </w:tr>
      <w:tr w:rsidR="00932AC5" w14:paraId="2AE7A499" w14:textId="77777777">
        <w:trPr>
          <w:cantSplit/>
        </w:trPr>
        <w:tc>
          <w:tcPr>
            <w:tcW w:w="460" w:type="dxa"/>
            <w:tcBorders>
              <w:top w:val="dotted" w:sz="4" w:space="0" w:color="auto"/>
              <w:left w:val="dotted" w:sz="4" w:space="0" w:color="auto"/>
              <w:bottom w:val="dotted" w:sz="4" w:space="0" w:color="auto"/>
              <w:right w:val="dotted" w:sz="4" w:space="0" w:color="auto"/>
            </w:tcBorders>
          </w:tcPr>
          <w:p w14:paraId="055AFB45" w14:textId="77777777" w:rsidR="00932AC5" w:rsidRDefault="00850229">
            <w:pPr>
              <w:pStyle w:val="NoSpacing"/>
            </w:pPr>
            <w:r>
              <w:t>2</w:t>
            </w:r>
          </w:p>
        </w:tc>
        <w:tc>
          <w:tcPr>
            <w:tcW w:w="2260" w:type="dxa"/>
            <w:tcBorders>
              <w:top w:val="dotted" w:sz="4" w:space="0" w:color="auto"/>
              <w:left w:val="dotted" w:sz="4" w:space="0" w:color="auto"/>
              <w:bottom w:val="dotted" w:sz="4" w:space="0" w:color="auto"/>
              <w:right w:val="dotted" w:sz="4" w:space="0" w:color="auto"/>
            </w:tcBorders>
          </w:tcPr>
          <w:p w14:paraId="0E664708" w14:textId="77777777" w:rsidR="00932AC5" w:rsidRDefault="00850229">
            <w:pPr>
              <w:pStyle w:val="NoSpacing"/>
            </w:pPr>
            <w:r>
              <w:t>Auto-scaling to match demand; capacity for future load</w:t>
            </w:r>
          </w:p>
        </w:tc>
        <w:tc>
          <w:tcPr>
            <w:tcW w:w="1906" w:type="dxa"/>
            <w:tcBorders>
              <w:top w:val="dotted" w:sz="4" w:space="0" w:color="auto"/>
              <w:left w:val="dotted" w:sz="4" w:space="0" w:color="auto"/>
              <w:bottom w:val="dotted" w:sz="4" w:space="0" w:color="auto"/>
              <w:right w:val="dotted" w:sz="4" w:space="0" w:color="auto"/>
            </w:tcBorders>
          </w:tcPr>
          <w:p w14:paraId="04BFC3E5" w14:textId="77777777" w:rsidR="00932AC5" w:rsidRDefault="00850229">
            <w:pPr>
              <w:pStyle w:val="NoSpacing"/>
            </w:pPr>
            <w:r>
              <w:t>Section 5.2, NFR 2 and NFR 1</w:t>
            </w:r>
          </w:p>
        </w:tc>
        <w:tc>
          <w:tcPr>
            <w:tcW w:w="2140" w:type="dxa"/>
            <w:tcBorders>
              <w:top w:val="dotted" w:sz="4" w:space="0" w:color="auto"/>
              <w:left w:val="dotted" w:sz="4" w:space="0" w:color="auto"/>
              <w:bottom w:val="dotted" w:sz="4" w:space="0" w:color="auto"/>
              <w:right w:val="dotted" w:sz="4" w:space="0" w:color="auto"/>
            </w:tcBorders>
          </w:tcPr>
          <w:p w14:paraId="4BCACE54" w14:textId="77777777" w:rsidR="00932AC5" w:rsidRDefault="00850229">
            <w:pPr>
              <w:pStyle w:val="NoSpacing"/>
            </w:pPr>
            <w:r>
              <w:t>Claim volume is bursty: a catastrophe day brings about ten times the average (SAD Section 9.1). Each service scales on its own from a floor of two tasks (SAD Sections 9.3 and 9.4).</w:t>
            </w:r>
          </w:p>
        </w:tc>
        <w:tc>
          <w:tcPr>
            <w:tcW w:w="2260" w:type="dxa"/>
            <w:tcBorders>
              <w:top w:val="dotted" w:sz="4" w:space="0" w:color="auto"/>
              <w:left w:val="dotted" w:sz="4" w:space="0" w:color="auto"/>
              <w:bottom w:val="dotted" w:sz="4" w:space="0" w:color="auto"/>
              <w:right w:val="dotted" w:sz="4" w:space="0" w:color="auto"/>
            </w:tcBorders>
          </w:tcPr>
          <w:p w14:paraId="3E5A57D0" w14:textId="77777777" w:rsidR="00932AC5" w:rsidRDefault="00850229">
            <w:pPr>
              <w:pStyle w:val="NoSpacing"/>
            </w:pPr>
            <w:r>
              <w:t>Met equally; capacity options under Flexibility</w:t>
            </w:r>
          </w:p>
        </w:tc>
      </w:tr>
      <w:tr w:rsidR="00932AC5" w14:paraId="64D26AF4" w14:textId="77777777">
        <w:trPr>
          <w:cantSplit/>
        </w:trPr>
        <w:tc>
          <w:tcPr>
            <w:tcW w:w="460" w:type="dxa"/>
            <w:tcBorders>
              <w:top w:val="dotted" w:sz="4" w:space="0" w:color="auto"/>
              <w:left w:val="dotted" w:sz="4" w:space="0" w:color="auto"/>
              <w:bottom w:val="dotted" w:sz="4" w:space="0" w:color="auto"/>
              <w:right w:val="dotted" w:sz="4" w:space="0" w:color="auto"/>
            </w:tcBorders>
          </w:tcPr>
          <w:p w14:paraId="13A259DA" w14:textId="77777777" w:rsidR="00932AC5" w:rsidRDefault="00850229">
            <w:pPr>
              <w:pStyle w:val="NoSpacing"/>
            </w:pPr>
            <w:r>
              <w:t>3</w:t>
            </w:r>
          </w:p>
        </w:tc>
        <w:tc>
          <w:tcPr>
            <w:tcW w:w="2260" w:type="dxa"/>
            <w:tcBorders>
              <w:top w:val="dotted" w:sz="4" w:space="0" w:color="auto"/>
              <w:left w:val="dotted" w:sz="4" w:space="0" w:color="auto"/>
              <w:bottom w:val="dotted" w:sz="4" w:space="0" w:color="auto"/>
              <w:right w:val="dotted" w:sz="4" w:space="0" w:color="auto"/>
            </w:tcBorders>
          </w:tcPr>
          <w:p w14:paraId="565DB29F" w14:textId="77777777" w:rsidR="00932AC5" w:rsidRDefault="00850229">
            <w:pPr>
              <w:pStyle w:val="NoSpacing"/>
            </w:pPr>
            <w:r>
              <w:t>99% of requests in under 5,000 ms, at peak and non-peak hours</w:t>
            </w:r>
          </w:p>
        </w:tc>
        <w:tc>
          <w:tcPr>
            <w:tcW w:w="1906" w:type="dxa"/>
            <w:tcBorders>
              <w:top w:val="dotted" w:sz="4" w:space="0" w:color="auto"/>
              <w:left w:val="dotted" w:sz="4" w:space="0" w:color="auto"/>
              <w:bottom w:val="dotted" w:sz="4" w:space="0" w:color="auto"/>
              <w:right w:val="dotted" w:sz="4" w:space="0" w:color="auto"/>
            </w:tcBorders>
          </w:tcPr>
          <w:p w14:paraId="639A60F7" w14:textId="77777777" w:rsidR="00932AC5" w:rsidRDefault="00850229">
            <w:pPr>
              <w:pStyle w:val="NoSpacing"/>
            </w:pPr>
            <w:r>
              <w:t>Section 5.2, NFR 3</w:t>
            </w:r>
          </w:p>
        </w:tc>
        <w:tc>
          <w:tcPr>
            <w:tcW w:w="2140" w:type="dxa"/>
            <w:tcBorders>
              <w:top w:val="dotted" w:sz="4" w:space="0" w:color="auto"/>
              <w:left w:val="dotted" w:sz="4" w:space="0" w:color="auto"/>
              <w:bottom w:val="dotted" w:sz="4" w:space="0" w:color="auto"/>
              <w:right w:val="dotted" w:sz="4" w:space="0" w:color="auto"/>
            </w:tcBorders>
          </w:tcPr>
          <w:p w14:paraId="3486D074" w14:textId="77777777" w:rsidR="00932AC5" w:rsidRDefault="00850229">
            <w:pPr>
              <w:pStyle w:val="NoSpacing"/>
            </w:pPr>
            <w:r>
              <w:t>The orchestrator must add nothing to the request path. Tasks must start once and serve many requests, and scale-out must be fast enough for a spike. The SAD sets internal p99 targets of 1,000 ms for reads and 2,000 ms for writes (Section 9.2).</w:t>
            </w:r>
          </w:p>
        </w:tc>
        <w:tc>
          <w:tcPr>
            <w:tcW w:w="2260" w:type="dxa"/>
            <w:tcBorders>
              <w:top w:val="dotted" w:sz="4" w:space="0" w:color="auto"/>
              <w:left w:val="dotted" w:sz="4" w:space="0" w:color="auto"/>
              <w:bottom w:val="dotted" w:sz="4" w:space="0" w:color="auto"/>
              <w:right w:val="dotted" w:sz="4" w:space="0" w:color="auto"/>
            </w:tcBorders>
          </w:tcPr>
          <w:p w14:paraId="32F7BB1F" w14:textId="77777777" w:rsidR="00932AC5" w:rsidRDefault="00850229">
            <w:pPr>
              <w:pStyle w:val="NoSpacing"/>
            </w:pPr>
            <w:r>
              <w:t>Met equally (same Fargate runtime)</w:t>
            </w:r>
          </w:p>
        </w:tc>
      </w:tr>
      <w:tr w:rsidR="00932AC5" w14:paraId="3B3BB280" w14:textId="77777777">
        <w:trPr>
          <w:cantSplit/>
        </w:trPr>
        <w:tc>
          <w:tcPr>
            <w:tcW w:w="460" w:type="dxa"/>
            <w:tcBorders>
              <w:top w:val="dotted" w:sz="4" w:space="0" w:color="auto"/>
              <w:left w:val="dotted" w:sz="4" w:space="0" w:color="auto"/>
              <w:bottom w:val="dotted" w:sz="4" w:space="0" w:color="auto"/>
              <w:right w:val="dotted" w:sz="4" w:space="0" w:color="auto"/>
            </w:tcBorders>
          </w:tcPr>
          <w:p w14:paraId="775DF28C" w14:textId="77777777" w:rsidR="00932AC5" w:rsidRDefault="00850229">
            <w:pPr>
              <w:pStyle w:val="NoSpacing"/>
            </w:pPr>
            <w:r>
              <w:lastRenderedPageBreak/>
              <w:t>4</w:t>
            </w:r>
          </w:p>
        </w:tc>
        <w:tc>
          <w:tcPr>
            <w:tcW w:w="2260" w:type="dxa"/>
            <w:tcBorders>
              <w:top w:val="dotted" w:sz="4" w:space="0" w:color="auto"/>
              <w:left w:val="dotted" w:sz="4" w:space="0" w:color="auto"/>
              <w:bottom w:val="dotted" w:sz="4" w:space="0" w:color="auto"/>
              <w:right w:val="dotted" w:sz="4" w:space="0" w:color="auto"/>
            </w:tcBorders>
          </w:tcPr>
          <w:p w14:paraId="6A2ED1E1" w14:textId="77777777" w:rsidR="00932AC5" w:rsidRDefault="00850229">
            <w:pPr>
              <w:pStyle w:val="NoSpacing"/>
            </w:pPr>
            <w:r>
              <w:t>Both on-premise and cloud deployment</w:t>
            </w:r>
          </w:p>
        </w:tc>
        <w:tc>
          <w:tcPr>
            <w:tcW w:w="1906" w:type="dxa"/>
            <w:tcBorders>
              <w:top w:val="dotted" w:sz="4" w:space="0" w:color="auto"/>
              <w:left w:val="dotted" w:sz="4" w:space="0" w:color="auto"/>
              <w:bottom w:val="dotted" w:sz="4" w:space="0" w:color="auto"/>
              <w:right w:val="dotted" w:sz="4" w:space="0" w:color="auto"/>
            </w:tcBorders>
          </w:tcPr>
          <w:p w14:paraId="213689AB" w14:textId="77777777" w:rsidR="00932AC5" w:rsidRDefault="00850229">
            <w:pPr>
              <w:pStyle w:val="NoSpacing"/>
            </w:pPr>
            <w:r>
              <w:t>Section 5.2, NFR 2</w:t>
            </w:r>
          </w:p>
        </w:tc>
        <w:tc>
          <w:tcPr>
            <w:tcW w:w="2140" w:type="dxa"/>
            <w:tcBorders>
              <w:top w:val="dotted" w:sz="4" w:space="0" w:color="auto"/>
              <w:left w:val="dotted" w:sz="4" w:space="0" w:color="auto"/>
              <w:bottom w:val="dotted" w:sz="4" w:space="0" w:color="auto"/>
              <w:right w:val="dotted" w:sz="4" w:space="0" w:color="auto"/>
            </w:tcBorders>
          </w:tcPr>
          <w:p w14:paraId="444C324C" w14:textId="77777777" w:rsidR="00932AC5" w:rsidRDefault="00850229">
            <w:pPr>
              <w:pStyle w:val="NoSpacing"/>
            </w:pPr>
            <w:r>
              <w:t>Phase 1 runs on AWS. An on-premise profile on Kubernetes is designed now and built only if YCompany mandates it (SAD Section 4, Deployment Options; Section 10, Assumption 10). The orchestrator decides how much deployment work that move needs.</w:t>
            </w:r>
          </w:p>
        </w:tc>
        <w:tc>
          <w:tcPr>
            <w:tcW w:w="2260" w:type="dxa"/>
            <w:tcBorders>
              <w:top w:val="dotted" w:sz="4" w:space="0" w:color="auto"/>
              <w:left w:val="dotted" w:sz="4" w:space="0" w:color="auto"/>
              <w:bottom w:val="dotted" w:sz="4" w:space="0" w:color="auto"/>
              <w:right w:val="dotted" w:sz="4" w:space="0" w:color="auto"/>
            </w:tcBorders>
          </w:tcPr>
          <w:p w14:paraId="3A326AE5" w14:textId="77777777" w:rsidR="00932AC5" w:rsidRDefault="00850229">
            <w:pPr>
              <w:pStyle w:val="NoSpacing"/>
            </w:pPr>
            <w:r>
              <w:t>Portability; Section 5</w:t>
            </w:r>
          </w:p>
        </w:tc>
      </w:tr>
      <w:tr w:rsidR="00932AC5" w14:paraId="55E8D9B5" w14:textId="77777777">
        <w:trPr>
          <w:cantSplit/>
        </w:trPr>
        <w:tc>
          <w:tcPr>
            <w:tcW w:w="460" w:type="dxa"/>
            <w:tcBorders>
              <w:top w:val="dotted" w:sz="4" w:space="0" w:color="auto"/>
              <w:left w:val="dotted" w:sz="4" w:space="0" w:color="auto"/>
              <w:bottom w:val="dotted" w:sz="4" w:space="0" w:color="auto"/>
              <w:right w:val="dotted" w:sz="4" w:space="0" w:color="auto"/>
            </w:tcBorders>
          </w:tcPr>
          <w:p w14:paraId="7C3BB422" w14:textId="77777777" w:rsidR="00932AC5" w:rsidRDefault="00850229">
            <w:pPr>
              <w:pStyle w:val="NoSpacing"/>
            </w:pPr>
            <w:r>
              <w:t>5</w:t>
            </w:r>
          </w:p>
        </w:tc>
        <w:tc>
          <w:tcPr>
            <w:tcW w:w="2260" w:type="dxa"/>
            <w:tcBorders>
              <w:top w:val="dotted" w:sz="4" w:space="0" w:color="auto"/>
              <w:left w:val="dotted" w:sz="4" w:space="0" w:color="auto"/>
              <w:bottom w:val="dotted" w:sz="4" w:space="0" w:color="auto"/>
              <w:right w:val="dotted" w:sz="4" w:space="0" w:color="auto"/>
            </w:tcBorders>
          </w:tcPr>
          <w:p w14:paraId="197A822D" w14:textId="77777777" w:rsidR="00932AC5" w:rsidRDefault="00850229">
            <w:pPr>
              <w:pStyle w:val="NoSpacing"/>
            </w:pPr>
            <w:r>
              <w:t>Identity management with role-based access; encryption; protection against the OWASP Top 10 using industry-proven standards</w:t>
            </w:r>
          </w:p>
        </w:tc>
        <w:tc>
          <w:tcPr>
            <w:tcW w:w="1906" w:type="dxa"/>
            <w:tcBorders>
              <w:top w:val="dotted" w:sz="4" w:space="0" w:color="auto"/>
              <w:left w:val="dotted" w:sz="4" w:space="0" w:color="auto"/>
              <w:bottom w:val="dotted" w:sz="4" w:space="0" w:color="auto"/>
              <w:right w:val="dotted" w:sz="4" w:space="0" w:color="auto"/>
            </w:tcBorders>
          </w:tcPr>
          <w:p w14:paraId="0BE0BBB6" w14:textId="77777777" w:rsidR="00932AC5" w:rsidRDefault="00850229">
            <w:pPr>
              <w:pStyle w:val="NoSpacing"/>
            </w:pPr>
            <w:r>
              <w:t>Section 5.1, FR 2 and FR 5; Section 5.2, NFR 5</w:t>
            </w:r>
          </w:p>
        </w:tc>
        <w:tc>
          <w:tcPr>
            <w:tcW w:w="2140" w:type="dxa"/>
            <w:tcBorders>
              <w:top w:val="dotted" w:sz="4" w:space="0" w:color="auto"/>
              <w:left w:val="dotted" w:sz="4" w:space="0" w:color="auto"/>
              <w:bottom w:val="dotted" w:sz="4" w:space="0" w:color="auto"/>
              <w:right w:val="dotted" w:sz="4" w:space="0" w:color="auto"/>
            </w:tcBorders>
          </w:tcPr>
          <w:p w14:paraId="478DF3E8" w14:textId="77777777" w:rsidR="00932AC5" w:rsidRDefault="00850229">
            <w:pPr>
              <w:pStyle w:val="NoSpacing"/>
            </w:pPr>
            <w:r>
              <w:t>Each service needs its own least-privilege identity, secrets delivered at runtime, and network isolation. Claim, policy and payment data are sensitive.</w:t>
            </w:r>
          </w:p>
        </w:tc>
        <w:tc>
          <w:tcPr>
            <w:tcW w:w="2260" w:type="dxa"/>
            <w:tcBorders>
              <w:top w:val="dotted" w:sz="4" w:space="0" w:color="auto"/>
              <w:left w:val="dotted" w:sz="4" w:space="0" w:color="auto"/>
              <w:bottom w:val="dotted" w:sz="4" w:space="0" w:color="auto"/>
              <w:right w:val="dotted" w:sz="4" w:space="0" w:color="auto"/>
            </w:tcBorders>
          </w:tcPr>
          <w:p w14:paraId="2BD2ED5D" w14:textId="77777777" w:rsidR="00932AC5" w:rsidRDefault="00850229">
            <w:pPr>
              <w:pStyle w:val="NoSpacing"/>
            </w:pPr>
            <w:r>
              <w:t>Security</w:t>
            </w:r>
          </w:p>
        </w:tc>
      </w:tr>
      <w:tr w:rsidR="00932AC5" w14:paraId="4E2DD77D" w14:textId="77777777">
        <w:trPr>
          <w:cantSplit/>
        </w:trPr>
        <w:tc>
          <w:tcPr>
            <w:tcW w:w="460" w:type="dxa"/>
            <w:tcBorders>
              <w:top w:val="dotted" w:sz="4" w:space="0" w:color="auto"/>
              <w:left w:val="dotted" w:sz="4" w:space="0" w:color="auto"/>
              <w:bottom w:val="dotted" w:sz="4" w:space="0" w:color="auto"/>
              <w:right w:val="dotted" w:sz="4" w:space="0" w:color="auto"/>
            </w:tcBorders>
          </w:tcPr>
          <w:p w14:paraId="60F4D52F" w14:textId="77777777" w:rsidR="00932AC5" w:rsidRDefault="00850229">
            <w:pPr>
              <w:pStyle w:val="NoSpacing"/>
            </w:pPr>
            <w:r>
              <w:t>6</w:t>
            </w:r>
          </w:p>
        </w:tc>
        <w:tc>
          <w:tcPr>
            <w:tcW w:w="2260" w:type="dxa"/>
            <w:tcBorders>
              <w:top w:val="dotted" w:sz="4" w:space="0" w:color="auto"/>
              <w:left w:val="dotted" w:sz="4" w:space="0" w:color="auto"/>
              <w:bottom w:val="dotted" w:sz="4" w:space="0" w:color="auto"/>
              <w:right w:val="dotted" w:sz="4" w:space="0" w:color="auto"/>
            </w:tcBorders>
          </w:tcPr>
          <w:p w14:paraId="2BA36383" w14:textId="77777777" w:rsidR="00932AC5" w:rsidRDefault="00850229">
            <w:pPr>
              <w:pStyle w:val="NoSpacing"/>
            </w:pPr>
            <w:r>
              <w:t>Ability to monitor and maintain the system: testability, configurability, upgradeability; logging to debug any error</w:t>
            </w:r>
          </w:p>
        </w:tc>
        <w:tc>
          <w:tcPr>
            <w:tcW w:w="1906" w:type="dxa"/>
            <w:tcBorders>
              <w:top w:val="dotted" w:sz="4" w:space="0" w:color="auto"/>
              <w:left w:val="dotted" w:sz="4" w:space="0" w:color="auto"/>
              <w:bottom w:val="dotted" w:sz="4" w:space="0" w:color="auto"/>
              <w:right w:val="dotted" w:sz="4" w:space="0" w:color="auto"/>
            </w:tcBorders>
          </w:tcPr>
          <w:p w14:paraId="362D6099" w14:textId="77777777" w:rsidR="00932AC5" w:rsidRDefault="00850229">
            <w:pPr>
              <w:pStyle w:val="NoSpacing"/>
            </w:pPr>
            <w:r>
              <w:t>Section 5.2, NFR 4; Section 5, Design Requirements</w:t>
            </w:r>
          </w:p>
        </w:tc>
        <w:tc>
          <w:tcPr>
            <w:tcW w:w="2140" w:type="dxa"/>
            <w:tcBorders>
              <w:top w:val="dotted" w:sz="4" w:space="0" w:color="auto"/>
              <w:left w:val="dotted" w:sz="4" w:space="0" w:color="auto"/>
              <w:bottom w:val="dotted" w:sz="4" w:space="0" w:color="auto"/>
              <w:right w:val="dotted" w:sz="4" w:space="0" w:color="auto"/>
            </w:tcBorders>
          </w:tcPr>
          <w:p w14:paraId="05DF966B" w14:textId="77777777" w:rsidR="00932AC5" w:rsidRDefault="00850229">
            <w:pPr>
              <w:pStyle w:val="NoSpacing"/>
            </w:pPr>
            <w:r>
              <w:t>Logs, metrics and traces must reach CloudWatch and X-Ray without a self-managed collection tier. The platform itself must be kept current without downtime.</w:t>
            </w:r>
          </w:p>
        </w:tc>
        <w:tc>
          <w:tcPr>
            <w:tcW w:w="2260" w:type="dxa"/>
            <w:tcBorders>
              <w:top w:val="dotted" w:sz="4" w:space="0" w:color="auto"/>
              <w:left w:val="dotted" w:sz="4" w:space="0" w:color="auto"/>
              <w:bottom w:val="dotted" w:sz="4" w:space="0" w:color="auto"/>
              <w:right w:val="dotted" w:sz="4" w:space="0" w:color="auto"/>
            </w:tcBorders>
          </w:tcPr>
          <w:p w14:paraId="6D9A2943" w14:textId="77777777" w:rsidR="00932AC5" w:rsidRDefault="00850229">
            <w:pPr>
              <w:pStyle w:val="NoSpacing"/>
            </w:pPr>
            <w:r>
              <w:t>Maintainability; Section 4.3</w:t>
            </w:r>
          </w:p>
        </w:tc>
      </w:tr>
      <w:tr w:rsidR="00932AC5" w14:paraId="13EEF10E" w14:textId="77777777">
        <w:trPr>
          <w:cantSplit/>
        </w:trPr>
        <w:tc>
          <w:tcPr>
            <w:tcW w:w="460" w:type="dxa"/>
            <w:tcBorders>
              <w:top w:val="dotted" w:sz="4" w:space="0" w:color="auto"/>
              <w:left w:val="dotted" w:sz="4" w:space="0" w:color="auto"/>
              <w:bottom w:val="dotted" w:sz="4" w:space="0" w:color="auto"/>
              <w:right w:val="dotted" w:sz="4" w:space="0" w:color="auto"/>
            </w:tcBorders>
          </w:tcPr>
          <w:p w14:paraId="4FB0C2D5" w14:textId="77777777" w:rsidR="00932AC5" w:rsidRDefault="00850229">
            <w:pPr>
              <w:pStyle w:val="NoSpacing"/>
            </w:pPr>
            <w:r>
              <w:t>7</w:t>
            </w:r>
          </w:p>
        </w:tc>
        <w:tc>
          <w:tcPr>
            <w:tcW w:w="2260" w:type="dxa"/>
            <w:tcBorders>
              <w:top w:val="dotted" w:sz="4" w:space="0" w:color="auto"/>
              <w:left w:val="dotted" w:sz="4" w:space="0" w:color="auto"/>
              <w:bottom w:val="dotted" w:sz="4" w:space="0" w:color="auto"/>
              <w:right w:val="dotted" w:sz="4" w:space="0" w:color="auto"/>
            </w:tcBorders>
          </w:tcPr>
          <w:p w14:paraId="4B2F38D9" w14:textId="77777777" w:rsidR="00932AC5" w:rsidRDefault="00850229">
            <w:pPr>
              <w:pStyle w:val="NoSpacing"/>
            </w:pPr>
            <w:r>
              <w:t>Functionality built as services; design for evolution, flexibility and reuse</w:t>
            </w:r>
          </w:p>
        </w:tc>
        <w:tc>
          <w:tcPr>
            <w:tcW w:w="1906" w:type="dxa"/>
            <w:tcBorders>
              <w:top w:val="dotted" w:sz="4" w:space="0" w:color="auto"/>
              <w:left w:val="dotted" w:sz="4" w:space="0" w:color="auto"/>
              <w:bottom w:val="dotted" w:sz="4" w:space="0" w:color="auto"/>
              <w:right w:val="dotted" w:sz="4" w:space="0" w:color="auto"/>
            </w:tcBorders>
          </w:tcPr>
          <w:p w14:paraId="6DA4C401" w14:textId="77777777" w:rsidR="00932AC5" w:rsidRDefault="00850229">
            <w:pPr>
              <w:pStyle w:val="NoSpacing"/>
            </w:pPr>
            <w:r>
              <w:t>Section 5, Design Requirements</w:t>
            </w:r>
          </w:p>
        </w:tc>
        <w:tc>
          <w:tcPr>
            <w:tcW w:w="2140" w:type="dxa"/>
            <w:tcBorders>
              <w:top w:val="dotted" w:sz="4" w:space="0" w:color="auto"/>
              <w:left w:val="dotted" w:sz="4" w:space="0" w:color="auto"/>
              <w:bottom w:val="dotted" w:sz="4" w:space="0" w:color="auto"/>
              <w:right w:val="dotted" w:sz="4" w:space="0" w:color="auto"/>
            </w:tcBorders>
          </w:tcPr>
          <w:p w14:paraId="65005F22" w14:textId="77777777" w:rsidR="00932AC5" w:rsidRDefault="00850229">
            <w:pPr>
              <w:pStyle w:val="NoSpacing"/>
            </w:pPr>
            <w:r>
              <w:t>Twelve independently releasable services, with their queue consumers and scheduled jobs, must run under one service model with blue-green release (SAD Section 4, CI/CD Pipeline).</w:t>
            </w:r>
          </w:p>
        </w:tc>
        <w:tc>
          <w:tcPr>
            <w:tcW w:w="2260" w:type="dxa"/>
            <w:tcBorders>
              <w:top w:val="dotted" w:sz="4" w:space="0" w:color="auto"/>
              <w:left w:val="dotted" w:sz="4" w:space="0" w:color="auto"/>
              <w:bottom w:val="dotted" w:sz="4" w:space="0" w:color="auto"/>
              <w:right w:val="dotted" w:sz="4" w:space="0" w:color="auto"/>
            </w:tcBorders>
          </w:tcPr>
          <w:p w14:paraId="5A4E9675" w14:textId="77777777" w:rsidR="00932AC5" w:rsidRDefault="00850229">
            <w:pPr>
              <w:pStyle w:val="NoSpacing"/>
            </w:pPr>
            <w:r>
              <w:t>Flexibility; Control</w:t>
            </w:r>
          </w:p>
        </w:tc>
      </w:tr>
      <w:tr w:rsidR="00932AC5" w14:paraId="1AF19F80" w14:textId="77777777">
        <w:trPr>
          <w:cantSplit/>
        </w:trPr>
        <w:tc>
          <w:tcPr>
            <w:tcW w:w="460" w:type="dxa"/>
            <w:tcBorders>
              <w:top w:val="dotted" w:sz="4" w:space="0" w:color="auto"/>
              <w:left w:val="dotted" w:sz="4" w:space="0" w:color="auto"/>
              <w:bottom w:val="dotted" w:sz="4" w:space="0" w:color="auto"/>
              <w:right w:val="dotted" w:sz="4" w:space="0" w:color="auto"/>
            </w:tcBorders>
          </w:tcPr>
          <w:p w14:paraId="50A264CD" w14:textId="77777777" w:rsidR="00932AC5" w:rsidRDefault="00850229">
            <w:pPr>
              <w:pStyle w:val="NoSpacing"/>
            </w:pPr>
            <w:r>
              <w:lastRenderedPageBreak/>
              <w:t>8</w:t>
            </w:r>
          </w:p>
        </w:tc>
        <w:tc>
          <w:tcPr>
            <w:tcW w:w="2260" w:type="dxa"/>
            <w:tcBorders>
              <w:top w:val="dotted" w:sz="4" w:space="0" w:color="auto"/>
              <w:left w:val="dotted" w:sz="4" w:space="0" w:color="auto"/>
              <w:bottom w:val="dotted" w:sz="4" w:space="0" w:color="auto"/>
              <w:right w:val="dotted" w:sz="4" w:space="0" w:color="auto"/>
            </w:tcBorders>
          </w:tcPr>
          <w:p w14:paraId="0101E797" w14:textId="77777777" w:rsidR="00932AC5" w:rsidRDefault="00850229">
            <w:pPr>
              <w:pStyle w:val="NoSpacing"/>
            </w:pPr>
            <w:r>
              <w:t>Cost-efficient operation by a lean team</w:t>
            </w:r>
          </w:p>
        </w:tc>
        <w:tc>
          <w:tcPr>
            <w:tcW w:w="1906" w:type="dxa"/>
            <w:tcBorders>
              <w:top w:val="dotted" w:sz="4" w:space="0" w:color="auto"/>
              <w:left w:val="dotted" w:sz="4" w:space="0" w:color="auto"/>
              <w:bottom w:val="dotted" w:sz="4" w:space="0" w:color="auto"/>
              <w:right w:val="dotted" w:sz="4" w:space="0" w:color="auto"/>
            </w:tcBorders>
          </w:tcPr>
          <w:p w14:paraId="411E3A89" w14:textId="77777777" w:rsidR="00932AC5" w:rsidRDefault="00850229">
            <w:pPr>
              <w:pStyle w:val="NoSpacing"/>
            </w:pPr>
            <w:r>
              <w:t>Not a stated requirement. Derived from the business case (SAD Section 1, lower operating cost) and from NFR 4</w:t>
            </w:r>
          </w:p>
        </w:tc>
        <w:tc>
          <w:tcPr>
            <w:tcW w:w="2140" w:type="dxa"/>
            <w:tcBorders>
              <w:top w:val="dotted" w:sz="4" w:space="0" w:color="auto"/>
              <w:left w:val="dotted" w:sz="4" w:space="0" w:color="auto"/>
              <w:bottom w:val="dotted" w:sz="4" w:space="0" w:color="auto"/>
              <w:right w:val="dotted" w:sz="4" w:space="0" w:color="auto"/>
            </w:tcBorders>
          </w:tcPr>
          <w:p w14:paraId="3FB879D4" w14:textId="77777777" w:rsidR="00932AC5" w:rsidRDefault="00850229">
            <w:pPr>
              <w:pStyle w:val="NoSpacing"/>
            </w:pPr>
            <w:r>
              <w:t>Fargate bills both options identically. What separates them is the orchestrator fee and the effort to keep the platform current.</w:t>
            </w:r>
          </w:p>
        </w:tc>
        <w:tc>
          <w:tcPr>
            <w:tcW w:w="2260" w:type="dxa"/>
            <w:tcBorders>
              <w:top w:val="dotted" w:sz="4" w:space="0" w:color="auto"/>
              <w:left w:val="dotted" w:sz="4" w:space="0" w:color="auto"/>
              <w:bottom w:val="dotted" w:sz="4" w:space="0" w:color="auto"/>
              <w:right w:val="dotted" w:sz="4" w:space="0" w:color="auto"/>
            </w:tcBorders>
          </w:tcPr>
          <w:p w14:paraId="23269A13" w14:textId="77777777" w:rsidR="00932AC5" w:rsidRDefault="00850229">
            <w:pPr>
              <w:pStyle w:val="NoSpacing"/>
            </w:pPr>
            <w:r>
              <w:t>Cost; Complexity</w:t>
            </w:r>
          </w:p>
        </w:tc>
      </w:tr>
    </w:tbl>
    <w:p w14:paraId="4280A7C0" w14:textId="77777777" w:rsidR="00932AC5" w:rsidRDefault="00932AC5"/>
    <w:p w14:paraId="5CB037B5" w14:textId="77777777" w:rsidR="00932AC5" w:rsidRDefault="00850229">
      <w:r>
        <w:t>Rows 1 to 3 do not separate the options. Both run the same Fargate tasks. Both replace a task that fails a health check, spread tasks across Availability Zones and scale them on the same metrics. These rows are listed to show that they were checked.</w:t>
      </w:r>
    </w:p>
    <w:p w14:paraId="6F55F51D" w14:textId="77777777" w:rsidR="00932AC5" w:rsidRDefault="00850229">
      <w:r>
        <w:t>The decision turns on the remaining rows. They cover what each option costs, what it asks the team to maintain and learn, what it can host, how it isolates services, how far its deployment definitions travel and how much control it offers. These are the seven attributes of the point matrix in Section 4.1.</w:t>
      </w:r>
    </w:p>
    <w:p w14:paraId="4FA95BFC" w14:textId="77777777" w:rsidR="00932AC5" w:rsidRDefault="00850229">
      <w:r>
        <w:t>Requirements that are met outside the orchestrator are omitted:</w:t>
      </w:r>
    </w:p>
    <w:p w14:paraId="2F3AB587" w14:textId="77777777" w:rsidR="00932AC5" w:rsidRDefault="00850229">
      <w:pPr>
        <w:pStyle w:val="ListParagraph"/>
        <w:numPr>
          <w:ilvl w:val="0"/>
          <w:numId w:val="40"/>
        </w:numPr>
      </w:pPr>
      <w:r>
        <w:t>data backup and recovery (FR 4);</w:t>
      </w:r>
    </w:p>
    <w:p w14:paraId="7A52D3DB" w14:textId="77777777" w:rsidR="00932AC5" w:rsidRDefault="00850229">
      <w:pPr>
        <w:pStyle w:val="ListParagraph"/>
        <w:numPr>
          <w:ilvl w:val="0"/>
          <w:numId w:val="40"/>
        </w:numPr>
      </w:pPr>
      <w:r>
        <w:t>non-repudiation (FR 6);</w:t>
      </w:r>
    </w:p>
    <w:p w14:paraId="56967444" w14:textId="77777777" w:rsidR="00932AC5" w:rsidRDefault="00850229">
      <w:pPr>
        <w:pStyle w:val="ListParagraph"/>
        <w:numPr>
          <w:ilvl w:val="0"/>
          <w:numId w:val="40"/>
        </w:numPr>
      </w:pPr>
      <w:r>
        <w:t>English-only operation (NFR 6).</w:t>
      </w:r>
    </w:p>
    <w:p w14:paraId="64F72A58" w14:textId="77777777" w:rsidR="00932AC5" w:rsidRDefault="00850229">
      <w:r>
        <w:br w:type="page"/>
      </w:r>
    </w:p>
    <w:p w14:paraId="79206368" w14:textId="77777777" w:rsidR="00932AC5" w:rsidRDefault="00850229">
      <w:pPr>
        <w:pStyle w:val="Heading1"/>
      </w:pPr>
      <w:bookmarkStart w:id="3" w:name="_Toc244213663"/>
      <w:r>
        <w:lastRenderedPageBreak/>
        <w:t>Available tools</w:t>
      </w:r>
      <w:bookmarkEnd w:id="3"/>
    </w:p>
    <w:p w14:paraId="6A928D22" w14:textId="77777777" w:rsidR="00932AC5" w:rsidRDefault="00850229">
      <w:r>
        <w:t>Both options orchestrate the same container images on the same AWS Fargate capacity at the same rates, and neither changes the application. They differ in the control plane the team works with, and in what that control plane asks of the team.</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017"/>
        <w:gridCol w:w="2463"/>
        <w:gridCol w:w="1557"/>
        <w:gridCol w:w="2989"/>
      </w:tblGrid>
      <w:tr w:rsidR="00932AC5" w14:paraId="0D46E77D" w14:textId="77777777">
        <w:trPr>
          <w:cantSplit/>
          <w:tblHeader/>
        </w:trPr>
        <w:tc>
          <w:tcPr>
            <w:tcW w:w="2017" w:type="dxa"/>
            <w:tcBorders>
              <w:top w:val="dotted" w:sz="4" w:space="0" w:color="auto"/>
              <w:left w:val="dotted" w:sz="4" w:space="0" w:color="auto"/>
              <w:bottom w:val="dotted" w:sz="4" w:space="0" w:color="auto"/>
              <w:right w:val="dotted" w:sz="4" w:space="0" w:color="auto"/>
            </w:tcBorders>
            <w:shd w:val="pct5" w:color="auto" w:fill="auto"/>
          </w:tcPr>
          <w:p w14:paraId="133D310A" w14:textId="77777777" w:rsidR="00932AC5" w:rsidRDefault="00850229">
            <w:pPr>
              <w:pStyle w:val="NoSpacing"/>
            </w:pPr>
            <w:r>
              <w:rPr>
                <w:b/>
              </w:rPr>
              <w:t>Option</w:t>
            </w:r>
          </w:p>
        </w:tc>
        <w:tc>
          <w:tcPr>
            <w:tcW w:w="2463" w:type="dxa"/>
            <w:tcBorders>
              <w:top w:val="dotted" w:sz="4" w:space="0" w:color="auto"/>
              <w:left w:val="dotted" w:sz="4" w:space="0" w:color="auto"/>
              <w:bottom w:val="dotted" w:sz="4" w:space="0" w:color="auto"/>
              <w:right w:val="dotted" w:sz="4" w:space="0" w:color="auto"/>
            </w:tcBorders>
            <w:shd w:val="pct5" w:color="auto" w:fill="auto"/>
          </w:tcPr>
          <w:p w14:paraId="2D8EFE63" w14:textId="77777777" w:rsidR="00932AC5" w:rsidRDefault="00850229">
            <w:pPr>
              <w:pStyle w:val="NoSpacing"/>
            </w:pPr>
            <w:r>
              <w:rPr>
                <w:b/>
              </w:rPr>
              <w:t>What the team operates</w:t>
            </w:r>
          </w:p>
        </w:tc>
        <w:tc>
          <w:tcPr>
            <w:tcW w:w="1557" w:type="dxa"/>
            <w:tcBorders>
              <w:top w:val="dotted" w:sz="4" w:space="0" w:color="auto"/>
              <w:left w:val="dotted" w:sz="4" w:space="0" w:color="auto"/>
              <w:bottom w:val="dotted" w:sz="4" w:space="0" w:color="auto"/>
              <w:right w:val="dotted" w:sz="4" w:space="0" w:color="auto"/>
            </w:tcBorders>
            <w:shd w:val="pct5" w:color="auto" w:fill="auto"/>
          </w:tcPr>
          <w:p w14:paraId="61C1E6D1" w14:textId="77777777" w:rsidR="00932AC5" w:rsidRDefault="00850229">
            <w:pPr>
              <w:pStyle w:val="NoSpacing"/>
            </w:pPr>
            <w:r>
              <w:rPr>
                <w:b/>
              </w:rPr>
              <w:t>Unit of deployment</w:t>
            </w:r>
          </w:p>
        </w:tc>
        <w:tc>
          <w:tcPr>
            <w:tcW w:w="2989" w:type="dxa"/>
            <w:tcBorders>
              <w:top w:val="dotted" w:sz="4" w:space="0" w:color="auto"/>
              <w:left w:val="dotted" w:sz="4" w:space="0" w:color="auto"/>
              <w:bottom w:val="dotted" w:sz="4" w:space="0" w:color="auto"/>
              <w:right w:val="dotted" w:sz="4" w:space="0" w:color="auto"/>
            </w:tcBorders>
            <w:shd w:val="pct5" w:color="auto" w:fill="auto"/>
          </w:tcPr>
          <w:p w14:paraId="66C0CB5F" w14:textId="77777777" w:rsidR="00932AC5" w:rsidRDefault="00850229">
            <w:pPr>
              <w:pStyle w:val="NoSpacing"/>
            </w:pPr>
            <w:r>
              <w:rPr>
                <w:b/>
              </w:rPr>
              <w:t>Capacity for eClaims</w:t>
            </w:r>
          </w:p>
        </w:tc>
      </w:tr>
      <w:tr w:rsidR="00932AC5" w14:paraId="68BB3A92" w14:textId="77777777">
        <w:trPr>
          <w:cantSplit/>
        </w:trPr>
        <w:tc>
          <w:tcPr>
            <w:tcW w:w="2017" w:type="dxa"/>
            <w:tcBorders>
              <w:top w:val="dotted" w:sz="4" w:space="0" w:color="auto"/>
              <w:left w:val="dotted" w:sz="4" w:space="0" w:color="auto"/>
              <w:bottom w:val="dotted" w:sz="4" w:space="0" w:color="auto"/>
              <w:right w:val="dotted" w:sz="4" w:space="0" w:color="auto"/>
            </w:tcBorders>
          </w:tcPr>
          <w:p w14:paraId="742B5011" w14:textId="77777777" w:rsidR="00932AC5" w:rsidRDefault="00850229">
            <w:pPr>
              <w:pStyle w:val="NoSpacing"/>
            </w:pPr>
            <w:r>
              <w:t>Amazon ECS on AWS Fargate</w:t>
            </w:r>
          </w:p>
        </w:tc>
        <w:tc>
          <w:tcPr>
            <w:tcW w:w="2463" w:type="dxa"/>
            <w:tcBorders>
              <w:top w:val="dotted" w:sz="4" w:space="0" w:color="auto"/>
              <w:left w:val="dotted" w:sz="4" w:space="0" w:color="auto"/>
              <w:bottom w:val="dotted" w:sz="4" w:space="0" w:color="auto"/>
              <w:right w:val="dotted" w:sz="4" w:space="0" w:color="auto"/>
            </w:tcBorders>
          </w:tcPr>
          <w:p w14:paraId="3CAB9C14" w14:textId="77777777" w:rsidR="00932AC5" w:rsidRDefault="00850229">
            <w:pPr>
              <w:pStyle w:val="NoSpacing"/>
            </w:pPr>
            <w:r>
              <w:t>ECS clusters, services and task definitions; no control-plane version</w:t>
            </w:r>
          </w:p>
        </w:tc>
        <w:tc>
          <w:tcPr>
            <w:tcW w:w="1557" w:type="dxa"/>
            <w:tcBorders>
              <w:top w:val="dotted" w:sz="4" w:space="0" w:color="auto"/>
              <w:left w:val="dotted" w:sz="4" w:space="0" w:color="auto"/>
              <w:bottom w:val="dotted" w:sz="4" w:space="0" w:color="auto"/>
              <w:right w:val="dotted" w:sz="4" w:space="0" w:color="auto"/>
            </w:tcBorders>
          </w:tcPr>
          <w:p w14:paraId="1E8F8781" w14:textId="77777777" w:rsidR="00932AC5" w:rsidRDefault="00850229">
            <w:pPr>
              <w:pStyle w:val="NoSpacing"/>
            </w:pPr>
            <w:r>
              <w:t>A task: one or more containers</w:t>
            </w:r>
          </w:p>
        </w:tc>
        <w:tc>
          <w:tcPr>
            <w:tcW w:w="2989" w:type="dxa"/>
            <w:tcBorders>
              <w:top w:val="dotted" w:sz="4" w:space="0" w:color="auto"/>
              <w:left w:val="dotted" w:sz="4" w:space="0" w:color="auto"/>
              <w:bottom w:val="dotted" w:sz="4" w:space="0" w:color="auto"/>
              <w:right w:val="dotted" w:sz="4" w:space="0" w:color="auto"/>
            </w:tcBorders>
          </w:tcPr>
          <w:p w14:paraId="034E2A59" w14:textId="77777777" w:rsidR="00932AC5" w:rsidRDefault="00850229">
            <w:pPr>
              <w:pStyle w:val="NoSpacing"/>
            </w:pPr>
            <w:r>
              <w:t>Fargate; Fargate Spot for work that can tolerate interruption</w:t>
            </w:r>
          </w:p>
        </w:tc>
      </w:tr>
      <w:tr w:rsidR="00932AC5" w14:paraId="39500D57" w14:textId="77777777">
        <w:trPr>
          <w:cantSplit/>
        </w:trPr>
        <w:tc>
          <w:tcPr>
            <w:tcW w:w="2017" w:type="dxa"/>
            <w:tcBorders>
              <w:top w:val="dotted" w:sz="4" w:space="0" w:color="auto"/>
              <w:left w:val="dotted" w:sz="4" w:space="0" w:color="auto"/>
              <w:bottom w:val="dotted" w:sz="4" w:space="0" w:color="auto"/>
              <w:right w:val="dotted" w:sz="4" w:space="0" w:color="auto"/>
            </w:tcBorders>
          </w:tcPr>
          <w:p w14:paraId="71C2F39E" w14:textId="77777777" w:rsidR="00932AC5" w:rsidRDefault="00850229">
            <w:pPr>
              <w:pStyle w:val="NoSpacing"/>
            </w:pPr>
            <w:r>
              <w:t>Amazon EKS on AWS Fargate or managed node groups</w:t>
            </w:r>
          </w:p>
        </w:tc>
        <w:tc>
          <w:tcPr>
            <w:tcW w:w="2463" w:type="dxa"/>
            <w:tcBorders>
              <w:top w:val="dotted" w:sz="4" w:space="0" w:color="auto"/>
              <w:left w:val="dotted" w:sz="4" w:space="0" w:color="auto"/>
              <w:bottom w:val="dotted" w:sz="4" w:space="0" w:color="auto"/>
              <w:right w:val="dotted" w:sz="4" w:space="0" w:color="auto"/>
            </w:tcBorders>
          </w:tcPr>
          <w:p w14:paraId="5F08D98D" w14:textId="77777777" w:rsidR="00932AC5" w:rsidRDefault="00850229">
            <w:pPr>
              <w:pStyle w:val="NoSpacing"/>
            </w:pPr>
            <w:r>
              <w:t>A Kubernetes cluster per environment, with its version and add-ons</w:t>
            </w:r>
          </w:p>
        </w:tc>
        <w:tc>
          <w:tcPr>
            <w:tcW w:w="1557" w:type="dxa"/>
            <w:tcBorders>
              <w:top w:val="dotted" w:sz="4" w:space="0" w:color="auto"/>
              <w:left w:val="dotted" w:sz="4" w:space="0" w:color="auto"/>
              <w:bottom w:val="dotted" w:sz="4" w:space="0" w:color="auto"/>
              <w:right w:val="dotted" w:sz="4" w:space="0" w:color="auto"/>
            </w:tcBorders>
          </w:tcPr>
          <w:p w14:paraId="718ED873" w14:textId="77777777" w:rsidR="00932AC5" w:rsidRDefault="00850229">
            <w:pPr>
              <w:pStyle w:val="NoSpacing"/>
            </w:pPr>
            <w:r>
              <w:t>A pod: one or more containers</w:t>
            </w:r>
          </w:p>
        </w:tc>
        <w:tc>
          <w:tcPr>
            <w:tcW w:w="2989" w:type="dxa"/>
            <w:tcBorders>
              <w:top w:val="dotted" w:sz="4" w:space="0" w:color="auto"/>
              <w:left w:val="dotted" w:sz="4" w:space="0" w:color="auto"/>
              <w:bottom w:val="dotted" w:sz="4" w:space="0" w:color="auto"/>
              <w:right w:val="dotted" w:sz="4" w:space="0" w:color="auto"/>
            </w:tcBorders>
          </w:tcPr>
          <w:p w14:paraId="1012B901" w14:textId="77777777" w:rsidR="00932AC5" w:rsidRDefault="00850229">
            <w:pPr>
              <w:pStyle w:val="NoSpacing"/>
            </w:pPr>
            <w:r>
              <w:t>Fargate, through Fargate profiles; EC2 managed node groups where a Kubernetes feature needs a node</w:t>
            </w:r>
          </w:p>
        </w:tc>
      </w:tr>
    </w:tbl>
    <w:p w14:paraId="4F1CA25D" w14:textId="77777777" w:rsidR="00932AC5" w:rsidRDefault="00932AC5"/>
    <w:p w14:paraId="188DA8DF" w14:textId="77777777" w:rsidR="00932AC5" w:rsidRDefault="00850229">
      <w:r>
        <w:t>Three other options were considered and not carried forward:</w:t>
      </w:r>
    </w:p>
    <w:p w14:paraId="0D9439BF" w14:textId="77777777" w:rsidR="00932AC5" w:rsidRDefault="00850229">
      <w:pPr>
        <w:pStyle w:val="ListParagraph"/>
        <w:numPr>
          <w:ilvl w:val="0"/>
          <w:numId w:val="40"/>
        </w:numPr>
      </w:pPr>
      <w:r>
        <w:t>A self-managed Kubernetes cluster on EC2 — a strictly higher-effort form of EKS, because the team would also run the control plane.</w:t>
      </w:r>
    </w:p>
    <w:p w14:paraId="0A7819D9" w14:textId="77777777" w:rsidR="00932AC5" w:rsidRDefault="00850229">
      <w:pPr>
        <w:pStyle w:val="ListParagraph"/>
        <w:numPr>
          <w:ilvl w:val="0"/>
          <w:numId w:val="40"/>
        </w:numPr>
      </w:pPr>
      <w:r>
        <w:t>Red Hat OpenShift Service on AWS — a managed Kubernetes distribution that adds OpenShift service fees to the EC2 capacity beneath it. EKS represents it in this comparison, and OpenShift remains a candidate for the on-premise profile.</w:t>
      </w:r>
    </w:p>
    <w:p w14:paraId="3C845BEB" w14:textId="77777777" w:rsidR="00932AC5" w:rsidRDefault="00850229">
      <w:pPr>
        <w:pStyle w:val="ListParagraph"/>
        <w:numPr>
          <w:ilvl w:val="0"/>
          <w:numId w:val="40"/>
        </w:numPr>
      </w:pPr>
      <w:r>
        <w:t>AWS App Runner — excluded by the Compute DAR because it constrains networking and release control more than the blue-green requirement allows.</w:t>
      </w:r>
    </w:p>
    <w:p w14:paraId="3CC72827" w14:textId="77777777" w:rsidR="00932AC5" w:rsidRDefault="00850229">
      <w:pPr>
        <w:pStyle w:val="Heading2"/>
      </w:pPr>
      <w:bookmarkStart w:id="4" w:name="_Toc244213664"/>
      <w:r>
        <w:t>Amazon ECS on AWS Fargate</w:t>
      </w:r>
      <w:bookmarkEnd w:id="4"/>
    </w:p>
    <w:p w14:paraId="3F5C3B95" w14:textId="77777777" w:rsidR="00932AC5" w:rsidRDefault="00850229">
      <w:r>
        <w:t>Amazon ECS is AWS's own container orchestrator. The team declares two things:</w:t>
      </w:r>
    </w:p>
    <w:p w14:paraId="50668DAF" w14:textId="77777777" w:rsidR="00932AC5" w:rsidRDefault="00850229">
      <w:pPr>
        <w:pStyle w:val="ListParagraph"/>
        <w:numPr>
          <w:ilvl w:val="0"/>
          <w:numId w:val="40"/>
        </w:numPr>
      </w:pPr>
      <w:r>
        <w:t>a task definition — the container image, CPU and memory, IAM role, secrets and log configuration;</w:t>
      </w:r>
    </w:p>
    <w:p w14:paraId="09564227" w14:textId="77777777" w:rsidR="00932AC5" w:rsidRDefault="00850229">
      <w:pPr>
        <w:pStyle w:val="ListParagraph"/>
        <w:numPr>
          <w:ilvl w:val="0"/>
          <w:numId w:val="40"/>
        </w:numPr>
      </w:pPr>
      <w:r>
        <w:t>an ECS service, which keeps the desired number of those tasks running behind a load balancer.</w:t>
      </w:r>
    </w:p>
    <w:p w14:paraId="4D3481E6" w14:textId="77777777" w:rsidR="00932AC5" w:rsidRDefault="00850229">
      <w:r>
        <w:t>There is no charge for ECS and no control-plane version to own: AWS operates the control plane and evolves it without customer upgrades.</w:t>
      </w:r>
    </w:p>
    <w:p w14:paraId="72682314" w14:textId="77777777" w:rsidR="00932AC5" w:rsidRDefault="00850229">
      <w:r>
        <w:t>On Fargate capacity, each task runs in its own AWS-managed isolation boundary with its own network interface. No instance, node group or operating system falls within the team's scope. This is the combination the SAD specifies (Section 4, Layer 3 and Deployment Topology; Section 8). Each eClaims service is an ECS service of Fargate tasks that is:</w:t>
      </w:r>
    </w:p>
    <w:p w14:paraId="20169DE5" w14:textId="77777777" w:rsidR="00932AC5" w:rsidRDefault="00850229">
      <w:pPr>
        <w:pStyle w:val="ListParagraph"/>
        <w:numPr>
          <w:ilvl w:val="0"/>
          <w:numId w:val="40"/>
        </w:numPr>
      </w:pPr>
      <w:r>
        <w:t>spread across three Availability Zones in private subnets;</w:t>
      </w:r>
    </w:p>
    <w:p w14:paraId="1EB415C3" w14:textId="77777777" w:rsidR="00932AC5" w:rsidRDefault="00850229">
      <w:pPr>
        <w:pStyle w:val="ListParagraph"/>
        <w:numPr>
          <w:ilvl w:val="0"/>
          <w:numId w:val="40"/>
        </w:numPr>
      </w:pPr>
      <w:r>
        <w:t>registered with an ALB target group;</w:t>
      </w:r>
    </w:p>
    <w:p w14:paraId="7DB39CD3" w14:textId="77777777" w:rsidR="00932AC5" w:rsidRDefault="00850229">
      <w:pPr>
        <w:pStyle w:val="ListParagraph"/>
        <w:numPr>
          <w:ilvl w:val="0"/>
          <w:numId w:val="40"/>
        </w:numPr>
      </w:pPr>
      <w:r>
        <w:t>scaled by target tracking;</w:t>
      </w:r>
    </w:p>
    <w:p w14:paraId="6E943353" w14:textId="77777777" w:rsidR="00932AC5" w:rsidRDefault="00850229">
      <w:pPr>
        <w:pStyle w:val="ListParagraph"/>
        <w:numPr>
          <w:ilvl w:val="0"/>
          <w:numId w:val="40"/>
        </w:numPr>
      </w:pPr>
      <w:r>
        <w:t>released blue-green through CodeDeploy.</w:t>
      </w:r>
    </w:p>
    <w:p w14:paraId="4681EDEA" w14:textId="77777777" w:rsidR="00932AC5" w:rsidRDefault="00850229">
      <w:pPr>
        <w:pStyle w:val="Heading3"/>
      </w:pPr>
      <w:bookmarkStart w:id="5" w:name="_Toc244213665"/>
      <w:r>
        <w:t>Features</w:t>
      </w:r>
      <w:bookmarkEnd w:id="5"/>
    </w:p>
    <w:p w14:paraId="0191001B" w14:textId="77777777" w:rsidR="00932AC5" w:rsidRDefault="00850229">
      <w:pPr>
        <w:pStyle w:val="ListParagraph"/>
        <w:numPr>
          <w:ilvl w:val="0"/>
          <w:numId w:val="40"/>
        </w:numPr>
      </w:pPr>
      <w:r>
        <w:t xml:space="preserve">Self-healing service scheduler — keeps the desired count across Availability Zones and replaces any task that fails its container or load-balancer health check. The deployment circuit </w:t>
      </w:r>
      <w:r>
        <w:lastRenderedPageBreak/>
        <w:t>breaker rolls back a failed release automatically. This is the mechanism behind the requirement that the system restart itself 24×7. The proof-of-concept services already expose the /health endpoint that such a check calls.</w:t>
      </w:r>
    </w:p>
    <w:p w14:paraId="32BDB3F9" w14:textId="77777777" w:rsidR="00932AC5" w:rsidRDefault="00850229">
      <w:pPr>
        <w:pStyle w:val="ListParagraph"/>
        <w:numPr>
          <w:ilvl w:val="0"/>
          <w:numId w:val="40"/>
        </w:numPr>
      </w:pPr>
      <w:r>
        <w:t>Service Auto Scaling — target tracking on CPU, memory or ALB requests per target, plus step and scheduled scaling, for each service independently. The SAD's policy maps onto it directly: CPU at 60% or requests per target, with scheduled pre-scaling before known peaks. A service can run up to 5,000 tasks, well above the eClaims ceiling of 100.</w:t>
      </w:r>
    </w:p>
    <w:p w14:paraId="32AE18B9" w14:textId="77777777" w:rsidR="00932AC5" w:rsidRDefault="00850229">
      <w:pPr>
        <w:pStyle w:val="ListParagraph"/>
        <w:numPr>
          <w:ilvl w:val="0"/>
          <w:numId w:val="40"/>
        </w:numPr>
      </w:pPr>
      <w:r>
        <w:t>Blue-green, linear and canary release — built into ECS since 2025 (blue-green in July; linear and canary in October). They are also available through CodeDeploy with weighted ALB target groups, as the SAD's pipeline specifies. Both routes roll back automatically on a CloudWatch alarm.</w:t>
      </w:r>
    </w:p>
    <w:p w14:paraId="5BF73833" w14:textId="77777777" w:rsidR="00932AC5" w:rsidRDefault="00850229">
      <w:pPr>
        <w:pStyle w:val="ListParagraph"/>
        <w:numPr>
          <w:ilvl w:val="0"/>
          <w:numId w:val="40"/>
        </w:numPr>
      </w:pPr>
      <w:r>
        <w:t>Per-task identity and isolation — each service has its own IAM task role. Secrets from Secrets Manager or Parameter Store are injected at start-up. Each task has its own elastic network interface and security group (awsvpc networking), and it does not share a kernel with other tasks.</w:t>
      </w:r>
    </w:p>
    <w:p w14:paraId="3633ED8F" w14:textId="77777777" w:rsidR="00932AC5" w:rsidRDefault="00850229">
      <w:pPr>
        <w:pStyle w:val="ListParagraph"/>
        <w:numPr>
          <w:ilvl w:val="0"/>
          <w:numId w:val="40"/>
        </w:numPr>
      </w:pPr>
      <w:r>
        <w:t>AWS-native observability — the awslogs and FireLens log drivers send to CloudWatch Logs. Container Insights supplies metrics, and X-Ray tracing runs through the AWS Distro for OpenTelemetry. Task state-change events, including stop reasons, are published on EventBridge.</w:t>
      </w:r>
    </w:p>
    <w:p w14:paraId="012D4DD6" w14:textId="77777777" w:rsidR="00932AC5" w:rsidRDefault="00850229">
      <w:pPr>
        <w:pStyle w:val="ListParagraph"/>
        <w:numPr>
          <w:ilvl w:val="0"/>
          <w:numId w:val="40"/>
        </w:numPr>
      </w:pPr>
      <w:r>
        <w:t>Every eClaims workload shape under one model — long-running HTTP services; SQS consumers that scale on queue depth; and scheduled or one-off tasks started by EventBridge Scheduler or Step Functions.</w:t>
      </w:r>
    </w:p>
    <w:p w14:paraId="420FB7C6" w14:textId="77777777" w:rsidR="00932AC5" w:rsidRDefault="00850229">
      <w:pPr>
        <w:pStyle w:val="ListParagraph"/>
        <w:numPr>
          <w:ilvl w:val="0"/>
          <w:numId w:val="40"/>
        </w:numPr>
      </w:pPr>
      <w:r>
        <w:t>Capacity choices without changing the service model:</w:t>
      </w:r>
    </w:p>
    <w:p w14:paraId="700A0723" w14:textId="77777777" w:rsidR="00932AC5" w:rsidRDefault="00850229">
      <w:pPr>
        <w:pStyle w:val="ListParagraph"/>
        <w:numPr>
          <w:ilvl w:val="1"/>
          <w:numId w:val="40"/>
        </w:numPr>
      </w:pPr>
      <w:r>
        <w:t>Fargate on x86 or on Graviton (Arm64);</w:t>
      </w:r>
    </w:p>
    <w:p w14:paraId="4BC0B7B6" w14:textId="77777777" w:rsidR="00932AC5" w:rsidRDefault="00850229">
      <w:pPr>
        <w:pStyle w:val="ListParagraph"/>
        <w:numPr>
          <w:ilvl w:val="1"/>
          <w:numId w:val="40"/>
        </w:numPr>
      </w:pPr>
      <w:r>
        <w:t>Fargate Spot at up to 70% off, for tasks that can tolerate interruption, with a two-minute warning;</w:t>
      </w:r>
    </w:p>
    <w:p w14:paraId="3B548D78" w14:textId="77777777" w:rsidR="00932AC5" w:rsidRDefault="00850229">
      <w:pPr>
        <w:pStyle w:val="ListParagraph"/>
        <w:numPr>
          <w:ilvl w:val="1"/>
          <w:numId w:val="40"/>
        </w:numPr>
      </w:pPr>
      <w:r>
        <w:t>EC2-backed capacity, including ECS Managed Instances, if sustained scale ever favours instances.</w:t>
      </w:r>
    </w:p>
    <w:p w14:paraId="35C411F5" w14:textId="77777777" w:rsidR="00932AC5" w:rsidRDefault="00850229">
      <w:pPr>
        <w:pStyle w:val="ListParagraph"/>
        <w:numPr>
          <w:ilvl w:val="0"/>
          <w:numId w:val="40"/>
        </w:numPr>
      </w:pPr>
      <w:r>
        <w:t>Platform maintenance owned by AWS — AWS patches the Fargate platform and retires old platform revisions. The service scheduler replaces the affected tasks, starting each new task before it stops the old one. Notice arrives through AWS Health, with a seven-day wait by default or fourteen days on request. EC2 event windows can restrict replacements to off-peak hours.</w:t>
      </w:r>
    </w:p>
    <w:p w14:paraId="3DF1A3EB" w14:textId="77777777" w:rsidR="00932AC5" w:rsidRDefault="00850229">
      <w:pPr>
        <w:pStyle w:val="ListParagraph"/>
        <w:numPr>
          <w:ilvl w:val="0"/>
          <w:numId w:val="40"/>
        </w:numPr>
      </w:pPr>
      <w:r>
        <w:t>On-premise form: ECS Anywhere — registers on-premise servers or virtual machines as external instances of an ECS cluster whose control plane stays in an AWS Region.</w:t>
      </w:r>
    </w:p>
    <w:p w14:paraId="7A2A45E2" w14:textId="77777777" w:rsidR="00932AC5" w:rsidRDefault="00850229">
      <w:pPr>
        <w:pStyle w:val="ListParagraph"/>
        <w:numPr>
          <w:ilvl w:val="1"/>
          <w:numId w:val="40"/>
        </w:numPr>
      </w:pPr>
      <w:r>
        <w:t>External instances use the EXTERNAL launch type, not Fargate.</w:t>
      </w:r>
    </w:p>
    <w:p w14:paraId="42C7F54C" w14:textId="77777777" w:rsidR="00932AC5" w:rsidRDefault="00850229">
      <w:pPr>
        <w:pStyle w:val="ListParagraph"/>
        <w:numPr>
          <w:ilvl w:val="1"/>
          <w:numId w:val="40"/>
        </w:numPr>
      </w:pPr>
      <w:r>
        <w:t>They do not support service load balancing, service discovery or awsvpc networking.</w:t>
      </w:r>
    </w:p>
    <w:p w14:paraId="0C1A4ABD" w14:textId="77777777" w:rsidR="00932AC5" w:rsidRDefault="00850229">
      <w:pPr>
        <w:pStyle w:val="ListParagraph"/>
        <w:numPr>
          <w:ilvl w:val="1"/>
          <w:numId w:val="40"/>
        </w:numPr>
      </w:pPr>
      <w:r>
        <w:t>AWS positions them for workloads that generate outbound traffic, not for services that receive inbound requests.</w:t>
      </w:r>
    </w:p>
    <w:p w14:paraId="67B1FE3D" w14:textId="77777777" w:rsidR="00932AC5" w:rsidRDefault="00850229">
      <w:pPr>
        <w:pStyle w:val="ListParagraph"/>
        <w:numPr>
          <w:ilvl w:val="0"/>
          <w:numId w:val="40"/>
        </w:numPr>
      </w:pPr>
      <w:r>
        <w:t>Constraints to note:</w:t>
      </w:r>
    </w:p>
    <w:p w14:paraId="3273523D" w14:textId="77777777" w:rsidR="00932AC5" w:rsidRDefault="00850229">
      <w:pPr>
        <w:pStyle w:val="ListParagraph"/>
        <w:numPr>
          <w:ilvl w:val="1"/>
          <w:numId w:val="40"/>
        </w:numPr>
      </w:pPr>
      <w:r>
        <w:t>Tasks are sized from a fixed set of CPU and memory combinations. The eClaims sizes (0.5 vCPU with 1 GB, and 1 vCPU with 2 GB) are both standard.</w:t>
      </w:r>
    </w:p>
    <w:p w14:paraId="0D26AD1A" w14:textId="77777777" w:rsidR="00932AC5" w:rsidRDefault="00850229">
      <w:pPr>
        <w:pStyle w:val="ListParagraph"/>
        <w:numPr>
          <w:ilvl w:val="1"/>
          <w:numId w:val="40"/>
        </w:numPr>
      </w:pPr>
      <w:r>
        <w:t>There are no GPUs and no privileged containers; eClaims needs neither.</w:t>
      </w:r>
    </w:p>
    <w:p w14:paraId="1FCB881A" w14:textId="77777777" w:rsidR="00932AC5" w:rsidRDefault="00850229">
      <w:pPr>
        <w:pStyle w:val="ListParagraph"/>
        <w:numPr>
          <w:ilvl w:val="1"/>
          <w:numId w:val="40"/>
        </w:numPr>
      </w:pPr>
      <w:r>
        <w:t>Task and service definitions are specific to ECS.</w:t>
      </w:r>
    </w:p>
    <w:p w14:paraId="5E311620" w14:textId="77777777" w:rsidR="00932AC5" w:rsidRDefault="00850229">
      <w:pPr>
        <w:pStyle w:val="Heading3"/>
      </w:pPr>
      <w:bookmarkStart w:id="6" w:name="_Toc244213666"/>
      <w:r>
        <w:lastRenderedPageBreak/>
        <w:t>Pricing</w:t>
      </w:r>
      <w:bookmarkEnd w:id="6"/>
    </w:p>
    <w:p w14:paraId="1C2AAACF" w14:textId="77777777" w:rsidR="00932AC5" w:rsidRDefault="00850229">
      <w:r>
        <w:t>There is no additional charge for Amazon ECS orchestration. On Fargate, a task is billed for the vCPU and memory it reserves, from the start of the image pull until the task stops. Billing is per second, with a one-minute minimum.</w:t>
      </w:r>
    </w:p>
    <w:p w14:paraId="2BE7913B" w14:textId="77777777" w:rsidR="00932AC5" w:rsidRDefault="00850229">
      <w:r>
        <w:t>The prices below are for US East (N. Virginia). They were taken on 30 September 2026 from the AWS pricing pages and from the AWS Price List API (offer files published on 11 and 28 September 2026).</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24"/>
        <w:gridCol w:w="3075"/>
        <w:gridCol w:w="4027"/>
      </w:tblGrid>
      <w:tr w:rsidR="00932AC5" w14:paraId="49EE0ABF" w14:textId="77777777">
        <w:trPr>
          <w:cantSplit/>
          <w:tblHeader/>
        </w:trPr>
        <w:tc>
          <w:tcPr>
            <w:tcW w:w="1924" w:type="dxa"/>
            <w:tcBorders>
              <w:top w:val="dotted" w:sz="4" w:space="0" w:color="auto"/>
              <w:left w:val="dotted" w:sz="4" w:space="0" w:color="auto"/>
              <w:bottom w:val="dotted" w:sz="4" w:space="0" w:color="auto"/>
              <w:right w:val="dotted" w:sz="4" w:space="0" w:color="auto"/>
            </w:tcBorders>
            <w:shd w:val="pct5" w:color="auto" w:fill="auto"/>
          </w:tcPr>
          <w:p w14:paraId="6DBB4997" w14:textId="77777777" w:rsidR="00932AC5" w:rsidRDefault="00850229">
            <w:pPr>
              <w:pStyle w:val="NoSpacing"/>
            </w:pPr>
            <w:r>
              <w:rPr>
                <w:b/>
              </w:rPr>
              <w:t>Item</w:t>
            </w:r>
          </w:p>
        </w:tc>
        <w:tc>
          <w:tcPr>
            <w:tcW w:w="3075" w:type="dxa"/>
            <w:tcBorders>
              <w:top w:val="dotted" w:sz="4" w:space="0" w:color="auto"/>
              <w:left w:val="dotted" w:sz="4" w:space="0" w:color="auto"/>
              <w:bottom w:val="dotted" w:sz="4" w:space="0" w:color="auto"/>
              <w:right w:val="dotted" w:sz="4" w:space="0" w:color="auto"/>
            </w:tcBorders>
            <w:shd w:val="pct5" w:color="auto" w:fill="auto"/>
          </w:tcPr>
          <w:p w14:paraId="450318CC" w14:textId="77777777" w:rsidR="00932AC5" w:rsidRDefault="00850229">
            <w:pPr>
              <w:pStyle w:val="NoSpacing"/>
            </w:pPr>
            <w:r>
              <w:rPr>
                <w:b/>
              </w:rPr>
              <w:t>List price (US East, N. Virginia)</w:t>
            </w:r>
          </w:p>
        </w:tc>
        <w:tc>
          <w:tcPr>
            <w:tcW w:w="4027" w:type="dxa"/>
            <w:tcBorders>
              <w:top w:val="dotted" w:sz="4" w:space="0" w:color="auto"/>
              <w:left w:val="dotted" w:sz="4" w:space="0" w:color="auto"/>
              <w:bottom w:val="dotted" w:sz="4" w:space="0" w:color="auto"/>
              <w:right w:val="dotted" w:sz="4" w:space="0" w:color="auto"/>
            </w:tcBorders>
            <w:shd w:val="pct5" w:color="auto" w:fill="auto"/>
          </w:tcPr>
          <w:p w14:paraId="22DB162A" w14:textId="77777777" w:rsidR="00932AC5" w:rsidRDefault="00850229">
            <w:pPr>
              <w:pStyle w:val="NoSpacing"/>
            </w:pPr>
            <w:r>
              <w:rPr>
                <w:b/>
              </w:rPr>
              <w:t>Note for eClaims</w:t>
            </w:r>
          </w:p>
        </w:tc>
      </w:tr>
      <w:tr w:rsidR="00932AC5" w14:paraId="294C9A30" w14:textId="77777777">
        <w:trPr>
          <w:cantSplit/>
        </w:trPr>
        <w:tc>
          <w:tcPr>
            <w:tcW w:w="1924" w:type="dxa"/>
            <w:tcBorders>
              <w:top w:val="dotted" w:sz="4" w:space="0" w:color="auto"/>
              <w:left w:val="dotted" w:sz="4" w:space="0" w:color="auto"/>
              <w:bottom w:val="dotted" w:sz="4" w:space="0" w:color="auto"/>
              <w:right w:val="dotted" w:sz="4" w:space="0" w:color="auto"/>
            </w:tcBorders>
          </w:tcPr>
          <w:p w14:paraId="4C1F11C9" w14:textId="77777777" w:rsidR="00932AC5" w:rsidRDefault="00850229">
            <w:pPr>
              <w:pStyle w:val="NoSpacing"/>
            </w:pPr>
            <w:r>
              <w:t>Amazon ECS orchestration</w:t>
            </w:r>
          </w:p>
        </w:tc>
        <w:tc>
          <w:tcPr>
            <w:tcW w:w="3075" w:type="dxa"/>
            <w:tcBorders>
              <w:top w:val="dotted" w:sz="4" w:space="0" w:color="auto"/>
              <w:left w:val="dotted" w:sz="4" w:space="0" w:color="auto"/>
              <w:bottom w:val="dotted" w:sz="4" w:space="0" w:color="auto"/>
              <w:right w:val="dotted" w:sz="4" w:space="0" w:color="auto"/>
            </w:tcBorders>
          </w:tcPr>
          <w:p w14:paraId="5EFA2209" w14:textId="77777777" w:rsidR="00932AC5" w:rsidRDefault="00850229">
            <w:pPr>
              <w:pStyle w:val="NoSpacing"/>
            </w:pPr>
            <w:r>
              <w:t>No charge</w:t>
            </w:r>
          </w:p>
        </w:tc>
        <w:tc>
          <w:tcPr>
            <w:tcW w:w="4027" w:type="dxa"/>
            <w:tcBorders>
              <w:top w:val="dotted" w:sz="4" w:space="0" w:color="auto"/>
              <w:left w:val="dotted" w:sz="4" w:space="0" w:color="auto"/>
              <w:bottom w:val="dotted" w:sz="4" w:space="0" w:color="auto"/>
              <w:right w:val="dotted" w:sz="4" w:space="0" w:color="auto"/>
            </w:tcBorders>
          </w:tcPr>
          <w:p w14:paraId="3CF8A131" w14:textId="77777777" w:rsidR="00932AC5" w:rsidRDefault="00850229">
            <w:pPr>
              <w:pStyle w:val="NoSpacing"/>
            </w:pPr>
            <w:r>
              <w:t>Applies to every cluster: development, staging, production and the us-east-2 standby</w:t>
            </w:r>
          </w:p>
        </w:tc>
      </w:tr>
      <w:tr w:rsidR="00932AC5" w14:paraId="272D32DB" w14:textId="77777777">
        <w:trPr>
          <w:cantSplit/>
        </w:trPr>
        <w:tc>
          <w:tcPr>
            <w:tcW w:w="1924" w:type="dxa"/>
            <w:tcBorders>
              <w:top w:val="dotted" w:sz="4" w:space="0" w:color="auto"/>
              <w:left w:val="dotted" w:sz="4" w:space="0" w:color="auto"/>
              <w:bottom w:val="dotted" w:sz="4" w:space="0" w:color="auto"/>
              <w:right w:val="dotted" w:sz="4" w:space="0" w:color="auto"/>
            </w:tcBorders>
          </w:tcPr>
          <w:p w14:paraId="7AC3DE8D" w14:textId="77777777" w:rsidR="00932AC5" w:rsidRDefault="00850229">
            <w:pPr>
              <w:pStyle w:val="NoSpacing"/>
            </w:pPr>
            <w:r>
              <w:t>Fargate vCPU, Linux/x86</w:t>
            </w:r>
          </w:p>
        </w:tc>
        <w:tc>
          <w:tcPr>
            <w:tcW w:w="3075" w:type="dxa"/>
            <w:tcBorders>
              <w:top w:val="dotted" w:sz="4" w:space="0" w:color="auto"/>
              <w:left w:val="dotted" w:sz="4" w:space="0" w:color="auto"/>
              <w:bottom w:val="dotted" w:sz="4" w:space="0" w:color="auto"/>
              <w:right w:val="dotted" w:sz="4" w:space="0" w:color="auto"/>
            </w:tcBorders>
          </w:tcPr>
          <w:p w14:paraId="473DD37D" w14:textId="77777777" w:rsidR="00932AC5" w:rsidRDefault="00850229">
            <w:pPr>
              <w:pStyle w:val="NoSpacing"/>
            </w:pPr>
            <w:r>
              <w:t>USD 0.04048 per vCPU-hour</w:t>
            </w:r>
          </w:p>
        </w:tc>
        <w:tc>
          <w:tcPr>
            <w:tcW w:w="4027" w:type="dxa"/>
            <w:tcBorders>
              <w:top w:val="dotted" w:sz="4" w:space="0" w:color="auto"/>
              <w:left w:val="dotted" w:sz="4" w:space="0" w:color="auto"/>
              <w:bottom w:val="dotted" w:sz="4" w:space="0" w:color="auto"/>
              <w:right w:val="dotted" w:sz="4" w:space="0" w:color="auto"/>
            </w:tcBorders>
          </w:tcPr>
          <w:p w14:paraId="29E73D73" w14:textId="77777777" w:rsidR="00932AC5" w:rsidRDefault="00850229">
            <w:pPr>
              <w:pStyle w:val="NoSpacing"/>
            </w:pPr>
            <w:r>
              <w:t>Basis of Section 4.2</w:t>
            </w:r>
          </w:p>
        </w:tc>
      </w:tr>
      <w:tr w:rsidR="00932AC5" w14:paraId="3291EAC2" w14:textId="77777777">
        <w:trPr>
          <w:cantSplit/>
        </w:trPr>
        <w:tc>
          <w:tcPr>
            <w:tcW w:w="1924" w:type="dxa"/>
            <w:tcBorders>
              <w:top w:val="dotted" w:sz="4" w:space="0" w:color="auto"/>
              <w:left w:val="dotted" w:sz="4" w:space="0" w:color="auto"/>
              <w:bottom w:val="dotted" w:sz="4" w:space="0" w:color="auto"/>
              <w:right w:val="dotted" w:sz="4" w:space="0" w:color="auto"/>
            </w:tcBorders>
          </w:tcPr>
          <w:p w14:paraId="0C04B961" w14:textId="77777777" w:rsidR="00932AC5" w:rsidRDefault="00850229">
            <w:pPr>
              <w:pStyle w:val="NoSpacing"/>
            </w:pPr>
            <w:r>
              <w:t>Fargate memory, Linux/x86</w:t>
            </w:r>
          </w:p>
        </w:tc>
        <w:tc>
          <w:tcPr>
            <w:tcW w:w="3075" w:type="dxa"/>
            <w:tcBorders>
              <w:top w:val="dotted" w:sz="4" w:space="0" w:color="auto"/>
              <w:left w:val="dotted" w:sz="4" w:space="0" w:color="auto"/>
              <w:bottom w:val="dotted" w:sz="4" w:space="0" w:color="auto"/>
              <w:right w:val="dotted" w:sz="4" w:space="0" w:color="auto"/>
            </w:tcBorders>
          </w:tcPr>
          <w:p w14:paraId="2C486C19" w14:textId="77777777" w:rsidR="00932AC5" w:rsidRDefault="00850229">
            <w:pPr>
              <w:pStyle w:val="NoSpacing"/>
            </w:pPr>
            <w:r>
              <w:t>USD 0.004445 per GB-hour</w:t>
            </w:r>
          </w:p>
        </w:tc>
        <w:tc>
          <w:tcPr>
            <w:tcW w:w="4027" w:type="dxa"/>
            <w:tcBorders>
              <w:top w:val="dotted" w:sz="4" w:space="0" w:color="auto"/>
              <w:left w:val="dotted" w:sz="4" w:space="0" w:color="auto"/>
              <w:bottom w:val="dotted" w:sz="4" w:space="0" w:color="auto"/>
              <w:right w:val="dotted" w:sz="4" w:space="0" w:color="auto"/>
            </w:tcBorders>
          </w:tcPr>
          <w:p w14:paraId="7167B4D9" w14:textId="77777777" w:rsidR="00932AC5" w:rsidRDefault="00850229">
            <w:pPr>
              <w:pStyle w:val="NoSpacing"/>
            </w:pPr>
            <w:r>
              <w:t>Basis of Section 4.2</w:t>
            </w:r>
          </w:p>
        </w:tc>
      </w:tr>
      <w:tr w:rsidR="00932AC5" w14:paraId="3AE227F0" w14:textId="77777777">
        <w:trPr>
          <w:cantSplit/>
        </w:trPr>
        <w:tc>
          <w:tcPr>
            <w:tcW w:w="1924" w:type="dxa"/>
            <w:tcBorders>
              <w:top w:val="dotted" w:sz="4" w:space="0" w:color="auto"/>
              <w:left w:val="dotted" w:sz="4" w:space="0" w:color="auto"/>
              <w:bottom w:val="dotted" w:sz="4" w:space="0" w:color="auto"/>
              <w:right w:val="dotted" w:sz="4" w:space="0" w:color="auto"/>
            </w:tcBorders>
          </w:tcPr>
          <w:p w14:paraId="22E7ED1E" w14:textId="77777777" w:rsidR="00932AC5" w:rsidRDefault="00850229">
            <w:pPr>
              <w:pStyle w:val="NoSpacing"/>
            </w:pPr>
            <w:r>
              <w:t>Fargate, Linux/Arm (Graviton)</w:t>
            </w:r>
          </w:p>
        </w:tc>
        <w:tc>
          <w:tcPr>
            <w:tcW w:w="3075" w:type="dxa"/>
            <w:tcBorders>
              <w:top w:val="dotted" w:sz="4" w:space="0" w:color="auto"/>
              <w:left w:val="dotted" w:sz="4" w:space="0" w:color="auto"/>
              <w:bottom w:val="dotted" w:sz="4" w:space="0" w:color="auto"/>
              <w:right w:val="dotted" w:sz="4" w:space="0" w:color="auto"/>
            </w:tcBorders>
          </w:tcPr>
          <w:p w14:paraId="36806D2B" w14:textId="77777777" w:rsidR="00932AC5" w:rsidRDefault="00850229">
            <w:pPr>
              <w:pStyle w:val="NoSpacing"/>
            </w:pPr>
            <w:r>
              <w:t>USD 0.03238 per vCPU-hour; USD 0.00356 per GB-hour</w:t>
            </w:r>
          </w:p>
        </w:tc>
        <w:tc>
          <w:tcPr>
            <w:tcW w:w="4027" w:type="dxa"/>
            <w:tcBorders>
              <w:top w:val="dotted" w:sz="4" w:space="0" w:color="auto"/>
              <w:left w:val="dotted" w:sz="4" w:space="0" w:color="auto"/>
              <w:bottom w:val="dotted" w:sz="4" w:space="0" w:color="auto"/>
              <w:right w:val="dotted" w:sz="4" w:space="0" w:color="auto"/>
            </w:tcBorders>
          </w:tcPr>
          <w:p w14:paraId="77E8D938" w14:textId="77777777" w:rsidR="00932AC5" w:rsidRDefault="00850229">
            <w:pPr>
              <w:pStyle w:val="NoSpacing"/>
            </w:pPr>
            <w:r>
              <w:t>About 20% below x86; requires Arm64 images</w:t>
            </w:r>
          </w:p>
        </w:tc>
      </w:tr>
      <w:tr w:rsidR="00932AC5" w14:paraId="3A06EA48" w14:textId="77777777">
        <w:trPr>
          <w:cantSplit/>
        </w:trPr>
        <w:tc>
          <w:tcPr>
            <w:tcW w:w="1924" w:type="dxa"/>
            <w:tcBorders>
              <w:top w:val="dotted" w:sz="4" w:space="0" w:color="auto"/>
              <w:left w:val="dotted" w:sz="4" w:space="0" w:color="auto"/>
              <w:bottom w:val="dotted" w:sz="4" w:space="0" w:color="auto"/>
              <w:right w:val="dotted" w:sz="4" w:space="0" w:color="auto"/>
            </w:tcBorders>
          </w:tcPr>
          <w:p w14:paraId="1122FFED" w14:textId="77777777" w:rsidR="00932AC5" w:rsidRDefault="00850229">
            <w:pPr>
              <w:pStyle w:val="NoSpacing"/>
            </w:pPr>
            <w:r>
              <w:t>Fargate ephemeral storage</w:t>
            </w:r>
          </w:p>
        </w:tc>
        <w:tc>
          <w:tcPr>
            <w:tcW w:w="3075" w:type="dxa"/>
            <w:tcBorders>
              <w:top w:val="dotted" w:sz="4" w:space="0" w:color="auto"/>
              <w:left w:val="dotted" w:sz="4" w:space="0" w:color="auto"/>
              <w:bottom w:val="dotted" w:sz="4" w:space="0" w:color="auto"/>
              <w:right w:val="dotted" w:sz="4" w:space="0" w:color="auto"/>
            </w:tcBorders>
          </w:tcPr>
          <w:p w14:paraId="06C0E37E" w14:textId="77777777" w:rsidR="00932AC5" w:rsidRDefault="00850229">
            <w:pPr>
              <w:pStyle w:val="NoSpacing"/>
            </w:pPr>
            <w:r>
              <w:t>20 GB per task included; USD 0.000111 per GB-hour above that</w:t>
            </w:r>
          </w:p>
        </w:tc>
        <w:tc>
          <w:tcPr>
            <w:tcW w:w="4027" w:type="dxa"/>
            <w:tcBorders>
              <w:top w:val="dotted" w:sz="4" w:space="0" w:color="auto"/>
              <w:left w:val="dotted" w:sz="4" w:space="0" w:color="auto"/>
              <w:bottom w:val="dotted" w:sz="4" w:space="0" w:color="auto"/>
              <w:right w:val="dotted" w:sz="4" w:space="0" w:color="auto"/>
            </w:tcBorders>
          </w:tcPr>
          <w:p w14:paraId="30E41BB0" w14:textId="77777777" w:rsidR="00932AC5" w:rsidRDefault="00850229">
            <w:pPr>
              <w:pStyle w:val="NoSpacing"/>
            </w:pPr>
            <w:r>
              <w:t>Enough for stateless services; documents are stored in S3</w:t>
            </w:r>
          </w:p>
        </w:tc>
      </w:tr>
      <w:tr w:rsidR="00932AC5" w14:paraId="6F4422FB" w14:textId="77777777">
        <w:trPr>
          <w:cantSplit/>
        </w:trPr>
        <w:tc>
          <w:tcPr>
            <w:tcW w:w="1924" w:type="dxa"/>
            <w:tcBorders>
              <w:top w:val="dotted" w:sz="4" w:space="0" w:color="auto"/>
              <w:left w:val="dotted" w:sz="4" w:space="0" w:color="auto"/>
              <w:bottom w:val="dotted" w:sz="4" w:space="0" w:color="auto"/>
              <w:right w:val="dotted" w:sz="4" w:space="0" w:color="auto"/>
            </w:tcBorders>
          </w:tcPr>
          <w:p w14:paraId="3656A09A" w14:textId="77777777" w:rsidR="00932AC5" w:rsidRDefault="00850229">
            <w:pPr>
              <w:pStyle w:val="NoSpacing"/>
            </w:pPr>
            <w:r>
              <w:t>Fargate Spot</w:t>
            </w:r>
          </w:p>
        </w:tc>
        <w:tc>
          <w:tcPr>
            <w:tcW w:w="3075" w:type="dxa"/>
            <w:tcBorders>
              <w:top w:val="dotted" w:sz="4" w:space="0" w:color="auto"/>
              <w:left w:val="dotted" w:sz="4" w:space="0" w:color="auto"/>
              <w:bottom w:val="dotted" w:sz="4" w:space="0" w:color="auto"/>
              <w:right w:val="dotted" w:sz="4" w:space="0" w:color="auto"/>
            </w:tcBorders>
          </w:tcPr>
          <w:p w14:paraId="345C029F" w14:textId="77777777" w:rsidR="00932AC5" w:rsidRDefault="00850229">
            <w:pPr>
              <w:pStyle w:val="NoSpacing"/>
            </w:pPr>
            <w:r>
              <w:t>Up to 70% off the Fargate price; the rate varies with spare capacity</w:t>
            </w:r>
          </w:p>
        </w:tc>
        <w:tc>
          <w:tcPr>
            <w:tcW w:w="4027" w:type="dxa"/>
            <w:tcBorders>
              <w:top w:val="dotted" w:sz="4" w:space="0" w:color="auto"/>
              <w:left w:val="dotted" w:sz="4" w:space="0" w:color="auto"/>
              <w:bottom w:val="dotted" w:sz="4" w:space="0" w:color="auto"/>
              <w:right w:val="dotted" w:sz="4" w:space="0" w:color="auto"/>
            </w:tcBorders>
          </w:tcPr>
          <w:p w14:paraId="48DD5CF6" w14:textId="77777777" w:rsidR="00932AC5" w:rsidRDefault="00850229">
            <w:pPr>
              <w:pStyle w:val="NoSpacing"/>
            </w:pPr>
            <w:r>
              <w:t>ECS only. Suits work that can tolerate interruption, such as report generation, and non-production environments</w:t>
            </w:r>
          </w:p>
        </w:tc>
      </w:tr>
      <w:tr w:rsidR="00932AC5" w14:paraId="34A343C1" w14:textId="77777777">
        <w:trPr>
          <w:cantSplit/>
        </w:trPr>
        <w:tc>
          <w:tcPr>
            <w:tcW w:w="1924" w:type="dxa"/>
            <w:tcBorders>
              <w:top w:val="dotted" w:sz="4" w:space="0" w:color="auto"/>
              <w:left w:val="dotted" w:sz="4" w:space="0" w:color="auto"/>
              <w:bottom w:val="dotted" w:sz="4" w:space="0" w:color="auto"/>
              <w:right w:val="dotted" w:sz="4" w:space="0" w:color="auto"/>
            </w:tcBorders>
          </w:tcPr>
          <w:p w14:paraId="23FEDA51" w14:textId="77777777" w:rsidR="00932AC5" w:rsidRDefault="00850229">
            <w:pPr>
              <w:pStyle w:val="NoSpacing"/>
            </w:pPr>
            <w:r>
              <w:t>Compute Savings Plans</w:t>
            </w:r>
          </w:p>
        </w:tc>
        <w:tc>
          <w:tcPr>
            <w:tcW w:w="3075" w:type="dxa"/>
            <w:tcBorders>
              <w:top w:val="dotted" w:sz="4" w:space="0" w:color="auto"/>
              <w:left w:val="dotted" w:sz="4" w:space="0" w:color="auto"/>
              <w:bottom w:val="dotted" w:sz="4" w:space="0" w:color="auto"/>
              <w:right w:val="dotted" w:sz="4" w:space="0" w:color="auto"/>
            </w:tcBorders>
          </w:tcPr>
          <w:p w14:paraId="030A14E5" w14:textId="77777777" w:rsidR="00932AC5" w:rsidRDefault="00850229">
            <w:pPr>
              <w:pStyle w:val="NoSpacing"/>
            </w:pPr>
            <w:r>
              <w:t>Up to 50% off Fargate usage, for a one-year or three-year commitment</w:t>
            </w:r>
          </w:p>
        </w:tc>
        <w:tc>
          <w:tcPr>
            <w:tcW w:w="4027" w:type="dxa"/>
            <w:tcBorders>
              <w:top w:val="dotted" w:sz="4" w:space="0" w:color="auto"/>
              <w:left w:val="dotted" w:sz="4" w:space="0" w:color="auto"/>
              <w:bottom w:val="dotted" w:sz="4" w:space="0" w:color="auto"/>
              <w:right w:val="dotted" w:sz="4" w:space="0" w:color="auto"/>
            </w:tcBorders>
          </w:tcPr>
          <w:p w14:paraId="34D042E6" w14:textId="77777777" w:rsidR="00932AC5" w:rsidRDefault="00850229">
            <w:pPr>
              <w:pStyle w:val="NoSpacing"/>
            </w:pPr>
            <w:r>
              <w:t>Suits the steady floor of two tasks per service</w:t>
            </w:r>
          </w:p>
        </w:tc>
      </w:tr>
      <w:tr w:rsidR="00932AC5" w14:paraId="348E9D82" w14:textId="77777777">
        <w:trPr>
          <w:cantSplit/>
        </w:trPr>
        <w:tc>
          <w:tcPr>
            <w:tcW w:w="1924" w:type="dxa"/>
            <w:tcBorders>
              <w:top w:val="dotted" w:sz="4" w:space="0" w:color="auto"/>
              <w:left w:val="dotted" w:sz="4" w:space="0" w:color="auto"/>
              <w:bottom w:val="dotted" w:sz="4" w:space="0" w:color="auto"/>
              <w:right w:val="dotted" w:sz="4" w:space="0" w:color="auto"/>
            </w:tcBorders>
          </w:tcPr>
          <w:p w14:paraId="766B178E" w14:textId="77777777" w:rsidR="00932AC5" w:rsidRDefault="00850229">
            <w:pPr>
              <w:pStyle w:val="NoSpacing"/>
            </w:pPr>
            <w:r>
              <w:t>ECS Anywhere (on-premise)</w:t>
            </w:r>
          </w:p>
        </w:tc>
        <w:tc>
          <w:tcPr>
            <w:tcW w:w="3075" w:type="dxa"/>
            <w:tcBorders>
              <w:top w:val="dotted" w:sz="4" w:space="0" w:color="auto"/>
              <w:left w:val="dotted" w:sz="4" w:space="0" w:color="auto"/>
              <w:bottom w:val="dotted" w:sz="4" w:space="0" w:color="auto"/>
              <w:right w:val="dotted" w:sz="4" w:space="0" w:color="auto"/>
            </w:tcBorders>
          </w:tcPr>
          <w:p w14:paraId="057397A1" w14:textId="77777777" w:rsidR="00932AC5" w:rsidRDefault="00850229">
            <w:pPr>
              <w:pStyle w:val="NoSpacing"/>
            </w:pPr>
            <w:r>
              <w:t>USD 0.01025 per registered instance-hour</w:t>
            </w:r>
          </w:p>
        </w:tc>
        <w:tc>
          <w:tcPr>
            <w:tcW w:w="4027" w:type="dxa"/>
            <w:tcBorders>
              <w:top w:val="dotted" w:sz="4" w:space="0" w:color="auto"/>
              <w:left w:val="dotted" w:sz="4" w:space="0" w:color="auto"/>
              <w:bottom w:val="dotted" w:sz="4" w:space="0" w:color="auto"/>
              <w:right w:val="dotted" w:sz="4" w:space="0" w:color="auto"/>
            </w:tcBorders>
          </w:tcPr>
          <w:p w14:paraId="3E8CA479" w14:textId="77777777" w:rsidR="00932AC5" w:rsidRDefault="00850229">
            <w:pPr>
              <w:pStyle w:val="NoSpacing"/>
            </w:pPr>
            <w:r>
              <w:t>Plus the customer's own servers. This is not the eClaims on-premise path (Section 5)</w:t>
            </w:r>
          </w:p>
        </w:tc>
      </w:tr>
    </w:tbl>
    <w:p w14:paraId="5E3D5F1D" w14:textId="77777777" w:rsidR="00932AC5" w:rsidRDefault="00932AC5"/>
    <w:p w14:paraId="7376C209" w14:textId="77777777" w:rsidR="00932AC5" w:rsidRDefault="00850229">
      <w:r>
        <w:t>Worked example: one task of 1 vCPU and 2 GB running for a 730-hour month costs 730 × USD 0.04048 + 1,460 × USD 0.004445 ≈ USD 29.55 + USD 6.49 = USD 36.04. This is the unit cost behind Section 4.2.</w:t>
      </w:r>
    </w:p>
    <w:p w14:paraId="2DFEBFB1" w14:textId="77777777" w:rsidR="00932AC5" w:rsidRDefault="00850229">
      <w:pPr>
        <w:pStyle w:val="Heading2"/>
      </w:pPr>
      <w:bookmarkStart w:id="7" w:name="_Toc244213667"/>
      <w:r>
        <w:t>Amazon EKS (on AWS Fargate or Managed Node Groups)</w:t>
      </w:r>
      <w:bookmarkEnd w:id="7"/>
    </w:p>
    <w:p w14:paraId="210CBCD9" w14:textId="77777777" w:rsidR="00932AC5" w:rsidRDefault="00850229">
      <w:r>
        <w:t>Amazon EKS is AWS's managed Kubernetes service. AWS runs the Kubernetes control plane — the API servers and the etcd store — across Availability Zones. The team declares workloads as Kubernetes objects: Deployments, Services, Ingresses and HorizontalPodAutoscalers. EKS is certified Kubernetes-conformant, so manifests and Helm charts written for it run on any conformant distribution, in AWS or on-premise.</w:t>
      </w:r>
    </w:p>
    <w:p w14:paraId="00B5989E" w14:textId="77777777" w:rsidR="00932AC5" w:rsidRDefault="00850229">
      <w:r>
        <w:t>EKS can supply compute in several ways:</w:t>
      </w:r>
    </w:p>
    <w:p w14:paraId="51AC9953" w14:textId="77777777" w:rsidR="00932AC5" w:rsidRDefault="00850229">
      <w:pPr>
        <w:pStyle w:val="ListParagraph"/>
        <w:numPr>
          <w:ilvl w:val="0"/>
          <w:numId w:val="40"/>
        </w:numPr>
      </w:pPr>
      <w:r>
        <w:t>AWS Fargate — pods selected by a Fargate profile each run in their own isolation boundary, at the same rates as ECS tasks and with no nodes to manage. This is the like-for-like comparison with ECS on Fargate.</w:t>
      </w:r>
    </w:p>
    <w:p w14:paraId="6582DA45" w14:textId="77777777" w:rsidR="00932AC5" w:rsidRDefault="00850229">
      <w:pPr>
        <w:pStyle w:val="ListParagraph"/>
        <w:numPr>
          <w:ilvl w:val="0"/>
          <w:numId w:val="40"/>
        </w:numPr>
      </w:pPr>
      <w:r>
        <w:t>Managed node groups — the team runs EC2 instances as worker nodes and owns their sizing, machine images, version upgrades and bin packing.</w:t>
      </w:r>
    </w:p>
    <w:p w14:paraId="67FC7B8E" w14:textId="77777777" w:rsidR="00932AC5" w:rsidRDefault="00850229">
      <w:pPr>
        <w:pStyle w:val="ListParagraph"/>
        <w:numPr>
          <w:ilvl w:val="0"/>
          <w:numId w:val="40"/>
        </w:numPr>
      </w:pPr>
      <w:r>
        <w:lastRenderedPageBreak/>
        <w:t>EKS Auto Mode — AWS manages the nodes for a fee per instance.</w:t>
      </w:r>
    </w:p>
    <w:p w14:paraId="5C1CE567" w14:textId="77777777" w:rsidR="00932AC5" w:rsidRDefault="00850229">
      <w:r>
        <w:t>Several Kubernetes features — DaemonSets, EBS volumes, Spot capacity and Arm processors — are available only on nodes, so EKS estates commonly combine Fargate with node groups.</w:t>
      </w:r>
    </w:p>
    <w:p w14:paraId="5B99930F" w14:textId="77777777" w:rsidR="00932AC5" w:rsidRDefault="00850229">
      <w:r>
        <w:t>Unlike an ECS cluster, every EKS cluster runs a Kubernetes version that the team must keep current:</w:t>
      </w:r>
    </w:p>
    <w:p w14:paraId="2DAB7CD8" w14:textId="77777777" w:rsidR="00932AC5" w:rsidRDefault="00850229">
      <w:pPr>
        <w:pStyle w:val="ListParagraph"/>
        <w:numPr>
          <w:ilvl w:val="0"/>
          <w:numId w:val="40"/>
        </w:numPr>
      </w:pPr>
      <w:r>
        <w:t>The Kubernetes project releases a new minor version on average every four months.</w:t>
      </w:r>
    </w:p>
    <w:p w14:paraId="26E12E81" w14:textId="77777777" w:rsidR="00932AC5" w:rsidRDefault="00850229">
      <w:pPr>
        <w:pStyle w:val="ListParagraph"/>
        <w:numPr>
          <w:ilvl w:val="0"/>
          <w:numId w:val="40"/>
        </w:numPr>
      </w:pPr>
      <w:r>
        <w:t>EKS gives each version 14 months of standard support, then a further 12 months of extended support at a higher cluster fee.</w:t>
      </w:r>
    </w:p>
    <w:p w14:paraId="27C1E202" w14:textId="77777777" w:rsidR="00932AC5" w:rsidRDefault="00850229">
      <w:pPr>
        <w:pStyle w:val="ListParagraph"/>
        <w:numPr>
          <w:ilvl w:val="0"/>
          <w:numId w:val="40"/>
        </w:numPr>
      </w:pPr>
      <w:r>
        <w:t>When extended support ends, EKS upgrades the cluster's control plane automatically.</w:t>
      </w:r>
    </w:p>
    <w:p w14:paraId="540823B8" w14:textId="77777777" w:rsidR="00932AC5" w:rsidRDefault="00850229">
      <w:pPr>
        <w:pStyle w:val="Heading3"/>
      </w:pPr>
      <w:bookmarkStart w:id="8" w:name="_Toc244213668"/>
      <w:r>
        <w:t>Features</w:t>
      </w:r>
      <w:bookmarkEnd w:id="8"/>
    </w:p>
    <w:p w14:paraId="574F1E23" w14:textId="77777777" w:rsidR="00932AC5" w:rsidRDefault="00850229">
      <w:pPr>
        <w:pStyle w:val="ListParagraph"/>
        <w:numPr>
          <w:ilvl w:val="0"/>
          <w:numId w:val="40"/>
        </w:numPr>
      </w:pPr>
      <w:r>
        <w:t>Conformant, managed control plane — the upstream Kubernetes API, operated by AWS across Availability Zones. More than 90 certified Kubernetes offerings accept the same manifests.</w:t>
      </w:r>
    </w:p>
    <w:p w14:paraId="11440BD2" w14:textId="77777777" w:rsidR="00932AC5" w:rsidRDefault="00850229">
      <w:pPr>
        <w:pStyle w:val="ListParagraph"/>
        <w:numPr>
          <w:ilvl w:val="0"/>
          <w:numId w:val="40"/>
        </w:numPr>
      </w:pPr>
      <w:r>
        <w:t>Self-healing through controllers — Deployments and ReplicaSets replace failed pods. Liveness and readiness probes, PodDisruptionBudgets and topology spread constraints keep replicas healthy and spread across zones.</w:t>
      </w:r>
    </w:p>
    <w:p w14:paraId="7A86285D" w14:textId="77777777" w:rsidR="00932AC5" w:rsidRDefault="00850229">
      <w:pPr>
        <w:pStyle w:val="ListParagraph"/>
        <w:numPr>
          <w:ilvl w:val="0"/>
          <w:numId w:val="40"/>
        </w:numPr>
      </w:pPr>
      <w:r>
        <w:t>Horizontal Pod Autoscaler — scales pods on CPU, memory or custom metrics. On node groups, a second layer scales the nodes beneath them: Cluster Autoscaler, Karpenter or Auto Mode.</w:t>
      </w:r>
    </w:p>
    <w:p w14:paraId="07C77704" w14:textId="77777777" w:rsidR="00932AC5" w:rsidRDefault="00850229">
      <w:pPr>
        <w:pStyle w:val="ListParagraph"/>
        <w:numPr>
          <w:ilvl w:val="0"/>
          <w:numId w:val="40"/>
        </w:numPr>
      </w:pPr>
      <w:r>
        <w:t>Load balancing through the AWS Load Balancer Controller — provisions ALBs and Network Load Balancers from Ingress and Service objects. On Fargate, targets must be pod IP addresses.</w:t>
      </w:r>
    </w:p>
    <w:p w14:paraId="0A2D986B" w14:textId="77777777" w:rsidR="00932AC5" w:rsidRDefault="00850229">
      <w:pPr>
        <w:pStyle w:val="ListParagraph"/>
        <w:numPr>
          <w:ilvl w:val="0"/>
          <w:numId w:val="40"/>
        </w:numPr>
      </w:pPr>
      <w:r>
        <w:t>Release strategies — rolling updates are built in. Blue-green and canary releases need an additional controller, such as Argo Rollouts or Flagger, or a service mesh.</w:t>
      </w:r>
    </w:p>
    <w:p w14:paraId="123CEAAF" w14:textId="77777777" w:rsidR="00932AC5" w:rsidRDefault="00850229">
      <w:pPr>
        <w:pStyle w:val="ListParagraph"/>
        <w:numPr>
          <w:ilvl w:val="0"/>
          <w:numId w:val="40"/>
        </w:numPr>
      </w:pPr>
      <w:r>
        <w:t>Workload identity:</w:t>
      </w:r>
    </w:p>
    <w:p w14:paraId="4603FCB0" w14:textId="77777777" w:rsidR="00932AC5" w:rsidRDefault="00850229">
      <w:pPr>
        <w:pStyle w:val="ListParagraph"/>
        <w:numPr>
          <w:ilvl w:val="1"/>
          <w:numId w:val="40"/>
        </w:numPr>
      </w:pPr>
      <w:r>
        <w:t>IAM roles for service accounts give each pod on Fargate its own IAM role. EKS Pod Identity is available only on EC2 nodes.</w:t>
      </w:r>
    </w:p>
    <w:p w14:paraId="2201BFDC" w14:textId="77777777" w:rsidR="00932AC5" w:rsidRDefault="00850229">
      <w:pPr>
        <w:pStyle w:val="ListParagraph"/>
        <w:numPr>
          <w:ilvl w:val="1"/>
          <w:numId w:val="40"/>
        </w:numPr>
      </w:pPr>
      <w:r>
        <w:t>EKS access entries map IAM principals to Kubernetes role-based access control (RBAC).</w:t>
      </w:r>
    </w:p>
    <w:p w14:paraId="382A1F2F" w14:textId="77777777" w:rsidR="00932AC5" w:rsidRDefault="00850229">
      <w:pPr>
        <w:pStyle w:val="ListParagraph"/>
        <w:numPr>
          <w:ilvl w:val="1"/>
          <w:numId w:val="40"/>
        </w:numPr>
      </w:pPr>
      <w:r>
        <w:t>Kubernetes Secrets can be envelope-encrypted with AWS KMS.</w:t>
      </w:r>
    </w:p>
    <w:p w14:paraId="42FB13C2" w14:textId="77777777" w:rsidR="00932AC5" w:rsidRDefault="00850229">
      <w:pPr>
        <w:pStyle w:val="ListParagraph"/>
        <w:numPr>
          <w:ilvl w:val="0"/>
          <w:numId w:val="40"/>
        </w:numPr>
      </w:pPr>
      <w:r>
        <w:t>Isolation on Fargate — each pod has its own kernel, CPU, memory and network interface, and can be given its own security groups.</w:t>
      </w:r>
    </w:p>
    <w:p w14:paraId="3531D078" w14:textId="77777777" w:rsidR="00932AC5" w:rsidRDefault="00850229">
      <w:pPr>
        <w:pStyle w:val="ListParagraph"/>
        <w:numPr>
          <w:ilvl w:val="0"/>
          <w:numId w:val="40"/>
        </w:numPr>
      </w:pPr>
      <w:r>
        <w:t>Observability — Container Insights through the CloudWatch Observability add-on, a built-in Fluent Bit log router on Fargate, the AWS Distro for OpenTelemetry, and Amazon Managed Service for Prometheus.</w:t>
      </w:r>
    </w:p>
    <w:p w14:paraId="53176103" w14:textId="77777777" w:rsidR="00932AC5" w:rsidRDefault="00850229">
      <w:pPr>
        <w:pStyle w:val="ListParagraph"/>
        <w:numPr>
          <w:ilvl w:val="0"/>
          <w:numId w:val="40"/>
        </w:numPr>
      </w:pPr>
      <w:r>
        <w:t>Ecosystem — Helm, operators and custom resources, GitOps (Argo CD, which is also available as a managed EKS capability, or Flux), service meshes and policy engines.</w:t>
      </w:r>
    </w:p>
    <w:p w14:paraId="42F18CA0" w14:textId="77777777" w:rsidR="00932AC5" w:rsidRDefault="00850229">
      <w:pPr>
        <w:pStyle w:val="ListParagraph"/>
        <w:numPr>
          <w:ilvl w:val="0"/>
          <w:numId w:val="40"/>
        </w:numPr>
      </w:pPr>
      <w:r>
        <w:t>On-premise forms:</w:t>
      </w:r>
    </w:p>
    <w:p w14:paraId="47ACBC7A" w14:textId="77777777" w:rsidR="00932AC5" w:rsidRDefault="00850229">
      <w:pPr>
        <w:pStyle w:val="ListParagraph"/>
        <w:numPr>
          <w:ilvl w:val="1"/>
          <w:numId w:val="40"/>
        </w:numPr>
      </w:pPr>
      <w:r>
        <w:t>EKS Anywhere — Kubernetes software built by AWS on EKS Distro. It runs clusters on the customer's own VMware vSphere, bare-metal or Nutanix infrastructure, including air-gapped sites, and the customer operates the cluster lifecycle.</w:t>
      </w:r>
    </w:p>
    <w:p w14:paraId="48C772CE" w14:textId="77777777" w:rsidR="00932AC5" w:rsidRDefault="00850229">
      <w:pPr>
        <w:pStyle w:val="ListParagraph"/>
        <w:numPr>
          <w:ilvl w:val="1"/>
          <w:numId w:val="40"/>
        </w:numPr>
      </w:pPr>
      <w:r>
        <w:lastRenderedPageBreak/>
        <w:t>EKS Hybrid Nodes — on-premise servers join an EKS cluster whose control plane stays in AWS. This needs a reliable private connection (Site-to-Site VPN or Direct Connect) and does not suit disconnected sites.</w:t>
      </w:r>
    </w:p>
    <w:p w14:paraId="268C248D" w14:textId="77777777" w:rsidR="00932AC5" w:rsidRDefault="00850229">
      <w:pPr>
        <w:pStyle w:val="ListParagraph"/>
        <w:numPr>
          <w:ilvl w:val="1"/>
          <w:numId w:val="40"/>
        </w:numPr>
      </w:pPr>
      <w:r>
        <w:t>Any distribution certified as conformant by the Cloud Native Computing Foundation (CNCF), such as Red Hat OpenShift. The SAD's on-premise profile names OpenShift alongside EKS Anywhere.</w:t>
      </w:r>
    </w:p>
    <w:p w14:paraId="6962F549" w14:textId="77777777" w:rsidR="00932AC5" w:rsidRDefault="00850229">
      <w:pPr>
        <w:pStyle w:val="ListParagraph"/>
        <w:numPr>
          <w:ilvl w:val="0"/>
          <w:numId w:val="40"/>
        </w:numPr>
      </w:pPr>
      <w:r>
        <w:t>Constraints of EKS on Fargate:</w:t>
      </w:r>
    </w:p>
    <w:p w14:paraId="1468D6FA" w14:textId="77777777" w:rsidR="00932AC5" w:rsidRDefault="00850229">
      <w:pPr>
        <w:pStyle w:val="ListParagraph"/>
        <w:numPr>
          <w:ilvl w:val="1"/>
          <w:numId w:val="40"/>
        </w:numPr>
      </w:pPr>
      <w:r>
        <w:t>Not supported on Fargate: DaemonSets, privileged containers, host networking, GPUs, EBS volumes, Arm processors and Fargate Spot.</w:t>
      </w:r>
    </w:p>
    <w:p w14:paraId="150BE60D" w14:textId="77777777" w:rsidR="00932AC5" w:rsidRDefault="00850229">
      <w:pPr>
        <w:pStyle w:val="ListParagraph"/>
        <w:numPr>
          <w:ilvl w:val="1"/>
          <w:numId w:val="40"/>
        </w:numPr>
      </w:pPr>
      <w:r>
        <w:t>Pods run in private subnets only, and load balancers must use IP targets.</w:t>
      </w:r>
    </w:p>
    <w:p w14:paraId="0485412A" w14:textId="77777777" w:rsidR="00932AC5" w:rsidRDefault="00850229">
      <w:pPr>
        <w:pStyle w:val="ListParagraph"/>
        <w:numPr>
          <w:ilvl w:val="1"/>
          <w:numId w:val="40"/>
        </w:numPr>
      </w:pPr>
      <w:r>
        <w:t>AWS patches Fargate pods periodically and may evict them to do so.</w:t>
      </w:r>
    </w:p>
    <w:p w14:paraId="0721A3D4" w14:textId="77777777" w:rsidR="00932AC5" w:rsidRDefault="00850229">
      <w:pPr>
        <w:pStyle w:val="ListParagraph"/>
        <w:numPr>
          <w:ilvl w:val="1"/>
          <w:numId w:val="40"/>
        </w:numPr>
      </w:pPr>
      <w:r>
        <w:t>After each control-plane upgrade, pods must be restarted to pick up the matching kubelet version.</w:t>
      </w:r>
    </w:p>
    <w:p w14:paraId="3096BF01" w14:textId="77777777" w:rsidR="00932AC5" w:rsidRDefault="00850229">
      <w:pPr>
        <w:pStyle w:val="Heading3"/>
      </w:pPr>
      <w:bookmarkStart w:id="9" w:name="_Toc244213669"/>
      <w:r>
        <w:t>Pricing</w:t>
      </w:r>
      <w:bookmarkEnd w:id="9"/>
    </w:p>
    <w:p w14:paraId="222A4BAD" w14:textId="77777777" w:rsidR="00932AC5" w:rsidRDefault="00850229">
      <w:r>
        <w:t>EKS charges for each cluster, in addition to the compute beneath it. Prices are for US East (N. Virginia), accessed on 30 September 2026; US East (Ohio) lists the same prices (accessed 29 October 2026).</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18"/>
        <w:gridCol w:w="3772"/>
        <w:gridCol w:w="2936"/>
      </w:tblGrid>
      <w:tr w:rsidR="00932AC5" w14:paraId="52110E49" w14:textId="77777777">
        <w:trPr>
          <w:cantSplit/>
          <w:tblHeader/>
        </w:trPr>
        <w:tc>
          <w:tcPr>
            <w:tcW w:w="2318" w:type="dxa"/>
            <w:tcBorders>
              <w:top w:val="dotted" w:sz="4" w:space="0" w:color="auto"/>
              <w:left w:val="dotted" w:sz="4" w:space="0" w:color="auto"/>
              <w:bottom w:val="dotted" w:sz="4" w:space="0" w:color="auto"/>
              <w:right w:val="dotted" w:sz="4" w:space="0" w:color="auto"/>
            </w:tcBorders>
            <w:shd w:val="pct5" w:color="auto" w:fill="auto"/>
          </w:tcPr>
          <w:p w14:paraId="4BA5FC2C" w14:textId="77777777" w:rsidR="00932AC5" w:rsidRDefault="00850229">
            <w:pPr>
              <w:pStyle w:val="NoSpacing"/>
            </w:pPr>
            <w:r>
              <w:rPr>
                <w:b/>
              </w:rPr>
              <w:t>Item</w:t>
            </w:r>
          </w:p>
        </w:tc>
        <w:tc>
          <w:tcPr>
            <w:tcW w:w="3772" w:type="dxa"/>
            <w:tcBorders>
              <w:top w:val="dotted" w:sz="4" w:space="0" w:color="auto"/>
              <w:left w:val="dotted" w:sz="4" w:space="0" w:color="auto"/>
              <w:bottom w:val="dotted" w:sz="4" w:space="0" w:color="auto"/>
              <w:right w:val="dotted" w:sz="4" w:space="0" w:color="auto"/>
            </w:tcBorders>
            <w:shd w:val="pct5" w:color="auto" w:fill="auto"/>
          </w:tcPr>
          <w:p w14:paraId="39C7F309" w14:textId="77777777" w:rsidR="00932AC5" w:rsidRDefault="00850229">
            <w:pPr>
              <w:pStyle w:val="NoSpacing"/>
            </w:pPr>
            <w:r>
              <w:rPr>
                <w:b/>
              </w:rPr>
              <w:t>List price (US East, N. Virginia)</w:t>
            </w:r>
          </w:p>
        </w:tc>
        <w:tc>
          <w:tcPr>
            <w:tcW w:w="2936" w:type="dxa"/>
            <w:tcBorders>
              <w:top w:val="dotted" w:sz="4" w:space="0" w:color="auto"/>
              <w:left w:val="dotted" w:sz="4" w:space="0" w:color="auto"/>
              <w:bottom w:val="dotted" w:sz="4" w:space="0" w:color="auto"/>
              <w:right w:val="dotted" w:sz="4" w:space="0" w:color="auto"/>
            </w:tcBorders>
            <w:shd w:val="pct5" w:color="auto" w:fill="auto"/>
          </w:tcPr>
          <w:p w14:paraId="46C36BF2" w14:textId="77777777" w:rsidR="00932AC5" w:rsidRDefault="00850229">
            <w:pPr>
              <w:pStyle w:val="NoSpacing"/>
            </w:pPr>
            <w:r>
              <w:rPr>
                <w:b/>
              </w:rPr>
              <w:t>Note for eClaims</w:t>
            </w:r>
          </w:p>
        </w:tc>
      </w:tr>
      <w:tr w:rsidR="00932AC5" w14:paraId="158C0B8F" w14:textId="77777777">
        <w:trPr>
          <w:cantSplit/>
        </w:trPr>
        <w:tc>
          <w:tcPr>
            <w:tcW w:w="2318" w:type="dxa"/>
            <w:tcBorders>
              <w:top w:val="dotted" w:sz="4" w:space="0" w:color="auto"/>
              <w:left w:val="dotted" w:sz="4" w:space="0" w:color="auto"/>
              <w:bottom w:val="dotted" w:sz="4" w:space="0" w:color="auto"/>
              <w:right w:val="dotted" w:sz="4" w:space="0" w:color="auto"/>
            </w:tcBorders>
          </w:tcPr>
          <w:p w14:paraId="735DEB85" w14:textId="77777777" w:rsidR="00932AC5" w:rsidRDefault="00850229">
            <w:pPr>
              <w:pStyle w:val="NoSpacing"/>
            </w:pPr>
            <w:r>
              <w:t>EKS cluster, Kubernetes version in standard support (first 14 months)</w:t>
            </w:r>
          </w:p>
        </w:tc>
        <w:tc>
          <w:tcPr>
            <w:tcW w:w="3772" w:type="dxa"/>
            <w:tcBorders>
              <w:top w:val="dotted" w:sz="4" w:space="0" w:color="auto"/>
              <w:left w:val="dotted" w:sz="4" w:space="0" w:color="auto"/>
              <w:bottom w:val="dotted" w:sz="4" w:space="0" w:color="auto"/>
              <w:right w:val="dotted" w:sz="4" w:space="0" w:color="auto"/>
            </w:tcBorders>
          </w:tcPr>
          <w:p w14:paraId="752147D2" w14:textId="77777777" w:rsidR="00932AC5" w:rsidRDefault="00850229">
            <w:pPr>
              <w:pStyle w:val="NoSpacing"/>
            </w:pPr>
            <w:r>
              <w:t>USD 0.10 per cluster-hour, ≈ USD 73 per cluster per month</w:t>
            </w:r>
          </w:p>
        </w:tc>
        <w:tc>
          <w:tcPr>
            <w:tcW w:w="2936" w:type="dxa"/>
            <w:tcBorders>
              <w:top w:val="dotted" w:sz="4" w:space="0" w:color="auto"/>
              <w:left w:val="dotted" w:sz="4" w:space="0" w:color="auto"/>
              <w:bottom w:val="dotted" w:sz="4" w:space="0" w:color="auto"/>
              <w:right w:val="dotted" w:sz="4" w:space="0" w:color="auto"/>
            </w:tcBorders>
          </w:tcPr>
          <w:p w14:paraId="18CD42E5" w14:textId="77777777" w:rsidR="00932AC5" w:rsidRDefault="00850229">
            <w:pPr>
              <w:pStyle w:val="NoSpacing"/>
            </w:pPr>
            <w:r>
              <w:t>One cluster per environment, plus the us-east-2 standby: ≈ USD 292 a month for four clusters</w:t>
            </w:r>
          </w:p>
        </w:tc>
      </w:tr>
      <w:tr w:rsidR="00932AC5" w14:paraId="3206B8C6" w14:textId="77777777">
        <w:trPr>
          <w:cantSplit/>
        </w:trPr>
        <w:tc>
          <w:tcPr>
            <w:tcW w:w="2318" w:type="dxa"/>
            <w:tcBorders>
              <w:top w:val="dotted" w:sz="4" w:space="0" w:color="auto"/>
              <w:left w:val="dotted" w:sz="4" w:space="0" w:color="auto"/>
              <w:bottom w:val="dotted" w:sz="4" w:space="0" w:color="auto"/>
              <w:right w:val="dotted" w:sz="4" w:space="0" w:color="auto"/>
            </w:tcBorders>
          </w:tcPr>
          <w:p w14:paraId="38A4218D" w14:textId="77777777" w:rsidR="00932AC5" w:rsidRDefault="00850229">
            <w:pPr>
              <w:pStyle w:val="NoSpacing"/>
            </w:pPr>
            <w:r>
              <w:t>EKS cluster, version in extended support (next 12 months)</w:t>
            </w:r>
          </w:p>
        </w:tc>
        <w:tc>
          <w:tcPr>
            <w:tcW w:w="3772" w:type="dxa"/>
            <w:tcBorders>
              <w:top w:val="dotted" w:sz="4" w:space="0" w:color="auto"/>
              <w:left w:val="dotted" w:sz="4" w:space="0" w:color="auto"/>
              <w:bottom w:val="dotted" w:sz="4" w:space="0" w:color="auto"/>
              <w:right w:val="dotted" w:sz="4" w:space="0" w:color="auto"/>
            </w:tcBorders>
          </w:tcPr>
          <w:p w14:paraId="0BA7E555" w14:textId="77777777" w:rsidR="00932AC5" w:rsidRDefault="00850229">
            <w:pPr>
              <w:pStyle w:val="NoSpacing"/>
            </w:pPr>
            <w:r>
              <w:t>USD 0.60 per cluster-hour, ≈ USD 438 per cluster per month</w:t>
            </w:r>
          </w:p>
        </w:tc>
        <w:tc>
          <w:tcPr>
            <w:tcW w:w="2936" w:type="dxa"/>
            <w:tcBorders>
              <w:top w:val="dotted" w:sz="4" w:space="0" w:color="auto"/>
              <w:left w:val="dotted" w:sz="4" w:space="0" w:color="auto"/>
              <w:bottom w:val="dotted" w:sz="4" w:space="0" w:color="auto"/>
              <w:right w:val="dotted" w:sz="4" w:space="0" w:color="auto"/>
            </w:tcBorders>
          </w:tcPr>
          <w:p w14:paraId="4315AFD1" w14:textId="77777777" w:rsidR="00932AC5" w:rsidRDefault="00850229">
            <w:pPr>
              <w:pStyle w:val="NoSpacing"/>
            </w:pPr>
            <w:r>
              <w:t>Includes the USD 0.10. A late upgrade costs an extra USD 0.50 an hour, ≈ USD 365 per cluster per month</w:t>
            </w:r>
          </w:p>
        </w:tc>
      </w:tr>
      <w:tr w:rsidR="00932AC5" w14:paraId="36D39B32" w14:textId="77777777">
        <w:trPr>
          <w:cantSplit/>
        </w:trPr>
        <w:tc>
          <w:tcPr>
            <w:tcW w:w="2318" w:type="dxa"/>
            <w:tcBorders>
              <w:top w:val="dotted" w:sz="4" w:space="0" w:color="auto"/>
              <w:left w:val="dotted" w:sz="4" w:space="0" w:color="auto"/>
              <w:bottom w:val="dotted" w:sz="4" w:space="0" w:color="auto"/>
              <w:right w:val="dotted" w:sz="4" w:space="0" w:color="auto"/>
            </w:tcBorders>
          </w:tcPr>
          <w:p w14:paraId="46EB4139" w14:textId="77777777" w:rsidR="00932AC5" w:rsidRDefault="00850229">
            <w:pPr>
              <w:pStyle w:val="NoSpacing"/>
            </w:pPr>
            <w:r>
              <w:t>Pods on AWS Fargate</w:t>
            </w:r>
          </w:p>
        </w:tc>
        <w:tc>
          <w:tcPr>
            <w:tcW w:w="3772" w:type="dxa"/>
            <w:tcBorders>
              <w:top w:val="dotted" w:sz="4" w:space="0" w:color="auto"/>
              <w:left w:val="dotted" w:sz="4" w:space="0" w:color="auto"/>
              <w:bottom w:val="dotted" w:sz="4" w:space="0" w:color="auto"/>
              <w:right w:val="dotted" w:sz="4" w:space="0" w:color="auto"/>
            </w:tcBorders>
          </w:tcPr>
          <w:p w14:paraId="4A31F183" w14:textId="77777777" w:rsidR="00932AC5" w:rsidRDefault="00850229">
            <w:pPr>
              <w:pStyle w:val="NoSpacing"/>
            </w:pPr>
            <w:r>
              <w:t>USD 0.04048 per vCPU-hour and USD 0.004445 per GB-hour (Linux/x86), the same as ECS</w:t>
            </w:r>
          </w:p>
        </w:tc>
        <w:tc>
          <w:tcPr>
            <w:tcW w:w="2936" w:type="dxa"/>
            <w:tcBorders>
              <w:top w:val="dotted" w:sz="4" w:space="0" w:color="auto"/>
              <w:left w:val="dotted" w:sz="4" w:space="0" w:color="auto"/>
              <w:bottom w:val="dotted" w:sz="4" w:space="0" w:color="auto"/>
              <w:right w:val="dotted" w:sz="4" w:space="0" w:color="auto"/>
            </w:tcBorders>
          </w:tcPr>
          <w:p w14:paraId="790B0534" w14:textId="77777777" w:rsidR="00932AC5" w:rsidRDefault="00850229">
            <w:pPr>
              <w:pStyle w:val="NoSpacing"/>
            </w:pPr>
            <w:r>
              <w:t>Savings Plans apply. Fargate Spot and Arm are not available on EKS</w:t>
            </w:r>
          </w:p>
        </w:tc>
      </w:tr>
      <w:tr w:rsidR="00932AC5" w14:paraId="09AC5DD0" w14:textId="77777777">
        <w:trPr>
          <w:cantSplit/>
        </w:trPr>
        <w:tc>
          <w:tcPr>
            <w:tcW w:w="2318" w:type="dxa"/>
            <w:tcBorders>
              <w:top w:val="dotted" w:sz="4" w:space="0" w:color="auto"/>
              <w:left w:val="dotted" w:sz="4" w:space="0" w:color="auto"/>
              <w:bottom w:val="dotted" w:sz="4" w:space="0" w:color="auto"/>
              <w:right w:val="dotted" w:sz="4" w:space="0" w:color="auto"/>
            </w:tcBorders>
          </w:tcPr>
          <w:p w14:paraId="6EF59804" w14:textId="77777777" w:rsidR="00932AC5" w:rsidRDefault="00850229">
            <w:pPr>
              <w:pStyle w:val="NoSpacing"/>
            </w:pPr>
            <w:r>
              <w:t>Managed node groups</w:t>
            </w:r>
          </w:p>
        </w:tc>
        <w:tc>
          <w:tcPr>
            <w:tcW w:w="3772" w:type="dxa"/>
            <w:tcBorders>
              <w:top w:val="dotted" w:sz="4" w:space="0" w:color="auto"/>
              <w:left w:val="dotted" w:sz="4" w:space="0" w:color="auto"/>
              <w:bottom w:val="dotted" w:sz="4" w:space="0" w:color="auto"/>
              <w:right w:val="dotted" w:sz="4" w:space="0" w:color="auto"/>
            </w:tcBorders>
          </w:tcPr>
          <w:p w14:paraId="5ED5BCE6" w14:textId="77777777" w:rsidR="00932AC5" w:rsidRDefault="00850229">
            <w:pPr>
              <w:pStyle w:val="NoSpacing"/>
            </w:pPr>
            <w:r>
              <w:t>EC2 instance price plus EBS volumes. For example, m6i.large (2 vCPU, 8 GiB) costs USD 0.096 per hour, ≈ USD 70 per month On-Demand</w:t>
            </w:r>
          </w:p>
        </w:tc>
        <w:tc>
          <w:tcPr>
            <w:tcW w:w="2936" w:type="dxa"/>
            <w:tcBorders>
              <w:top w:val="dotted" w:sz="4" w:space="0" w:color="auto"/>
              <w:left w:val="dotted" w:sz="4" w:space="0" w:color="auto"/>
              <w:bottom w:val="dotted" w:sz="4" w:space="0" w:color="auto"/>
              <w:right w:val="dotted" w:sz="4" w:space="0" w:color="auto"/>
            </w:tcBorders>
          </w:tcPr>
          <w:p w14:paraId="48BCAFAD" w14:textId="77777777" w:rsidR="00932AC5" w:rsidRDefault="00850229">
            <w:pPr>
              <w:pStyle w:val="NoSpacing"/>
            </w:pPr>
            <w:r>
              <w:t>Whole nodes are paid for, whether or not pods use the capacity</w:t>
            </w:r>
          </w:p>
        </w:tc>
      </w:tr>
      <w:tr w:rsidR="00932AC5" w14:paraId="58AD9CAE" w14:textId="77777777">
        <w:trPr>
          <w:cantSplit/>
        </w:trPr>
        <w:tc>
          <w:tcPr>
            <w:tcW w:w="2318" w:type="dxa"/>
            <w:tcBorders>
              <w:top w:val="dotted" w:sz="4" w:space="0" w:color="auto"/>
              <w:left w:val="dotted" w:sz="4" w:space="0" w:color="auto"/>
              <w:bottom w:val="dotted" w:sz="4" w:space="0" w:color="auto"/>
              <w:right w:val="dotted" w:sz="4" w:space="0" w:color="auto"/>
            </w:tcBorders>
          </w:tcPr>
          <w:p w14:paraId="34979F7F" w14:textId="77777777" w:rsidR="00932AC5" w:rsidRDefault="00850229">
            <w:pPr>
              <w:pStyle w:val="NoSpacing"/>
            </w:pPr>
            <w:r>
              <w:t>EKS Auto Mode</w:t>
            </w:r>
          </w:p>
        </w:tc>
        <w:tc>
          <w:tcPr>
            <w:tcW w:w="3772" w:type="dxa"/>
            <w:tcBorders>
              <w:top w:val="dotted" w:sz="4" w:space="0" w:color="auto"/>
              <w:left w:val="dotted" w:sz="4" w:space="0" w:color="auto"/>
              <w:bottom w:val="dotted" w:sz="4" w:space="0" w:color="auto"/>
              <w:right w:val="dotted" w:sz="4" w:space="0" w:color="auto"/>
            </w:tcBorders>
          </w:tcPr>
          <w:p w14:paraId="37CEA80C" w14:textId="77777777" w:rsidR="00932AC5" w:rsidRDefault="00850229">
            <w:pPr>
              <w:pStyle w:val="NoSpacing"/>
            </w:pPr>
            <w:r>
              <w:t>EC2 instance price plus a management fee per instance</w:t>
            </w:r>
          </w:p>
        </w:tc>
        <w:tc>
          <w:tcPr>
            <w:tcW w:w="2936" w:type="dxa"/>
            <w:tcBorders>
              <w:top w:val="dotted" w:sz="4" w:space="0" w:color="auto"/>
              <w:left w:val="dotted" w:sz="4" w:space="0" w:color="auto"/>
              <w:bottom w:val="dotted" w:sz="4" w:space="0" w:color="auto"/>
              <w:right w:val="dotted" w:sz="4" w:space="0" w:color="auto"/>
            </w:tcBorders>
          </w:tcPr>
          <w:p w14:paraId="0E11B731" w14:textId="77777777" w:rsidR="00932AC5" w:rsidRDefault="00850229">
            <w:pPr>
              <w:pStyle w:val="NoSpacing"/>
            </w:pPr>
            <w:r>
              <w:t>Removes node management; the cluster keeps its version lifecycle</w:t>
            </w:r>
          </w:p>
        </w:tc>
      </w:tr>
      <w:tr w:rsidR="00932AC5" w14:paraId="29410B12" w14:textId="77777777">
        <w:trPr>
          <w:cantSplit/>
        </w:trPr>
        <w:tc>
          <w:tcPr>
            <w:tcW w:w="2318" w:type="dxa"/>
            <w:tcBorders>
              <w:top w:val="dotted" w:sz="4" w:space="0" w:color="auto"/>
              <w:left w:val="dotted" w:sz="4" w:space="0" w:color="auto"/>
              <w:bottom w:val="dotted" w:sz="4" w:space="0" w:color="auto"/>
              <w:right w:val="dotted" w:sz="4" w:space="0" w:color="auto"/>
            </w:tcBorders>
          </w:tcPr>
          <w:p w14:paraId="17609CCD" w14:textId="77777777" w:rsidR="00932AC5" w:rsidRDefault="00850229">
            <w:pPr>
              <w:pStyle w:val="NoSpacing"/>
            </w:pPr>
            <w:r>
              <w:t>EKS Hybrid Nodes (on-premise nodes)</w:t>
            </w:r>
          </w:p>
        </w:tc>
        <w:tc>
          <w:tcPr>
            <w:tcW w:w="3772" w:type="dxa"/>
            <w:tcBorders>
              <w:top w:val="dotted" w:sz="4" w:space="0" w:color="auto"/>
              <w:left w:val="dotted" w:sz="4" w:space="0" w:color="auto"/>
              <w:bottom w:val="dotted" w:sz="4" w:space="0" w:color="auto"/>
              <w:right w:val="dotted" w:sz="4" w:space="0" w:color="auto"/>
            </w:tcBorders>
          </w:tcPr>
          <w:p w14:paraId="706C12ED" w14:textId="77777777" w:rsidR="00932AC5" w:rsidRDefault="00850229">
            <w:pPr>
              <w:pStyle w:val="NoSpacing"/>
            </w:pPr>
            <w:r>
              <w:t>USD 0.020 per vCPU-hour for the first 576,000 vCPU-hours, falling in tiers to USD 0.006; plus the cluster fee</w:t>
            </w:r>
          </w:p>
        </w:tc>
        <w:tc>
          <w:tcPr>
            <w:tcW w:w="2936" w:type="dxa"/>
            <w:tcBorders>
              <w:top w:val="dotted" w:sz="4" w:space="0" w:color="auto"/>
              <w:left w:val="dotted" w:sz="4" w:space="0" w:color="auto"/>
              <w:bottom w:val="dotted" w:sz="4" w:space="0" w:color="auto"/>
              <w:right w:val="dotted" w:sz="4" w:space="0" w:color="auto"/>
            </w:tcBorders>
          </w:tcPr>
          <w:p w14:paraId="7D1EFF9C" w14:textId="77777777" w:rsidR="00932AC5" w:rsidRDefault="00850229">
            <w:pPr>
              <w:pStyle w:val="NoSpacing"/>
            </w:pPr>
            <w:r>
              <w:t>Plus the customer's own servers and the VPN or Direct Connect link</w:t>
            </w:r>
          </w:p>
        </w:tc>
      </w:tr>
      <w:tr w:rsidR="00932AC5" w14:paraId="6294AC33" w14:textId="77777777">
        <w:trPr>
          <w:cantSplit/>
        </w:trPr>
        <w:tc>
          <w:tcPr>
            <w:tcW w:w="2318" w:type="dxa"/>
            <w:tcBorders>
              <w:top w:val="dotted" w:sz="4" w:space="0" w:color="auto"/>
              <w:left w:val="dotted" w:sz="4" w:space="0" w:color="auto"/>
              <w:bottom w:val="dotted" w:sz="4" w:space="0" w:color="auto"/>
              <w:right w:val="dotted" w:sz="4" w:space="0" w:color="auto"/>
            </w:tcBorders>
          </w:tcPr>
          <w:p w14:paraId="3F526DB5" w14:textId="77777777" w:rsidR="00932AC5" w:rsidRDefault="00850229">
            <w:pPr>
              <w:pStyle w:val="NoSpacing"/>
            </w:pPr>
            <w:r>
              <w:t>EKS Anywhere (on-premise clusters)</w:t>
            </w:r>
          </w:p>
        </w:tc>
        <w:tc>
          <w:tcPr>
            <w:tcW w:w="3772" w:type="dxa"/>
            <w:tcBorders>
              <w:top w:val="dotted" w:sz="4" w:space="0" w:color="auto"/>
              <w:left w:val="dotted" w:sz="4" w:space="0" w:color="auto"/>
              <w:bottom w:val="dotted" w:sz="4" w:space="0" w:color="auto"/>
              <w:right w:val="dotted" w:sz="4" w:space="0" w:color="auto"/>
            </w:tcBorders>
          </w:tcPr>
          <w:p w14:paraId="58478D1F" w14:textId="77777777" w:rsidR="00932AC5" w:rsidRDefault="00850229">
            <w:pPr>
              <w:pStyle w:val="NoSpacing"/>
            </w:pPr>
            <w:r>
              <w:t>Open-source software, no charge. Optional Enterprise Subscription: USD 24,000 per cluster per year (one-year term) or USD 18,000 per cluster per year (three-year term)</w:t>
            </w:r>
          </w:p>
        </w:tc>
        <w:tc>
          <w:tcPr>
            <w:tcW w:w="2936" w:type="dxa"/>
            <w:tcBorders>
              <w:top w:val="dotted" w:sz="4" w:space="0" w:color="auto"/>
              <w:left w:val="dotted" w:sz="4" w:space="0" w:color="auto"/>
              <w:bottom w:val="dotted" w:sz="4" w:space="0" w:color="auto"/>
              <w:right w:val="dotted" w:sz="4" w:space="0" w:color="auto"/>
            </w:tcBorders>
          </w:tcPr>
          <w:p w14:paraId="4BFDCC55" w14:textId="77777777" w:rsidR="00932AC5" w:rsidRDefault="00850229">
            <w:pPr>
              <w:pStyle w:val="NoSpacing"/>
            </w:pPr>
            <w:r>
              <w:t>The subscription requires AWS Enterprise Support or Enterprise On-Ramp. The hardware is the customer's own</w:t>
            </w:r>
          </w:p>
        </w:tc>
      </w:tr>
    </w:tbl>
    <w:p w14:paraId="7C9EF9C3" w14:textId="77777777" w:rsidR="00932AC5" w:rsidRDefault="00932AC5"/>
    <w:p w14:paraId="69023AE4" w14:textId="77777777" w:rsidR="00BE0511" w:rsidRDefault="00BE0511"/>
    <w:p w14:paraId="58DC50CF" w14:textId="77777777" w:rsidR="00BE0511" w:rsidRDefault="00BE0511"/>
    <w:p w14:paraId="79E0BADA" w14:textId="77777777" w:rsidR="00932AC5" w:rsidRDefault="00850229">
      <w:pPr>
        <w:pStyle w:val="Heading1"/>
      </w:pPr>
      <w:bookmarkStart w:id="10" w:name="_Toc244213670"/>
      <w:r>
        <w:lastRenderedPageBreak/>
        <w:t>Comparison Analysis</w:t>
      </w:r>
      <w:bookmarkEnd w:id="10"/>
    </w:p>
    <w:p w14:paraId="3D6D37B4" w14:textId="77777777" w:rsidR="00932AC5" w:rsidRDefault="00850229">
      <w:r>
        <w:t>Both options run the same container images on the same Fargate capacity at the same rates, so the comparison isolates the orchestration layer:</w:t>
      </w:r>
    </w:p>
    <w:p w14:paraId="21FECDA2" w14:textId="77777777" w:rsidR="00932AC5" w:rsidRDefault="00850229">
      <w:pPr>
        <w:pStyle w:val="ListParagraph"/>
        <w:numPr>
          <w:ilvl w:val="0"/>
          <w:numId w:val="40"/>
        </w:numPr>
      </w:pPr>
      <w:r>
        <w:t>Section 4.1 scores seven attributes.</w:t>
      </w:r>
    </w:p>
    <w:p w14:paraId="47238024" w14:textId="77777777" w:rsidR="00932AC5" w:rsidRDefault="00850229">
      <w:pPr>
        <w:pStyle w:val="ListParagraph"/>
        <w:numPr>
          <w:ilvl w:val="0"/>
          <w:numId w:val="40"/>
        </w:numPr>
      </w:pPr>
      <w:r>
        <w:t>Section 4.2 prices the difference for the eClaims footprint.</w:t>
      </w:r>
    </w:p>
    <w:p w14:paraId="37F7B913" w14:textId="77777777" w:rsidR="00932AC5" w:rsidRDefault="00850229">
      <w:pPr>
        <w:pStyle w:val="ListParagraph"/>
        <w:numPr>
          <w:ilvl w:val="0"/>
          <w:numId w:val="40"/>
        </w:numPr>
      </w:pPr>
      <w:r>
        <w:t>Section 4.3 compares what each option asks of the team over the life of the platform.</w:t>
      </w:r>
    </w:p>
    <w:p w14:paraId="3583D922" w14:textId="77777777" w:rsidR="00932AC5" w:rsidRDefault="00850229">
      <w:pPr>
        <w:pStyle w:val="Heading2"/>
      </w:pPr>
      <w:bookmarkStart w:id="11" w:name="_Toc244213671"/>
      <w:r>
        <w:t>Point Matrix</w:t>
      </w:r>
      <w:bookmarkEnd w:id="11"/>
    </w:p>
    <w:p w14:paraId="1E2DAEEB" w14:textId="77777777" w:rsidR="00932AC5" w:rsidRDefault="00850229">
      <w:r>
        <w:t>The seven attributes and their weights are defined here, not in the Compute DAR. They differ from the weights of the Compute DAR's main matrix because the question is different. Once both options run the same Fargate tasks, the execution attributes that dominate that matrix no longer separate the options and drop out: long-running services, latency, self-healing and autoscaling. The attributes that remain carry the decision.</w:t>
      </w:r>
    </w:p>
    <w:p w14:paraId="599C1E5F" w14:textId="77777777" w:rsidR="00932AC5" w:rsidRDefault="00850229">
      <w:r>
        <w:t>Weights follow this scale:</w:t>
      </w:r>
    </w:p>
    <w:p w14:paraId="55461AC5" w14:textId="77777777" w:rsidR="00932AC5" w:rsidRDefault="00850229">
      <w:pPr>
        <w:pStyle w:val="ListParagraph"/>
        <w:numPr>
          <w:ilvl w:val="0"/>
          <w:numId w:val="40"/>
        </w:numPr>
      </w:pPr>
      <w:r>
        <w:t>5 — the attribute decides whether the option serves a stated eClaims requirement or the Phase 1 business case.</w:t>
      </w:r>
    </w:p>
    <w:p w14:paraId="7D7DE5DC" w14:textId="77777777" w:rsidR="00932AC5" w:rsidRDefault="00850229">
      <w:pPr>
        <w:pStyle w:val="ListParagraph"/>
        <w:numPr>
          <w:ilvl w:val="0"/>
          <w:numId w:val="40"/>
        </w:numPr>
      </w:pPr>
      <w:r>
        <w:t>4 — the attribute governs how the platform is operated, upgraded and learned over its life (NFR 4). A shortfall degrades operation rather than failing a requirement.</w:t>
      </w:r>
    </w:p>
    <w:p w14:paraId="61E81125" w14:textId="77777777" w:rsidR="00932AC5" w:rsidRDefault="00850229">
      <w:pPr>
        <w:pStyle w:val="ListParagraph"/>
        <w:numPr>
          <w:ilvl w:val="0"/>
          <w:numId w:val="40"/>
        </w:numPr>
      </w:pPr>
      <w:r>
        <w:t>3 — both options meet the requirement, and the attribute separates them only at the margin.</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140"/>
        <w:gridCol w:w="1060"/>
        <w:gridCol w:w="2759"/>
        <w:gridCol w:w="3067"/>
      </w:tblGrid>
      <w:tr w:rsidR="00932AC5" w14:paraId="1A0ABCF1" w14:textId="77777777">
        <w:trPr>
          <w:cantSplit/>
          <w:tblHeader/>
        </w:trPr>
        <w:tc>
          <w:tcPr>
            <w:tcW w:w="2140" w:type="dxa"/>
            <w:tcBorders>
              <w:top w:val="dotted" w:sz="4" w:space="0" w:color="auto"/>
              <w:left w:val="dotted" w:sz="4" w:space="0" w:color="auto"/>
              <w:bottom w:val="dotted" w:sz="4" w:space="0" w:color="auto"/>
              <w:right w:val="dotted" w:sz="4" w:space="0" w:color="auto"/>
            </w:tcBorders>
            <w:shd w:val="pct5" w:color="auto" w:fill="auto"/>
          </w:tcPr>
          <w:p w14:paraId="1EE6ABC2" w14:textId="77777777" w:rsidR="00932AC5" w:rsidRDefault="00850229">
            <w:pPr>
              <w:pStyle w:val="NoSpacing"/>
            </w:pPr>
            <w:r>
              <w:rPr>
                <w:b/>
              </w:rPr>
              <w:t>Attribute</w:t>
            </w:r>
          </w:p>
        </w:tc>
        <w:tc>
          <w:tcPr>
            <w:tcW w:w="1060" w:type="dxa"/>
            <w:tcBorders>
              <w:top w:val="dotted" w:sz="4" w:space="0" w:color="auto"/>
              <w:left w:val="dotted" w:sz="4" w:space="0" w:color="auto"/>
              <w:bottom w:val="dotted" w:sz="4" w:space="0" w:color="auto"/>
              <w:right w:val="dotted" w:sz="4" w:space="0" w:color="auto"/>
            </w:tcBorders>
            <w:shd w:val="pct5" w:color="auto" w:fill="auto"/>
          </w:tcPr>
          <w:p w14:paraId="1257F9DC" w14:textId="77777777" w:rsidR="00932AC5" w:rsidRDefault="00850229">
            <w:pPr>
              <w:pStyle w:val="NoSpacing"/>
            </w:pPr>
            <w:r>
              <w:rPr>
                <w:b/>
              </w:rPr>
              <w:t>Weight</w:t>
            </w:r>
          </w:p>
        </w:tc>
        <w:tc>
          <w:tcPr>
            <w:tcW w:w="2759" w:type="dxa"/>
            <w:tcBorders>
              <w:top w:val="dotted" w:sz="4" w:space="0" w:color="auto"/>
              <w:left w:val="dotted" w:sz="4" w:space="0" w:color="auto"/>
              <w:bottom w:val="dotted" w:sz="4" w:space="0" w:color="auto"/>
              <w:right w:val="dotted" w:sz="4" w:space="0" w:color="auto"/>
            </w:tcBorders>
            <w:shd w:val="pct5" w:color="auto" w:fill="auto"/>
          </w:tcPr>
          <w:p w14:paraId="5419323B" w14:textId="77777777" w:rsidR="00932AC5" w:rsidRDefault="00850229">
            <w:pPr>
              <w:pStyle w:val="NoSpacing"/>
            </w:pPr>
            <w:r>
              <w:rPr>
                <w:b/>
              </w:rPr>
              <w:t>What is assessed</w:t>
            </w:r>
          </w:p>
        </w:tc>
        <w:tc>
          <w:tcPr>
            <w:tcW w:w="3067" w:type="dxa"/>
            <w:tcBorders>
              <w:top w:val="dotted" w:sz="4" w:space="0" w:color="auto"/>
              <w:left w:val="dotted" w:sz="4" w:space="0" w:color="auto"/>
              <w:bottom w:val="dotted" w:sz="4" w:space="0" w:color="auto"/>
              <w:right w:val="dotted" w:sz="4" w:space="0" w:color="auto"/>
            </w:tcBorders>
            <w:shd w:val="pct5" w:color="auto" w:fill="auto"/>
          </w:tcPr>
          <w:p w14:paraId="65A8DBF2" w14:textId="77777777" w:rsidR="00932AC5" w:rsidRDefault="00850229">
            <w:pPr>
              <w:pStyle w:val="NoSpacing"/>
            </w:pPr>
            <w:r>
              <w:rPr>
                <w:b/>
              </w:rPr>
              <w:t>Why this weight</w:t>
            </w:r>
          </w:p>
        </w:tc>
      </w:tr>
      <w:tr w:rsidR="00932AC5" w14:paraId="52921379" w14:textId="77777777">
        <w:trPr>
          <w:cantSplit/>
        </w:trPr>
        <w:tc>
          <w:tcPr>
            <w:tcW w:w="2140" w:type="dxa"/>
            <w:tcBorders>
              <w:top w:val="dotted" w:sz="4" w:space="0" w:color="auto"/>
              <w:left w:val="dotted" w:sz="4" w:space="0" w:color="auto"/>
              <w:bottom w:val="dotted" w:sz="4" w:space="0" w:color="auto"/>
              <w:right w:val="dotted" w:sz="4" w:space="0" w:color="auto"/>
            </w:tcBorders>
          </w:tcPr>
          <w:p w14:paraId="28FF1DDA" w14:textId="77777777" w:rsidR="00932AC5" w:rsidRDefault="00850229">
            <w:pPr>
              <w:pStyle w:val="NoSpacing"/>
            </w:pPr>
            <w:r>
              <w:t>Cost</w:t>
            </w:r>
          </w:p>
        </w:tc>
        <w:tc>
          <w:tcPr>
            <w:tcW w:w="1060" w:type="dxa"/>
            <w:tcBorders>
              <w:top w:val="dotted" w:sz="4" w:space="0" w:color="auto"/>
              <w:left w:val="dotted" w:sz="4" w:space="0" w:color="auto"/>
              <w:bottom w:val="dotted" w:sz="4" w:space="0" w:color="auto"/>
              <w:right w:val="dotted" w:sz="4" w:space="0" w:color="auto"/>
            </w:tcBorders>
          </w:tcPr>
          <w:p w14:paraId="5E2905CA" w14:textId="77777777" w:rsidR="00932AC5" w:rsidRDefault="00850229">
            <w:pPr>
              <w:pStyle w:val="NoSpacing"/>
            </w:pPr>
            <w:r>
              <w:t>5</w:t>
            </w:r>
          </w:p>
        </w:tc>
        <w:tc>
          <w:tcPr>
            <w:tcW w:w="2759" w:type="dxa"/>
            <w:tcBorders>
              <w:top w:val="dotted" w:sz="4" w:space="0" w:color="auto"/>
              <w:left w:val="dotted" w:sz="4" w:space="0" w:color="auto"/>
              <w:bottom w:val="dotted" w:sz="4" w:space="0" w:color="auto"/>
              <w:right w:val="dotted" w:sz="4" w:space="0" w:color="auto"/>
            </w:tcBorders>
          </w:tcPr>
          <w:p w14:paraId="66D00F2A" w14:textId="77777777" w:rsidR="00932AC5" w:rsidRDefault="00850229">
            <w:pPr>
              <w:pStyle w:val="NoSpacing"/>
            </w:pPr>
            <w:r>
              <w:t>Run cost that differs between the options: orchestrator fees across the three environments, exposure to extended-support fees, and access to discounted capacity (Fargate Spot, Graviton). Engineering effort is priced in Section 4.2 but scored under Maintainability and Complexity, so it is not counted twice.</w:t>
            </w:r>
          </w:p>
        </w:tc>
        <w:tc>
          <w:tcPr>
            <w:tcW w:w="3067" w:type="dxa"/>
            <w:tcBorders>
              <w:top w:val="dotted" w:sz="4" w:space="0" w:color="auto"/>
              <w:left w:val="dotted" w:sz="4" w:space="0" w:color="auto"/>
              <w:bottom w:val="dotted" w:sz="4" w:space="0" w:color="auto"/>
              <w:right w:val="dotted" w:sz="4" w:space="0" w:color="auto"/>
            </w:tcBorders>
          </w:tcPr>
          <w:p w14:paraId="56E2B6F7" w14:textId="77777777" w:rsidR="00932AC5" w:rsidRDefault="00850229">
            <w:pPr>
              <w:pStyle w:val="NoSpacing"/>
            </w:pPr>
            <w:r>
              <w:t>Lower operating cost is an eClaims business outcome (SAD Section 1). Compute is billed identically, so these items are the whole of the difference on the invoice.</w:t>
            </w:r>
          </w:p>
        </w:tc>
      </w:tr>
      <w:tr w:rsidR="00932AC5" w14:paraId="49EA7253" w14:textId="77777777">
        <w:trPr>
          <w:cantSplit/>
        </w:trPr>
        <w:tc>
          <w:tcPr>
            <w:tcW w:w="2140" w:type="dxa"/>
            <w:tcBorders>
              <w:top w:val="dotted" w:sz="4" w:space="0" w:color="auto"/>
              <w:left w:val="dotted" w:sz="4" w:space="0" w:color="auto"/>
              <w:bottom w:val="dotted" w:sz="4" w:space="0" w:color="auto"/>
              <w:right w:val="dotted" w:sz="4" w:space="0" w:color="auto"/>
            </w:tcBorders>
          </w:tcPr>
          <w:p w14:paraId="4901D875" w14:textId="77777777" w:rsidR="00932AC5" w:rsidRDefault="00850229">
            <w:pPr>
              <w:pStyle w:val="NoSpacing"/>
            </w:pPr>
            <w:r>
              <w:t>Maintainability</w:t>
            </w:r>
          </w:p>
        </w:tc>
        <w:tc>
          <w:tcPr>
            <w:tcW w:w="1060" w:type="dxa"/>
            <w:tcBorders>
              <w:top w:val="dotted" w:sz="4" w:space="0" w:color="auto"/>
              <w:left w:val="dotted" w:sz="4" w:space="0" w:color="auto"/>
              <w:bottom w:val="dotted" w:sz="4" w:space="0" w:color="auto"/>
              <w:right w:val="dotted" w:sz="4" w:space="0" w:color="auto"/>
            </w:tcBorders>
          </w:tcPr>
          <w:p w14:paraId="66D9CFA0" w14:textId="77777777" w:rsidR="00932AC5" w:rsidRDefault="00850229">
            <w:pPr>
              <w:pStyle w:val="NoSpacing"/>
            </w:pPr>
            <w:r>
              <w:t>4</w:t>
            </w:r>
          </w:p>
        </w:tc>
        <w:tc>
          <w:tcPr>
            <w:tcW w:w="2759" w:type="dxa"/>
            <w:tcBorders>
              <w:top w:val="dotted" w:sz="4" w:space="0" w:color="auto"/>
              <w:left w:val="dotted" w:sz="4" w:space="0" w:color="auto"/>
              <w:bottom w:val="dotted" w:sz="4" w:space="0" w:color="auto"/>
              <w:right w:val="dotted" w:sz="4" w:space="0" w:color="auto"/>
            </w:tcBorders>
          </w:tcPr>
          <w:p w14:paraId="4CFF2622" w14:textId="77777777" w:rsidR="00932AC5" w:rsidRDefault="00850229">
            <w:pPr>
              <w:pStyle w:val="NoSpacing"/>
            </w:pPr>
            <w:r>
              <w:t>Work needed to keep the orchestrator current and supported: control-plane versions, add-ons and platform patching</w:t>
            </w:r>
          </w:p>
        </w:tc>
        <w:tc>
          <w:tcPr>
            <w:tcW w:w="3067" w:type="dxa"/>
            <w:tcBorders>
              <w:top w:val="dotted" w:sz="4" w:space="0" w:color="auto"/>
              <w:left w:val="dotted" w:sz="4" w:space="0" w:color="auto"/>
              <w:bottom w:val="dotted" w:sz="4" w:space="0" w:color="auto"/>
              <w:right w:val="dotted" w:sz="4" w:space="0" w:color="auto"/>
            </w:tcBorders>
          </w:tcPr>
          <w:p w14:paraId="7366CD9A" w14:textId="77777777" w:rsidR="00932AC5" w:rsidRDefault="00850229">
            <w:pPr>
              <w:pStyle w:val="NoSpacing"/>
            </w:pPr>
            <w:r>
              <w:t>NFR 4 requires maintainability and upgradeability. A shortfall degrades operation and adds cost, but does not fail a requirement outright.</w:t>
            </w:r>
          </w:p>
        </w:tc>
      </w:tr>
      <w:tr w:rsidR="00932AC5" w14:paraId="689BD032" w14:textId="77777777">
        <w:trPr>
          <w:cantSplit/>
        </w:trPr>
        <w:tc>
          <w:tcPr>
            <w:tcW w:w="2140" w:type="dxa"/>
            <w:tcBorders>
              <w:top w:val="dotted" w:sz="4" w:space="0" w:color="auto"/>
              <w:left w:val="dotted" w:sz="4" w:space="0" w:color="auto"/>
              <w:bottom w:val="dotted" w:sz="4" w:space="0" w:color="auto"/>
              <w:right w:val="dotted" w:sz="4" w:space="0" w:color="auto"/>
            </w:tcBorders>
          </w:tcPr>
          <w:p w14:paraId="4230AADA" w14:textId="77777777" w:rsidR="00932AC5" w:rsidRDefault="00850229">
            <w:pPr>
              <w:pStyle w:val="NoSpacing"/>
            </w:pPr>
            <w:r>
              <w:t>Flexibility</w:t>
            </w:r>
          </w:p>
        </w:tc>
        <w:tc>
          <w:tcPr>
            <w:tcW w:w="1060" w:type="dxa"/>
            <w:tcBorders>
              <w:top w:val="dotted" w:sz="4" w:space="0" w:color="auto"/>
              <w:left w:val="dotted" w:sz="4" w:space="0" w:color="auto"/>
              <w:bottom w:val="dotted" w:sz="4" w:space="0" w:color="auto"/>
              <w:right w:val="dotted" w:sz="4" w:space="0" w:color="auto"/>
            </w:tcBorders>
          </w:tcPr>
          <w:p w14:paraId="601738B9" w14:textId="77777777" w:rsidR="00932AC5" w:rsidRDefault="00850229">
            <w:pPr>
              <w:pStyle w:val="NoSpacing"/>
            </w:pPr>
            <w:r>
              <w:t>5</w:t>
            </w:r>
          </w:p>
        </w:tc>
        <w:tc>
          <w:tcPr>
            <w:tcW w:w="2759" w:type="dxa"/>
            <w:tcBorders>
              <w:top w:val="dotted" w:sz="4" w:space="0" w:color="auto"/>
              <w:left w:val="dotted" w:sz="4" w:space="0" w:color="auto"/>
              <w:bottom w:val="dotted" w:sz="4" w:space="0" w:color="auto"/>
              <w:right w:val="dotted" w:sz="4" w:space="0" w:color="auto"/>
            </w:tcBorders>
          </w:tcPr>
          <w:p w14:paraId="75E7EEA4" w14:textId="77777777" w:rsidR="00932AC5" w:rsidRDefault="00850229">
            <w:pPr>
              <w:pStyle w:val="NoSpacing"/>
            </w:pPr>
            <w:r>
              <w:t>Ability to host every eClaims workload shape and capacity choice under one service model</w:t>
            </w:r>
          </w:p>
        </w:tc>
        <w:tc>
          <w:tcPr>
            <w:tcW w:w="3067" w:type="dxa"/>
            <w:tcBorders>
              <w:top w:val="dotted" w:sz="4" w:space="0" w:color="auto"/>
              <w:left w:val="dotted" w:sz="4" w:space="0" w:color="auto"/>
              <w:bottom w:val="dotted" w:sz="4" w:space="0" w:color="auto"/>
              <w:right w:val="dotted" w:sz="4" w:space="0" w:color="auto"/>
            </w:tcBorders>
          </w:tcPr>
          <w:p w14:paraId="5DBAF6D2" w14:textId="77777777" w:rsidR="00932AC5" w:rsidRDefault="00850229">
            <w:pPr>
              <w:pStyle w:val="NoSpacing"/>
            </w:pPr>
            <w:r>
              <w:t>The case study requires a design for evolution, flexibility and reuse (Section 5). A workload the orchestrator cannot host must run somewhere else.</w:t>
            </w:r>
          </w:p>
        </w:tc>
      </w:tr>
      <w:tr w:rsidR="00932AC5" w14:paraId="2D3C1B83" w14:textId="77777777">
        <w:trPr>
          <w:cantSplit/>
        </w:trPr>
        <w:tc>
          <w:tcPr>
            <w:tcW w:w="2140" w:type="dxa"/>
            <w:tcBorders>
              <w:top w:val="dotted" w:sz="4" w:space="0" w:color="auto"/>
              <w:left w:val="dotted" w:sz="4" w:space="0" w:color="auto"/>
              <w:bottom w:val="dotted" w:sz="4" w:space="0" w:color="auto"/>
              <w:right w:val="dotted" w:sz="4" w:space="0" w:color="auto"/>
            </w:tcBorders>
          </w:tcPr>
          <w:p w14:paraId="3C8EFC4F" w14:textId="77777777" w:rsidR="00932AC5" w:rsidRDefault="00850229">
            <w:pPr>
              <w:pStyle w:val="NoSpacing"/>
            </w:pPr>
            <w:r>
              <w:lastRenderedPageBreak/>
              <w:t>Security</w:t>
            </w:r>
          </w:p>
        </w:tc>
        <w:tc>
          <w:tcPr>
            <w:tcW w:w="1060" w:type="dxa"/>
            <w:tcBorders>
              <w:top w:val="dotted" w:sz="4" w:space="0" w:color="auto"/>
              <w:left w:val="dotted" w:sz="4" w:space="0" w:color="auto"/>
              <w:bottom w:val="dotted" w:sz="4" w:space="0" w:color="auto"/>
              <w:right w:val="dotted" w:sz="4" w:space="0" w:color="auto"/>
            </w:tcBorders>
          </w:tcPr>
          <w:p w14:paraId="54723CFD" w14:textId="77777777" w:rsidR="00932AC5" w:rsidRDefault="00850229">
            <w:pPr>
              <w:pStyle w:val="NoSpacing"/>
            </w:pPr>
            <w:r>
              <w:t>3</w:t>
            </w:r>
          </w:p>
        </w:tc>
        <w:tc>
          <w:tcPr>
            <w:tcW w:w="2759" w:type="dxa"/>
            <w:tcBorders>
              <w:top w:val="dotted" w:sz="4" w:space="0" w:color="auto"/>
              <w:left w:val="dotted" w:sz="4" w:space="0" w:color="auto"/>
              <w:bottom w:val="dotted" w:sz="4" w:space="0" w:color="auto"/>
              <w:right w:val="dotted" w:sz="4" w:space="0" w:color="auto"/>
            </w:tcBorders>
          </w:tcPr>
          <w:p w14:paraId="3D9A8B07" w14:textId="77777777" w:rsidR="00932AC5" w:rsidRDefault="00850229">
            <w:pPr>
              <w:pStyle w:val="NoSpacing"/>
            </w:pPr>
            <w:r>
              <w:t>Per-service identity, secret delivery, network isolation, and the attack surface the team must secure</w:t>
            </w:r>
          </w:p>
        </w:tc>
        <w:tc>
          <w:tcPr>
            <w:tcW w:w="3067" w:type="dxa"/>
            <w:tcBorders>
              <w:top w:val="dotted" w:sz="4" w:space="0" w:color="auto"/>
              <w:left w:val="dotted" w:sz="4" w:space="0" w:color="auto"/>
              <w:bottom w:val="dotted" w:sz="4" w:space="0" w:color="auto"/>
              <w:right w:val="dotted" w:sz="4" w:space="0" w:color="auto"/>
            </w:tcBorders>
          </w:tcPr>
          <w:p w14:paraId="6CD47291" w14:textId="77777777" w:rsidR="00932AC5" w:rsidRDefault="00850229">
            <w:pPr>
              <w:pStyle w:val="NoSpacing"/>
            </w:pPr>
            <w:r>
              <w:t>FR 2, FR 5 and NFR 5 apply, and both options can meet them. The attribute measures effort and attack surface, not compliance.</w:t>
            </w:r>
          </w:p>
        </w:tc>
      </w:tr>
      <w:tr w:rsidR="00932AC5" w14:paraId="2AED2C85" w14:textId="77777777">
        <w:trPr>
          <w:cantSplit/>
        </w:trPr>
        <w:tc>
          <w:tcPr>
            <w:tcW w:w="2140" w:type="dxa"/>
            <w:tcBorders>
              <w:top w:val="dotted" w:sz="4" w:space="0" w:color="auto"/>
              <w:left w:val="dotted" w:sz="4" w:space="0" w:color="auto"/>
              <w:bottom w:val="dotted" w:sz="4" w:space="0" w:color="auto"/>
              <w:right w:val="dotted" w:sz="4" w:space="0" w:color="auto"/>
            </w:tcBorders>
          </w:tcPr>
          <w:p w14:paraId="75F84DB9" w14:textId="77777777" w:rsidR="00932AC5" w:rsidRDefault="00850229">
            <w:pPr>
              <w:pStyle w:val="NoSpacing"/>
            </w:pPr>
            <w:r>
              <w:t>Portability</w:t>
            </w:r>
          </w:p>
        </w:tc>
        <w:tc>
          <w:tcPr>
            <w:tcW w:w="1060" w:type="dxa"/>
            <w:tcBorders>
              <w:top w:val="dotted" w:sz="4" w:space="0" w:color="auto"/>
              <w:left w:val="dotted" w:sz="4" w:space="0" w:color="auto"/>
              <w:bottom w:val="dotted" w:sz="4" w:space="0" w:color="auto"/>
              <w:right w:val="dotted" w:sz="4" w:space="0" w:color="auto"/>
            </w:tcBorders>
          </w:tcPr>
          <w:p w14:paraId="51CAA9F1" w14:textId="77777777" w:rsidR="00932AC5" w:rsidRDefault="00850229">
            <w:pPr>
              <w:pStyle w:val="NoSpacing"/>
            </w:pPr>
            <w:r>
              <w:t>5</w:t>
            </w:r>
          </w:p>
        </w:tc>
        <w:tc>
          <w:tcPr>
            <w:tcW w:w="2759" w:type="dxa"/>
            <w:tcBorders>
              <w:top w:val="dotted" w:sz="4" w:space="0" w:color="auto"/>
              <w:left w:val="dotted" w:sz="4" w:space="0" w:color="auto"/>
              <w:bottom w:val="dotted" w:sz="4" w:space="0" w:color="auto"/>
              <w:right w:val="dotted" w:sz="4" w:space="0" w:color="auto"/>
            </w:tcBorders>
          </w:tcPr>
          <w:p w14:paraId="66E66694" w14:textId="77777777" w:rsidR="00932AC5" w:rsidRDefault="00850229">
            <w:pPr>
              <w:pStyle w:val="NoSpacing"/>
            </w:pPr>
            <w:r>
              <w:t>How far the deployment definitions, not only the images, move to on-premise or to another cloud without rework</w:t>
            </w:r>
          </w:p>
        </w:tc>
        <w:tc>
          <w:tcPr>
            <w:tcW w:w="3067" w:type="dxa"/>
            <w:tcBorders>
              <w:top w:val="dotted" w:sz="4" w:space="0" w:color="auto"/>
              <w:left w:val="dotted" w:sz="4" w:space="0" w:color="auto"/>
              <w:bottom w:val="dotted" w:sz="4" w:space="0" w:color="auto"/>
              <w:right w:val="dotted" w:sz="4" w:space="0" w:color="auto"/>
            </w:tcBorders>
          </w:tcPr>
          <w:p w14:paraId="2FFA286A" w14:textId="77777777" w:rsidR="00932AC5" w:rsidRDefault="00850229">
            <w:pPr>
              <w:pStyle w:val="NoSpacing"/>
            </w:pPr>
            <w:r>
              <w:t>NFR 2 plainly requires both on-premise and cloud deployment, so the attribute carries the top weight.</w:t>
            </w:r>
          </w:p>
        </w:tc>
      </w:tr>
      <w:tr w:rsidR="00932AC5" w14:paraId="77B23AF7" w14:textId="77777777">
        <w:trPr>
          <w:cantSplit/>
        </w:trPr>
        <w:tc>
          <w:tcPr>
            <w:tcW w:w="2140" w:type="dxa"/>
            <w:tcBorders>
              <w:top w:val="dotted" w:sz="4" w:space="0" w:color="auto"/>
              <w:left w:val="dotted" w:sz="4" w:space="0" w:color="auto"/>
              <w:bottom w:val="dotted" w:sz="4" w:space="0" w:color="auto"/>
              <w:right w:val="dotted" w:sz="4" w:space="0" w:color="auto"/>
            </w:tcBorders>
          </w:tcPr>
          <w:p w14:paraId="67D1C521" w14:textId="77777777" w:rsidR="00932AC5" w:rsidRDefault="00850229">
            <w:pPr>
              <w:pStyle w:val="NoSpacing"/>
            </w:pPr>
            <w:r>
              <w:t>Control</w:t>
            </w:r>
          </w:p>
        </w:tc>
        <w:tc>
          <w:tcPr>
            <w:tcW w:w="1060" w:type="dxa"/>
            <w:tcBorders>
              <w:top w:val="dotted" w:sz="4" w:space="0" w:color="auto"/>
              <w:left w:val="dotted" w:sz="4" w:space="0" w:color="auto"/>
              <w:bottom w:val="dotted" w:sz="4" w:space="0" w:color="auto"/>
              <w:right w:val="dotted" w:sz="4" w:space="0" w:color="auto"/>
            </w:tcBorders>
          </w:tcPr>
          <w:p w14:paraId="75846285" w14:textId="77777777" w:rsidR="00932AC5" w:rsidRDefault="00850229">
            <w:pPr>
              <w:pStyle w:val="NoSpacing"/>
            </w:pPr>
            <w:r>
              <w:t>3</w:t>
            </w:r>
          </w:p>
        </w:tc>
        <w:tc>
          <w:tcPr>
            <w:tcW w:w="2759" w:type="dxa"/>
            <w:tcBorders>
              <w:top w:val="dotted" w:sz="4" w:space="0" w:color="auto"/>
              <w:left w:val="dotted" w:sz="4" w:space="0" w:color="auto"/>
              <w:bottom w:val="dotted" w:sz="4" w:space="0" w:color="auto"/>
              <w:right w:val="dotted" w:sz="4" w:space="0" w:color="auto"/>
            </w:tcBorders>
          </w:tcPr>
          <w:p w14:paraId="72C478DB" w14:textId="77777777" w:rsidR="00932AC5" w:rsidRDefault="00850229">
            <w:pPr>
              <w:pStyle w:val="NoSpacing"/>
            </w:pPr>
            <w:r>
              <w:t>Depth of control over scheduling, placement, admission policy, and extension through custom resources and operators</w:t>
            </w:r>
          </w:p>
        </w:tc>
        <w:tc>
          <w:tcPr>
            <w:tcW w:w="3067" w:type="dxa"/>
            <w:tcBorders>
              <w:top w:val="dotted" w:sz="4" w:space="0" w:color="auto"/>
              <w:left w:val="dotted" w:sz="4" w:space="0" w:color="auto"/>
              <w:bottom w:val="dotted" w:sz="4" w:space="0" w:color="auto"/>
              <w:right w:val="dotted" w:sz="4" w:space="0" w:color="auto"/>
            </w:tcBorders>
          </w:tcPr>
          <w:p w14:paraId="765D632A" w14:textId="77777777" w:rsidR="00932AC5" w:rsidRDefault="00850229">
            <w:pPr>
              <w:pStyle w:val="NoSpacing"/>
            </w:pPr>
            <w:r>
              <w:t>The eClaims services are uniform, stateless HTTP services. Advanced scheduling is headroom rather than a requirement.</w:t>
            </w:r>
          </w:p>
        </w:tc>
      </w:tr>
      <w:tr w:rsidR="00932AC5" w14:paraId="7A61292C" w14:textId="77777777">
        <w:trPr>
          <w:cantSplit/>
        </w:trPr>
        <w:tc>
          <w:tcPr>
            <w:tcW w:w="2140" w:type="dxa"/>
            <w:tcBorders>
              <w:top w:val="dotted" w:sz="4" w:space="0" w:color="auto"/>
              <w:left w:val="dotted" w:sz="4" w:space="0" w:color="auto"/>
              <w:bottom w:val="dotted" w:sz="4" w:space="0" w:color="auto"/>
              <w:right w:val="dotted" w:sz="4" w:space="0" w:color="auto"/>
            </w:tcBorders>
          </w:tcPr>
          <w:p w14:paraId="0B8D078D" w14:textId="77777777" w:rsidR="00932AC5" w:rsidRDefault="00850229">
            <w:pPr>
              <w:pStyle w:val="NoSpacing"/>
            </w:pPr>
            <w:r>
              <w:t>Complexity (5 = simplest)</w:t>
            </w:r>
          </w:p>
        </w:tc>
        <w:tc>
          <w:tcPr>
            <w:tcW w:w="1060" w:type="dxa"/>
            <w:tcBorders>
              <w:top w:val="dotted" w:sz="4" w:space="0" w:color="auto"/>
              <w:left w:val="dotted" w:sz="4" w:space="0" w:color="auto"/>
              <w:bottom w:val="dotted" w:sz="4" w:space="0" w:color="auto"/>
              <w:right w:val="dotted" w:sz="4" w:space="0" w:color="auto"/>
            </w:tcBorders>
          </w:tcPr>
          <w:p w14:paraId="3C675C67" w14:textId="77777777" w:rsidR="00932AC5" w:rsidRDefault="00850229">
            <w:pPr>
              <w:pStyle w:val="NoSpacing"/>
            </w:pPr>
            <w:r>
              <w:t>4</w:t>
            </w:r>
          </w:p>
        </w:tc>
        <w:tc>
          <w:tcPr>
            <w:tcW w:w="2759" w:type="dxa"/>
            <w:tcBorders>
              <w:top w:val="dotted" w:sz="4" w:space="0" w:color="auto"/>
              <w:left w:val="dotted" w:sz="4" w:space="0" w:color="auto"/>
              <w:bottom w:val="dotted" w:sz="4" w:space="0" w:color="auto"/>
              <w:right w:val="dotted" w:sz="4" w:space="0" w:color="auto"/>
            </w:tcBorders>
          </w:tcPr>
          <w:p w14:paraId="6450AD63" w14:textId="77777777" w:rsidR="00932AC5" w:rsidRDefault="00850229">
            <w:pPr>
              <w:pStyle w:val="NoSpacing"/>
            </w:pPr>
            <w:r>
              <w:t>The concepts, tools and skills the team must master to run the platform safely</w:t>
            </w:r>
          </w:p>
        </w:tc>
        <w:tc>
          <w:tcPr>
            <w:tcW w:w="3067" w:type="dxa"/>
            <w:tcBorders>
              <w:top w:val="dotted" w:sz="4" w:space="0" w:color="auto"/>
              <w:left w:val="dotted" w:sz="4" w:space="0" w:color="auto"/>
              <w:bottom w:val="dotted" w:sz="4" w:space="0" w:color="auto"/>
              <w:right w:val="dotted" w:sz="4" w:space="0" w:color="auto"/>
            </w:tcBorders>
          </w:tcPr>
          <w:p w14:paraId="0618A43B" w14:textId="77777777" w:rsidR="00932AC5" w:rsidRDefault="00850229">
            <w:pPr>
              <w:pStyle w:val="NoSpacing"/>
            </w:pPr>
            <w:r>
              <w:t>A steeper learning curve slows delivery and raises operational risk for a lean team that runs the platform 24×7.</w:t>
            </w:r>
          </w:p>
        </w:tc>
      </w:tr>
      <w:tr w:rsidR="00932AC5" w14:paraId="57A336FD" w14:textId="77777777">
        <w:trPr>
          <w:cantSplit/>
        </w:trPr>
        <w:tc>
          <w:tcPr>
            <w:tcW w:w="2140" w:type="dxa"/>
            <w:tcBorders>
              <w:top w:val="dotted" w:sz="4" w:space="0" w:color="auto"/>
              <w:left w:val="dotted" w:sz="4" w:space="0" w:color="auto"/>
              <w:bottom w:val="dotted" w:sz="4" w:space="0" w:color="auto"/>
              <w:right w:val="dotted" w:sz="4" w:space="0" w:color="auto"/>
            </w:tcBorders>
          </w:tcPr>
          <w:p w14:paraId="7C757098" w14:textId="77777777" w:rsidR="00932AC5" w:rsidRDefault="00850229">
            <w:pPr>
              <w:pStyle w:val="NoSpacing"/>
            </w:pPr>
            <w:r>
              <w:t>Total</w:t>
            </w:r>
          </w:p>
        </w:tc>
        <w:tc>
          <w:tcPr>
            <w:tcW w:w="1060" w:type="dxa"/>
            <w:tcBorders>
              <w:top w:val="dotted" w:sz="4" w:space="0" w:color="auto"/>
              <w:left w:val="dotted" w:sz="4" w:space="0" w:color="auto"/>
              <w:bottom w:val="dotted" w:sz="4" w:space="0" w:color="auto"/>
              <w:right w:val="dotted" w:sz="4" w:space="0" w:color="auto"/>
            </w:tcBorders>
          </w:tcPr>
          <w:p w14:paraId="406D81E9" w14:textId="77777777" w:rsidR="00932AC5" w:rsidRDefault="00850229">
            <w:pPr>
              <w:pStyle w:val="NoSpacing"/>
            </w:pPr>
            <w:r>
              <w:t>29</w:t>
            </w:r>
          </w:p>
        </w:tc>
        <w:tc>
          <w:tcPr>
            <w:tcW w:w="2759" w:type="dxa"/>
            <w:tcBorders>
              <w:top w:val="dotted" w:sz="4" w:space="0" w:color="auto"/>
              <w:left w:val="dotted" w:sz="4" w:space="0" w:color="auto"/>
              <w:bottom w:val="dotted" w:sz="4" w:space="0" w:color="auto"/>
              <w:right w:val="dotted" w:sz="4" w:space="0" w:color="auto"/>
            </w:tcBorders>
          </w:tcPr>
          <w:p w14:paraId="441DA9E0" w14:textId="77777777" w:rsidR="00932AC5" w:rsidRDefault="00932AC5">
            <w:pPr>
              <w:pStyle w:val="NoSpacing"/>
            </w:pPr>
          </w:p>
        </w:tc>
        <w:tc>
          <w:tcPr>
            <w:tcW w:w="3067" w:type="dxa"/>
            <w:tcBorders>
              <w:top w:val="dotted" w:sz="4" w:space="0" w:color="auto"/>
              <w:left w:val="dotted" w:sz="4" w:space="0" w:color="auto"/>
              <w:bottom w:val="dotted" w:sz="4" w:space="0" w:color="auto"/>
              <w:right w:val="dotted" w:sz="4" w:space="0" w:color="auto"/>
            </w:tcBorders>
          </w:tcPr>
          <w:p w14:paraId="410AD53C" w14:textId="77777777" w:rsidR="00932AC5" w:rsidRDefault="00932AC5">
            <w:pPr>
              <w:pStyle w:val="NoSpacing"/>
            </w:pPr>
          </w:p>
        </w:tc>
      </w:tr>
    </w:tbl>
    <w:p w14:paraId="2B8159BC" w14:textId="77777777" w:rsidR="00932AC5" w:rsidRDefault="00932AC5"/>
    <w:p w14:paraId="1C5C4243" w14:textId="77777777" w:rsidR="00932AC5" w:rsidRDefault="00850229">
      <w:r>
        <w:t>Scoring legend: 5 = excellent, 4 = strong, 3 = adequate, 2 = limited, 1 = minimal. Scores measure fit to the eClaims requirement, not absolute product quality. For Complexity, 5 denotes the simplest option.</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389"/>
        <w:gridCol w:w="1545"/>
        <w:gridCol w:w="2046"/>
        <w:gridCol w:w="2046"/>
      </w:tblGrid>
      <w:tr w:rsidR="00932AC5" w14:paraId="61F54378" w14:textId="77777777">
        <w:trPr>
          <w:cantSplit/>
          <w:tblHeader/>
        </w:trPr>
        <w:tc>
          <w:tcPr>
            <w:tcW w:w="3389" w:type="dxa"/>
            <w:tcBorders>
              <w:top w:val="dotted" w:sz="4" w:space="0" w:color="auto"/>
              <w:left w:val="dotted" w:sz="4" w:space="0" w:color="auto"/>
              <w:bottom w:val="dotted" w:sz="4" w:space="0" w:color="auto"/>
              <w:right w:val="dotted" w:sz="4" w:space="0" w:color="auto"/>
            </w:tcBorders>
            <w:shd w:val="pct5" w:color="auto" w:fill="auto"/>
          </w:tcPr>
          <w:p w14:paraId="1A66CA53" w14:textId="77777777" w:rsidR="00932AC5" w:rsidRDefault="00850229">
            <w:pPr>
              <w:pStyle w:val="NoSpacing"/>
            </w:pPr>
            <w:r>
              <w:rPr>
                <w:b/>
              </w:rPr>
              <w:t>Feature</w:t>
            </w:r>
          </w:p>
        </w:tc>
        <w:tc>
          <w:tcPr>
            <w:tcW w:w="1545" w:type="dxa"/>
            <w:tcBorders>
              <w:top w:val="dotted" w:sz="4" w:space="0" w:color="auto"/>
              <w:left w:val="dotted" w:sz="4" w:space="0" w:color="auto"/>
              <w:bottom w:val="dotted" w:sz="4" w:space="0" w:color="auto"/>
              <w:right w:val="dotted" w:sz="4" w:space="0" w:color="auto"/>
            </w:tcBorders>
            <w:shd w:val="pct5" w:color="auto" w:fill="auto"/>
          </w:tcPr>
          <w:p w14:paraId="746C9EA7" w14:textId="77777777" w:rsidR="00932AC5" w:rsidRDefault="00850229">
            <w:pPr>
              <w:pStyle w:val="NoSpacing"/>
            </w:pPr>
            <w:r>
              <w:rPr>
                <w:b/>
              </w:rPr>
              <w:t>Weight</w:t>
            </w:r>
          </w:p>
        </w:tc>
        <w:tc>
          <w:tcPr>
            <w:tcW w:w="2046" w:type="dxa"/>
            <w:tcBorders>
              <w:top w:val="dotted" w:sz="4" w:space="0" w:color="auto"/>
              <w:left w:val="dotted" w:sz="4" w:space="0" w:color="auto"/>
              <w:bottom w:val="dotted" w:sz="4" w:space="0" w:color="auto"/>
              <w:right w:val="dotted" w:sz="4" w:space="0" w:color="auto"/>
            </w:tcBorders>
            <w:shd w:val="pct5" w:color="auto" w:fill="auto"/>
          </w:tcPr>
          <w:p w14:paraId="060F57F8" w14:textId="77777777" w:rsidR="00932AC5" w:rsidRDefault="00850229">
            <w:pPr>
              <w:pStyle w:val="NoSpacing"/>
            </w:pPr>
            <w:r>
              <w:rPr>
                <w:b/>
              </w:rPr>
              <w:t xml:space="preserve">Amazon ECS </w:t>
            </w:r>
            <w:r>
              <w:rPr>
                <w:rFonts w:ascii="Wingdings" w:hAnsi="Wingdings"/>
                <w:b/>
                <w:color w:val="00B050"/>
                <w:sz w:val="24"/>
                <w:szCs w:val="24"/>
              </w:rPr>
              <w:t></w:t>
            </w:r>
          </w:p>
        </w:tc>
        <w:tc>
          <w:tcPr>
            <w:tcW w:w="2046" w:type="dxa"/>
            <w:tcBorders>
              <w:top w:val="dotted" w:sz="4" w:space="0" w:color="auto"/>
              <w:left w:val="dotted" w:sz="4" w:space="0" w:color="auto"/>
              <w:bottom w:val="dotted" w:sz="4" w:space="0" w:color="auto"/>
              <w:right w:val="dotted" w:sz="4" w:space="0" w:color="auto"/>
            </w:tcBorders>
            <w:shd w:val="pct5" w:color="auto" w:fill="auto"/>
          </w:tcPr>
          <w:p w14:paraId="15AE7CC5" w14:textId="77777777" w:rsidR="00932AC5" w:rsidRDefault="00850229">
            <w:pPr>
              <w:pStyle w:val="NoSpacing"/>
            </w:pPr>
            <w:r>
              <w:rPr>
                <w:b/>
              </w:rPr>
              <w:t>Amazon EKS</w:t>
            </w:r>
          </w:p>
        </w:tc>
      </w:tr>
      <w:tr w:rsidR="00932AC5" w14:paraId="74378E25" w14:textId="77777777">
        <w:trPr>
          <w:cantSplit/>
        </w:trPr>
        <w:tc>
          <w:tcPr>
            <w:tcW w:w="3389" w:type="dxa"/>
            <w:tcBorders>
              <w:top w:val="dotted" w:sz="4" w:space="0" w:color="auto"/>
              <w:left w:val="dotted" w:sz="4" w:space="0" w:color="auto"/>
              <w:bottom w:val="dotted" w:sz="4" w:space="0" w:color="auto"/>
              <w:right w:val="dotted" w:sz="4" w:space="0" w:color="auto"/>
            </w:tcBorders>
          </w:tcPr>
          <w:p w14:paraId="192A2B63" w14:textId="77777777" w:rsidR="00932AC5" w:rsidRDefault="00850229">
            <w:pPr>
              <w:pStyle w:val="NoSpacing"/>
            </w:pPr>
            <w:r>
              <w:t>Cost</w:t>
            </w:r>
          </w:p>
        </w:tc>
        <w:tc>
          <w:tcPr>
            <w:tcW w:w="1545" w:type="dxa"/>
            <w:tcBorders>
              <w:top w:val="dotted" w:sz="4" w:space="0" w:color="auto"/>
              <w:left w:val="dotted" w:sz="4" w:space="0" w:color="auto"/>
              <w:bottom w:val="dotted" w:sz="4" w:space="0" w:color="auto"/>
              <w:right w:val="dotted" w:sz="4" w:space="0" w:color="auto"/>
            </w:tcBorders>
          </w:tcPr>
          <w:p w14:paraId="01CF31D0" w14:textId="77777777" w:rsidR="00932AC5" w:rsidRDefault="00850229">
            <w:pPr>
              <w:pStyle w:val="NoSpacing"/>
            </w:pPr>
            <w:r>
              <w:t>5</w:t>
            </w:r>
          </w:p>
        </w:tc>
        <w:tc>
          <w:tcPr>
            <w:tcW w:w="2046" w:type="dxa"/>
            <w:tcBorders>
              <w:top w:val="dotted" w:sz="4" w:space="0" w:color="auto"/>
              <w:left w:val="dotted" w:sz="4" w:space="0" w:color="auto"/>
              <w:bottom w:val="dotted" w:sz="4" w:space="0" w:color="auto"/>
              <w:right w:val="dotted" w:sz="4" w:space="0" w:color="auto"/>
            </w:tcBorders>
          </w:tcPr>
          <w:p w14:paraId="04B69890" w14:textId="77777777" w:rsidR="00932AC5" w:rsidRDefault="00850229">
            <w:pPr>
              <w:pStyle w:val="NoSpacing"/>
            </w:pPr>
            <w:r>
              <w:t>5</w:t>
            </w:r>
          </w:p>
        </w:tc>
        <w:tc>
          <w:tcPr>
            <w:tcW w:w="2046" w:type="dxa"/>
            <w:tcBorders>
              <w:top w:val="dotted" w:sz="4" w:space="0" w:color="auto"/>
              <w:left w:val="dotted" w:sz="4" w:space="0" w:color="auto"/>
              <w:bottom w:val="dotted" w:sz="4" w:space="0" w:color="auto"/>
              <w:right w:val="dotted" w:sz="4" w:space="0" w:color="auto"/>
            </w:tcBorders>
          </w:tcPr>
          <w:p w14:paraId="6C076EEE" w14:textId="77777777" w:rsidR="00932AC5" w:rsidRDefault="00850229">
            <w:pPr>
              <w:pStyle w:val="NoSpacing"/>
            </w:pPr>
            <w:r>
              <w:t>3</w:t>
            </w:r>
          </w:p>
        </w:tc>
      </w:tr>
      <w:tr w:rsidR="00932AC5" w14:paraId="16BEE250" w14:textId="77777777">
        <w:trPr>
          <w:cantSplit/>
        </w:trPr>
        <w:tc>
          <w:tcPr>
            <w:tcW w:w="3389" w:type="dxa"/>
            <w:tcBorders>
              <w:top w:val="dotted" w:sz="4" w:space="0" w:color="auto"/>
              <w:left w:val="dotted" w:sz="4" w:space="0" w:color="auto"/>
              <w:bottom w:val="dotted" w:sz="4" w:space="0" w:color="auto"/>
              <w:right w:val="dotted" w:sz="4" w:space="0" w:color="auto"/>
            </w:tcBorders>
          </w:tcPr>
          <w:p w14:paraId="12550F84" w14:textId="77777777" w:rsidR="00932AC5" w:rsidRDefault="00850229">
            <w:pPr>
              <w:pStyle w:val="NoSpacing"/>
            </w:pPr>
            <w:r>
              <w:t>Maintainability</w:t>
            </w:r>
          </w:p>
        </w:tc>
        <w:tc>
          <w:tcPr>
            <w:tcW w:w="1545" w:type="dxa"/>
            <w:tcBorders>
              <w:top w:val="dotted" w:sz="4" w:space="0" w:color="auto"/>
              <w:left w:val="dotted" w:sz="4" w:space="0" w:color="auto"/>
              <w:bottom w:val="dotted" w:sz="4" w:space="0" w:color="auto"/>
              <w:right w:val="dotted" w:sz="4" w:space="0" w:color="auto"/>
            </w:tcBorders>
          </w:tcPr>
          <w:p w14:paraId="6440E7FC" w14:textId="77777777" w:rsidR="00932AC5" w:rsidRDefault="00850229">
            <w:pPr>
              <w:pStyle w:val="NoSpacing"/>
            </w:pPr>
            <w:r>
              <w:t>4</w:t>
            </w:r>
          </w:p>
        </w:tc>
        <w:tc>
          <w:tcPr>
            <w:tcW w:w="2046" w:type="dxa"/>
            <w:tcBorders>
              <w:top w:val="dotted" w:sz="4" w:space="0" w:color="auto"/>
              <w:left w:val="dotted" w:sz="4" w:space="0" w:color="auto"/>
              <w:bottom w:val="dotted" w:sz="4" w:space="0" w:color="auto"/>
              <w:right w:val="dotted" w:sz="4" w:space="0" w:color="auto"/>
            </w:tcBorders>
          </w:tcPr>
          <w:p w14:paraId="29108EC2" w14:textId="77777777" w:rsidR="00932AC5" w:rsidRDefault="00850229">
            <w:pPr>
              <w:pStyle w:val="NoSpacing"/>
            </w:pPr>
            <w:r>
              <w:t>5</w:t>
            </w:r>
          </w:p>
        </w:tc>
        <w:tc>
          <w:tcPr>
            <w:tcW w:w="2046" w:type="dxa"/>
            <w:tcBorders>
              <w:top w:val="dotted" w:sz="4" w:space="0" w:color="auto"/>
              <w:left w:val="dotted" w:sz="4" w:space="0" w:color="auto"/>
              <w:bottom w:val="dotted" w:sz="4" w:space="0" w:color="auto"/>
              <w:right w:val="dotted" w:sz="4" w:space="0" w:color="auto"/>
            </w:tcBorders>
          </w:tcPr>
          <w:p w14:paraId="7B4164A4" w14:textId="77777777" w:rsidR="00932AC5" w:rsidRDefault="00850229">
            <w:pPr>
              <w:pStyle w:val="NoSpacing"/>
            </w:pPr>
            <w:r>
              <w:t>4</w:t>
            </w:r>
          </w:p>
        </w:tc>
      </w:tr>
      <w:tr w:rsidR="00932AC5" w14:paraId="585803BA" w14:textId="77777777">
        <w:trPr>
          <w:cantSplit/>
        </w:trPr>
        <w:tc>
          <w:tcPr>
            <w:tcW w:w="3389" w:type="dxa"/>
            <w:tcBorders>
              <w:top w:val="dotted" w:sz="4" w:space="0" w:color="auto"/>
              <w:left w:val="dotted" w:sz="4" w:space="0" w:color="auto"/>
              <w:bottom w:val="dotted" w:sz="4" w:space="0" w:color="auto"/>
              <w:right w:val="dotted" w:sz="4" w:space="0" w:color="auto"/>
            </w:tcBorders>
          </w:tcPr>
          <w:p w14:paraId="33FCDEEB" w14:textId="77777777" w:rsidR="00932AC5" w:rsidRDefault="00850229">
            <w:pPr>
              <w:pStyle w:val="NoSpacing"/>
            </w:pPr>
            <w:r>
              <w:t>Flexibility</w:t>
            </w:r>
          </w:p>
        </w:tc>
        <w:tc>
          <w:tcPr>
            <w:tcW w:w="1545" w:type="dxa"/>
            <w:tcBorders>
              <w:top w:val="dotted" w:sz="4" w:space="0" w:color="auto"/>
              <w:left w:val="dotted" w:sz="4" w:space="0" w:color="auto"/>
              <w:bottom w:val="dotted" w:sz="4" w:space="0" w:color="auto"/>
              <w:right w:val="dotted" w:sz="4" w:space="0" w:color="auto"/>
            </w:tcBorders>
          </w:tcPr>
          <w:p w14:paraId="0700BEA2" w14:textId="77777777" w:rsidR="00932AC5" w:rsidRDefault="00850229">
            <w:pPr>
              <w:pStyle w:val="NoSpacing"/>
            </w:pPr>
            <w:r>
              <w:t>5</w:t>
            </w:r>
          </w:p>
        </w:tc>
        <w:tc>
          <w:tcPr>
            <w:tcW w:w="2046" w:type="dxa"/>
            <w:tcBorders>
              <w:top w:val="dotted" w:sz="4" w:space="0" w:color="auto"/>
              <w:left w:val="dotted" w:sz="4" w:space="0" w:color="auto"/>
              <w:bottom w:val="dotted" w:sz="4" w:space="0" w:color="auto"/>
              <w:right w:val="dotted" w:sz="4" w:space="0" w:color="auto"/>
            </w:tcBorders>
          </w:tcPr>
          <w:p w14:paraId="429DF77C" w14:textId="77777777" w:rsidR="00932AC5" w:rsidRDefault="00850229">
            <w:pPr>
              <w:pStyle w:val="NoSpacing"/>
            </w:pPr>
            <w:r>
              <w:t>5</w:t>
            </w:r>
          </w:p>
        </w:tc>
        <w:tc>
          <w:tcPr>
            <w:tcW w:w="2046" w:type="dxa"/>
            <w:tcBorders>
              <w:top w:val="dotted" w:sz="4" w:space="0" w:color="auto"/>
              <w:left w:val="dotted" w:sz="4" w:space="0" w:color="auto"/>
              <w:bottom w:val="dotted" w:sz="4" w:space="0" w:color="auto"/>
              <w:right w:val="dotted" w:sz="4" w:space="0" w:color="auto"/>
            </w:tcBorders>
          </w:tcPr>
          <w:p w14:paraId="412C3773" w14:textId="77777777" w:rsidR="00932AC5" w:rsidRDefault="00850229">
            <w:pPr>
              <w:pStyle w:val="NoSpacing"/>
            </w:pPr>
            <w:r>
              <w:t>4</w:t>
            </w:r>
          </w:p>
        </w:tc>
      </w:tr>
      <w:tr w:rsidR="00932AC5" w14:paraId="17C66B60" w14:textId="77777777">
        <w:trPr>
          <w:cantSplit/>
        </w:trPr>
        <w:tc>
          <w:tcPr>
            <w:tcW w:w="3389" w:type="dxa"/>
            <w:tcBorders>
              <w:top w:val="dotted" w:sz="4" w:space="0" w:color="auto"/>
              <w:left w:val="dotted" w:sz="4" w:space="0" w:color="auto"/>
              <w:bottom w:val="dotted" w:sz="4" w:space="0" w:color="auto"/>
              <w:right w:val="dotted" w:sz="4" w:space="0" w:color="auto"/>
            </w:tcBorders>
          </w:tcPr>
          <w:p w14:paraId="4393E550" w14:textId="77777777" w:rsidR="00932AC5" w:rsidRDefault="00850229">
            <w:pPr>
              <w:pStyle w:val="NoSpacing"/>
            </w:pPr>
            <w:r>
              <w:t>Security</w:t>
            </w:r>
          </w:p>
        </w:tc>
        <w:tc>
          <w:tcPr>
            <w:tcW w:w="1545" w:type="dxa"/>
            <w:tcBorders>
              <w:top w:val="dotted" w:sz="4" w:space="0" w:color="auto"/>
              <w:left w:val="dotted" w:sz="4" w:space="0" w:color="auto"/>
              <w:bottom w:val="dotted" w:sz="4" w:space="0" w:color="auto"/>
              <w:right w:val="dotted" w:sz="4" w:space="0" w:color="auto"/>
            </w:tcBorders>
          </w:tcPr>
          <w:p w14:paraId="1BD119BD" w14:textId="77777777" w:rsidR="00932AC5" w:rsidRDefault="00850229">
            <w:pPr>
              <w:pStyle w:val="NoSpacing"/>
            </w:pPr>
            <w:r>
              <w:t>3</w:t>
            </w:r>
          </w:p>
        </w:tc>
        <w:tc>
          <w:tcPr>
            <w:tcW w:w="2046" w:type="dxa"/>
            <w:tcBorders>
              <w:top w:val="dotted" w:sz="4" w:space="0" w:color="auto"/>
              <w:left w:val="dotted" w:sz="4" w:space="0" w:color="auto"/>
              <w:bottom w:val="dotted" w:sz="4" w:space="0" w:color="auto"/>
              <w:right w:val="dotted" w:sz="4" w:space="0" w:color="auto"/>
            </w:tcBorders>
          </w:tcPr>
          <w:p w14:paraId="3FD51BD0" w14:textId="77777777" w:rsidR="00932AC5" w:rsidRDefault="00850229">
            <w:pPr>
              <w:pStyle w:val="NoSpacing"/>
            </w:pPr>
            <w:r>
              <w:t>5</w:t>
            </w:r>
          </w:p>
        </w:tc>
        <w:tc>
          <w:tcPr>
            <w:tcW w:w="2046" w:type="dxa"/>
            <w:tcBorders>
              <w:top w:val="dotted" w:sz="4" w:space="0" w:color="auto"/>
              <w:left w:val="dotted" w:sz="4" w:space="0" w:color="auto"/>
              <w:bottom w:val="dotted" w:sz="4" w:space="0" w:color="auto"/>
              <w:right w:val="dotted" w:sz="4" w:space="0" w:color="auto"/>
            </w:tcBorders>
          </w:tcPr>
          <w:p w14:paraId="6D98BE38" w14:textId="77777777" w:rsidR="00932AC5" w:rsidRDefault="00850229">
            <w:pPr>
              <w:pStyle w:val="NoSpacing"/>
            </w:pPr>
            <w:r>
              <w:t>4</w:t>
            </w:r>
          </w:p>
        </w:tc>
      </w:tr>
      <w:tr w:rsidR="00932AC5" w14:paraId="371CD732" w14:textId="77777777">
        <w:trPr>
          <w:cantSplit/>
        </w:trPr>
        <w:tc>
          <w:tcPr>
            <w:tcW w:w="3389" w:type="dxa"/>
            <w:tcBorders>
              <w:top w:val="dotted" w:sz="4" w:space="0" w:color="auto"/>
              <w:left w:val="dotted" w:sz="4" w:space="0" w:color="auto"/>
              <w:bottom w:val="dotted" w:sz="4" w:space="0" w:color="auto"/>
              <w:right w:val="dotted" w:sz="4" w:space="0" w:color="auto"/>
            </w:tcBorders>
          </w:tcPr>
          <w:p w14:paraId="3211ED42" w14:textId="77777777" w:rsidR="00932AC5" w:rsidRDefault="00850229">
            <w:pPr>
              <w:pStyle w:val="NoSpacing"/>
            </w:pPr>
            <w:r>
              <w:t>Portability</w:t>
            </w:r>
          </w:p>
        </w:tc>
        <w:tc>
          <w:tcPr>
            <w:tcW w:w="1545" w:type="dxa"/>
            <w:tcBorders>
              <w:top w:val="dotted" w:sz="4" w:space="0" w:color="auto"/>
              <w:left w:val="dotted" w:sz="4" w:space="0" w:color="auto"/>
              <w:bottom w:val="dotted" w:sz="4" w:space="0" w:color="auto"/>
              <w:right w:val="dotted" w:sz="4" w:space="0" w:color="auto"/>
            </w:tcBorders>
          </w:tcPr>
          <w:p w14:paraId="74C7DD55" w14:textId="77777777" w:rsidR="00932AC5" w:rsidRDefault="00850229">
            <w:pPr>
              <w:pStyle w:val="NoSpacing"/>
            </w:pPr>
            <w:r>
              <w:t>5</w:t>
            </w:r>
          </w:p>
        </w:tc>
        <w:tc>
          <w:tcPr>
            <w:tcW w:w="2046" w:type="dxa"/>
            <w:tcBorders>
              <w:top w:val="dotted" w:sz="4" w:space="0" w:color="auto"/>
              <w:left w:val="dotted" w:sz="4" w:space="0" w:color="auto"/>
              <w:bottom w:val="dotted" w:sz="4" w:space="0" w:color="auto"/>
              <w:right w:val="dotted" w:sz="4" w:space="0" w:color="auto"/>
            </w:tcBorders>
          </w:tcPr>
          <w:p w14:paraId="3282F659" w14:textId="77777777" w:rsidR="00932AC5" w:rsidRDefault="00850229">
            <w:pPr>
              <w:pStyle w:val="NoSpacing"/>
            </w:pPr>
            <w:r>
              <w:t>3</w:t>
            </w:r>
          </w:p>
        </w:tc>
        <w:tc>
          <w:tcPr>
            <w:tcW w:w="2046" w:type="dxa"/>
            <w:tcBorders>
              <w:top w:val="dotted" w:sz="4" w:space="0" w:color="auto"/>
              <w:left w:val="dotted" w:sz="4" w:space="0" w:color="auto"/>
              <w:bottom w:val="dotted" w:sz="4" w:space="0" w:color="auto"/>
              <w:right w:val="dotted" w:sz="4" w:space="0" w:color="auto"/>
            </w:tcBorders>
          </w:tcPr>
          <w:p w14:paraId="65318088" w14:textId="77777777" w:rsidR="00932AC5" w:rsidRDefault="00850229">
            <w:pPr>
              <w:pStyle w:val="NoSpacing"/>
            </w:pPr>
            <w:r>
              <w:t>5</w:t>
            </w:r>
          </w:p>
        </w:tc>
      </w:tr>
      <w:tr w:rsidR="00932AC5" w14:paraId="3D4BEE61" w14:textId="77777777">
        <w:trPr>
          <w:cantSplit/>
        </w:trPr>
        <w:tc>
          <w:tcPr>
            <w:tcW w:w="3389" w:type="dxa"/>
            <w:tcBorders>
              <w:top w:val="dotted" w:sz="4" w:space="0" w:color="auto"/>
              <w:left w:val="dotted" w:sz="4" w:space="0" w:color="auto"/>
              <w:bottom w:val="dotted" w:sz="4" w:space="0" w:color="auto"/>
              <w:right w:val="dotted" w:sz="4" w:space="0" w:color="auto"/>
            </w:tcBorders>
          </w:tcPr>
          <w:p w14:paraId="68786151" w14:textId="77777777" w:rsidR="00932AC5" w:rsidRDefault="00850229">
            <w:pPr>
              <w:pStyle w:val="NoSpacing"/>
            </w:pPr>
            <w:r>
              <w:t>Control</w:t>
            </w:r>
          </w:p>
        </w:tc>
        <w:tc>
          <w:tcPr>
            <w:tcW w:w="1545" w:type="dxa"/>
            <w:tcBorders>
              <w:top w:val="dotted" w:sz="4" w:space="0" w:color="auto"/>
              <w:left w:val="dotted" w:sz="4" w:space="0" w:color="auto"/>
              <w:bottom w:val="dotted" w:sz="4" w:space="0" w:color="auto"/>
              <w:right w:val="dotted" w:sz="4" w:space="0" w:color="auto"/>
            </w:tcBorders>
          </w:tcPr>
          <w:p w14:paraId="6D3A5D8E" w14:textId="77777777" w:rsidR="00932AC5" w:rsidRDefault="00850229">
            <w:pPr>
              <w:pStyle w:val="NoSpacing"/>
            </w:pPr>
            <w:r>
              <w:t>3</w:t>
            </w:r>
          </w:p>
        </w:tc>
        <w:tc>
          <w:tcPr>
            <w:tcW w:w="2046" w:type="dxa"/>
            <w:tcBorders>
              <w:top w:val="dotted" w:sz="4" w:space="0" w:color="auto"/>
              <w:left w:val="dotted" w:sz="4" w:space="0" w:color="auto"/>
              <w:bottom w:val="dotted" w:sz="4" w:space="0" w:color="auto"/>
              <w:right w:val="dotted" w:sz="4" w:space="0" w:color="auto"/>
            </w:tcBorders>
          </w:tcPr>
          <w:p w14:paraId="7323F776" w14:textId="77777777" w:rsidR="00932AC5" w:rsidRDefault="00850229">
            <w:pPr>
              <w:pStyle w:val="NoSpacing"/>
            </w:pPr>
            <w:r>
              <w:t>3</w:t>
            </w:r>
          </w:p>
        </w:tc>
        <w:tc>
          <w:tcPr>
            <w:tcW w:w="2046" w:type="dxa"/>
            <w:tcBorders>
              <w:top w:val="dotted" w:sz="4" w:space="0" w:color="auto"/>
              <w:left w:val="dotted" w:sz="4" w:space="0" w:color="auto"/>
              <w:bottom w:val="dotted" w:sz="4" w:space="0" w:color="auto"/>
              <w:right w:val="dotted" w:sz="4" w:space="0" w:color="auto"/>
            </w:tcBorders>
          </w:tcPr>
          <w:p w14:paraId="45D952D7" w14:textId="77777777" w:rsidR="00932AC5" w:rsidRDefault="00850229">
            <w:pPr>
              <w:pStyle w:val="NoSpacing"/>
            </w:pPr>
            <w:r>
              <w:t>5</w:t>
            </w:r>
          </w:p>
        </w:tc>
      </w:tr>
      <w:tr w:rsidR="00932AC5" w14:paraId="54DC9707" w14:textId="77777777">
        <w:trPr>
          <w:cantSplit/>
        </w:trPr>
        <w:tc>
          <w:tcPr>
            <w:tcW w:w="3389" w:type="dxa"/>
            <w:tcBorders>
              <w:top w:val="dotted" w:sz="4" w:space="0" w:color="auto"/>
              <w:left w:val="dotted" w:sz="4" w:space="0" w:color="auto"/>
              <w:bottom w:val="dotted" w:sz="4" w:space="0" w:color="auto"/>
              <w:right w:val="dotted" w:sz="4" w:space="0" w:color="auto"/>
            </w:tcBorders>
          </w:tcPr>
          <w:p w14:paraId="2504C4C6" w14:textId="77777777" w:rsidR="00932AC5" w:rsidRDefault="00850229">
            <w:pPr>
              <w:pStyle w:val="NoSpacing"/>
            </w:pPr>
            <w:r>
              <w:t>Complexity (5 = simplest)</w:t>
            </w:r>
          </w:p>
        </w:tc>
        <w:tc>
          <w:tcPr>
            <w:tcW w:w="1545" w:type="dxa"/>
            <w:tcBorders>
              <w:top w:val="dotted" w:sz="4" w:space="0" w:color="auto"/>
              <w:left w:val="dotted" w:sz="4" w:space="0" w:color="auto"/>
              <w:bottom w:val="dotted" w:sz="4" w:space="0" w:color="auto"/>
              <w:right w:val="dotted" w:sz="4" w:space="0" w:color="auto"/>
            </w:tcBorders>
          </w:tcPr>
          <w:p w14:paraId="42FDA8FC" w14:textId="77777777" w:rsidR="00932AC5" w:rsidRDefault="00850229">
            <w:pPr>
              <w:pStyle w:val="NoSpacing"/>
            </w:pPr>
            <w:r>
              <w:t>4</w:t>
            </w:r>
          </w:p>
        </w:tc>
        <w:tc>
          <w:tcPr>
            <w:tcW w:w="2046" w:type="dxa"/>
            <w:tcBorders>
              <w:top w:val="dotted" w:sz="4" w:space="0" w:color="auto"/>
              <w:left w:val="dotted" w:sz="4" w:space="0" w:color="auto"/>
              <w:bottom w:val="dotted" w:sz="4" w:space="0" w:color="auto"/>
              <w:right w:val="dotted" w:sz="4" w:space="0" w:color="auto"/>
            </w:tcBorders>
          </w:tcPr>
          <w:p w14:paraId="1848A936" w14:textId="77777777" w:rsidR="00932AC5" w:rsidRDefault="00850229">
            <w:pPr>
              <w:pStyle w:val="NoSpacing"/>
            </w:pPr>
            <w:r>
              <w:t>5</w:t>
            </w:r>
          </w:p>
        </w:tc>
        <w:tc>
          <w:tcPr>
            <w:tcW w:w="2046" w:type="dxa"/>
            <w:tcBorders>
              <w:top w:val="dotted" w:sz="4" w:space="0" w:color="auto"/>
              <w:left w:val="dotted" w:sz="4" w:space="0" w:color="auto"/>
              <w:bottom w:val="dotted" w:sz="4" w:space="0" w:color="auto"/>
              <w:right w:val="dotted" w:sz="4" w:space="0" w:color="auto"/>
            </w:tcBorders>
          </w:tcPr>
          <w:p w14:paraId="3690320B" w14:textId="77777777" w:rsidR="00932AC5" w:rsidRDefault="00850229">
            <w:pPr>
              <w:pStyle w:val="NoSpacing"/>
            </w:pPr>
            <w:r>
              <w:t>3</w:t>
            </w:r>
          </w:p>
        </w:tc>
      </w:tr>
      <w:tr w:rsidR="00932AC5" w14:paraId="438EBE9B" w14:textId="77777777">
        <w:trPr>
          <w:cantSplit/>
        </w:trPr>
        <w:tc>
          <w:tcPr>
            <w:tcW w:w="3389" w:type="dxa"/>
            <w:tcBorders>
              <w:top w:val="dotted" w:sz="4" w:space="0" w:color="auto"/>
              <w:left w:val="dotted" w:sz="4" w:space="0" w:color="auto"/>
              <w:bottom w:val="dotted" w:sz="4" w:space="0" w:color="auto"/>
              <w:right w:val="dotted" w:sz="4" w:space="0" w:color="auto"/>
            </w:tcBorders>
          </w:tcPr>
          <w:p w14:paraId="2D9AC8E0" w14:textId="77777777" w:rsidR="00932AC5" w:rsidRDefault="00850229">
            <w:pPr>
              <w:pStyle w:val="NoSpacing"/>
            </w:pPr>
            <w:r>
              <w:t>Total Weighted Score</w:t>
            </w:r>
          </w:p>
        </w:tc>
        <w:tc>
          <w:tcPr>
            <w:tcW w:w="1545" w:type="dxa"/>
            <w:tcBorders>
              <w:top w:val="dotted" w:sz="4" w:space="0" w:color="auto"/>
              <w:left w:val="dotted" w:sz="4" w:space="0" w:color="auto"/>
              <w:bottom w:val="dotted" w:sz="4" w:space="0" w:color="auto"/>
              <w:right w:val="dotted" w:sz="4" w:space="0" w:color="auto"/>
            </w:tcBorders>
          </w:tcPr>
          <w:p w14:paraId="26191158" w14:textId="77777777" w:rsidR="00932AC5" w:rsidRDefault="00850229">
            <w:pPr>
              <w:pStyle w:val="NoSpacing"/>
            </w:pPr>
            <w:r>
              <w:t>29</w:t>
            </w:r>
          </w:p>
        </w:tc>
        <w:tc>
          <w:tcPr>
            <w:tcW w:w="2046" w:type="dxa"/>
            <w:tcBorders>
              <w:top w:val="dotted" w:sz="4" w:space="0" w:color="auto"/>
              <w:left w:val="dotted" w:sz="4" w:space="0" w:color="auto"/>
              <w:bottom w:val="dotted" w:sz="4" w:space="0" w:color="auto"/>
              <w:right w:val="dotted" w:sz="4" w:space="0" w:color="auto"/>
            </w:tcBorders>
          </w:tcPr>
          <w:p w14:paraId="2ABB19E3" w14:textId="77777777" w:rsidR="00932AC5" w:rsidRDefault="00850229">
            <w:pPr>
              <w:pStyle w:val="NoSpacing"/>
            </w:pPr>
            <w:r>
              <w:t>4.45 / 5</w:t>
            </w:r>
          </w:p>
        </w:tc>
        <w:tc>
          <w:tcPr>
            <w:tcW w:w="2046" w:type="dxa"/>
            <w:tcBorders>
              <w:top w:val="dotted" w:sz="4" w:space="0" w:color="auto"/>
              <w:left w:val="dotted" w:sz="4" w:space="0" w:color="auto"/>
              <w:bottom w:val="dotted" w:sz="4" w:space="0" w:color="auto"/>
              <w:right w:val="dotted" w:sz="4" w:space="0" w:color="auto"/>
            </w:tcBorders>
          </w:tcPr>
          <w:p w14:paraId="66DCE6CA" w14:textId="77777777" w:rsidR="00932AC5" w:rsidRDefault="00850229">
            <w:pPr>
              <w:pStyle w:val="NoSpacing"/>
            </w:pPr>
            <w:r>
              <w:t>3.97 / 5</w:t>
            </w:r>
          </w:p>
        </w:tc>
      </w:tr>
    </w:tbl>
    <w:p w14:paraId="56331760" w14:textId="77777777" w:rsidR="00932AC5" w:rsidRDefault="00932AC5"/>
    <w:p w14:paraId="01149A44" w14:textId="77777777" w:rsidR="00932AC5" w:rsidRDefault="00850229">
      <w:r>
        <w:t>The weighted total is the sum of weight × score, divided by 29:</w:t>
      </w:r>
    </w:p>
    <w:p w14:paraId="0E6ED4C2" w14:textId="77777777" w:rsidR="00932AC5" w:rsidRDefault="00850229">
      <w:pPr>
        <w:pStyle w:val="ListParagraph"/>
        <w:numPr>
          <w:ilvl w:val="0"/>
          <w:numId w:val="40"/>
        </w:numPr>
      </w:pPr>
      <w:r>
        <w:t>Amazon ECS: (25 + 20 + 25 + 15 + 15 + 9 + 20) ÷ 29 = 129 ÷ 29 = 4.45.</w:t>
      </w:r>
    </w:p>
    <w:p w14:paraId="4CE4D6D7" w14:textId="77777777" w:rsidR="00932AC5" w:rsidRDefault="00850229">
      <w:pPr>
        <w:pStyle w:val="ListParagraph"/>
        <w:numPr>
          <w:ilvl w:val="0"/>
          <w:numId w:val="40"/>
        </w:numPr>
      </w:pPr>
      <w:r>
        <w:t>Amazon EKS: (15 + 16 + 20 + 12 + 25 + 15 + 12) ÷ 29 = 115 ÷ 29 = 3.97.</w:t>
      </w:r>
    </w:p>
    <w:p w14:paraId="0212DC93" w14:textId="77777777" w:rsidR="00932AC5" w:rsidRDefault="00850229">
      <w:r>
        <w:t>The basis of each score:</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140"/>
        <w:gridCol w:w="3920"/>
        <w:gridCol w:w="2966"/>
      </w:tblGrid>
      <w:tr w:rsidR="00932AC5" w14:paraId="29448324" w14:textId="77777777">
        <w:trPr>
          <w:cantSplit/>
          <w:tblHeader/>
        </w:trPr>
        <w:tc>
          <w:tcPr>
            <w:tcW w:w="2140" w:type="dxa"/>
            <w:tcBorders>
              <w:top w:val="dotted" w:sz="4" w:space="0" w:color="auto"/>
              <w:left w:val="dotted" w:sz="4" w:space="0" w:color="auto"/>
              <w:bottom w:val="dotted" w:sz="4" w:space="0" w:color="auto"/>
              <w:right w:val="dotted" w:sz="4" w:space="0" w:color="auto"/>
            </w:tcBorders>
            <w:shd w:val="pct5" w:color="auto" w:fill="auto"/>
          </w:tcPr>
          <w:p w14:paraId="28A4A2C2" w14:textId="77777777" w:rsidR="00932AC5" w:rsidRDefault="00850229">
            <w:pPr>
              <w:pStyle w:val="NoSpacing"/>
            </w:pPr>
            <w:r>
              <w:rPr>
                <w:b/>
              </w:rPr>
              <w:lastRenderedPageBreak/>
              <w:t>Attribute</w:t>
            </w:r>
          </w:p>
        </w:tc>
        <w:tc>
          <w:tcPr>
            <w:tcW w:w="3920" w:type="dxa"/>
            <w:tcBorders>
              <w:top w:val="dotted" w:sz="4" w:space="0" w:color="auto"/>
              <w:left w:val="dotted" w:sz="4" w:space="0" w:color="auto"/>
              <w:bottom w:val="dotted" w:sz="4" w:space="0" w:color="auto"/>
              <w:right w:val="dotted" w:sz="4" w:space="0" w:color="auto"/>
            </w:tcBorders>
            <w:shd w:val="pct5" w:color="auto" w:fill="auto"/>
          </w:tcPr>
          <w:p w14:paraId="4F04BE86" w14:textId="77777777" w:rsidR="00932AC5" w:rsidRDefault="00850229">
            <w:pPr>
              <w:pStyle w:val="NoSpacing"/>
            </w:pPr>
            <w:r>
              <w:rPr>
                <w:b/>
              </w:rPr>
              <w:t>Amazon ECS</w:t>
            </w:r>
          </w:p>
        </w:tc>
        <w:tc>
          <w:tcPr>
            <w:tcW w:w="2966" w:type="dxa"/>
            <w:tcBorders>
              <w:top w:val="dotted" w:sz="4" w:space="0" w:color="auto"/>
              <w:left w:val="dotted" w:sz="4" w:space="0" w:color="auto"/>
              <w:bottom w:val="dotted" w:sz="4" w:space="0" w:color="auto"/>
              <w:right w:val="dotted" w:sz="4" w:space="0" w:color="auto"/>
            </w:tcBorders>
            <w:shd w:val="pct5" w:color="auto" w:fill="auto"/>
          </w:tcPr>
          <w:p w14:paraId="040E078E" w14:textId="77777777" w:rsidR="00932AC5" w:rsidRDefault="00850229">
            <w:pPr>
              <w:pStyle w:val="NoSpacing"/>
            </w:pPr>
            <w:r>
              <w:rPr>
                <w:b/>
              </w:rPr>
              <w:t>Amazon EKS</w:t>
            </w:r>
          </w:p>
        </w:tc>
      </w:tr>
      <w:tr w:rsidR="00932AC5" w14:paraId="2AB5625F" w14:textId="77777777">
        <w:trPr>
          <w:cantSplit/>
        </w:trPr>
        <w:tc>
          <w:tcPr>
            <w:tcW w:w="2140" w:type="dxa"/>
            <w:tcBorders>
              <w:top w:val="dotted" w:sz="4" w:space="0" w:color="auto"/>
              <w:left w:val="dotted" w:sz="4" w:space="0" w:color="auto"/>
              <w:bottom w:val="dotted" w:sz="4" w:space="0" w:color="auto"/>
              <w:right w:val="dotted" w:sz="4" w:space="0" w:color="auto"/>
            </w:tcBorders>
          </w:tcPr>
          <w:p w14:paraId="4467CA87" w14:textId="77777777" w:rsidR="00932AC5" w:rsidRDefault="00850229">
            <w:pPr>
              <w:pStyle w:val="NoSpacing"/>
            </w:pPr>
            <w:r>
              <w:t>Cost</w:t>
            </w:r>
          </w:p>
        </w:tc>
        <w:tc>
          <w:tcPr>
            <w:tcW w:w="3920" w:type="dxa"/>
            <w:tcBorders>
              <w:top w:val="dotted" w:sz="4" w:space="0" w:color="auto"/>
              <w:left w:val="dotted" w:sz="4" w:space="0" w:color="auto"/>
              <w:bottom w:val="dotted" w:sz="4" w:space="0" w:color="auto"/>
              <w:right w:val="dotted" w:sz="4" w:space="0" w:color="auto"/>
            </w:tcBorders>
          </w:tcPr>
          <w:p w14:paraId="5CD17DB3" w14:textId="77777777" w:rsidR="00932AC5" w:rsidRDefault="00850229">
            <w:pPr>
              <w:pStyle w:val="NoSpacing"/>
            </w:pPr>
            <w:r>
              <w:t>5 — no orchestration or control-plane charge in any environment; both Fargate Spot and Graviton are available</w:t>
            </w:r>
          </w:p>
        </w:tc>
        <w:tc>
          <w:tcPr>
            <w:tcW w:w="2966" w:type="dxa"/>
            <w:tcBorders>
              <w:top w:val="dotted" w:sz="4" w:space="0" w:color="auto"/>
              <w:left w:val="dotted" w:sz="4" w:space="0" w:color="auto"/>
              <w:bottom w:val="dotted" w:sz="4" w:space="0" w:color="auto"/>
              <w:right w:val="dotted" w:sz="4" w:space="0" w:color="auto"/>
            </w:tcBorders>
          </w:tcPr>
          <w:p w14:paraId="6BD02201" w14:textId="77777777" w:rsidR="00932AC5" w:rsidRDefault="00850229">
            <w:pPr>
              <w:pStyle w:val="NoSpacing"/>
            </w:pPr>
            <w:r>
              <w:t>3 — the same Fargate rates, plus USD 292 a month for four clusters, plus USD 365 per cluster-month if a version falls into extended support (USD 0.60 instead of USD 0.10 per hour); neither Fargate Spot nor Arm is available</w:t>
            </w:r>
          </w:p>
        </w:tc>
      </w:tr>
      <w:tr w:rsidR="00932AC5" w14:paraId="08A99260" w14:textId="77777777">
        <w:trPr>
          <w:cantSplit/>
        </w:trPr>
        <w:tc>
          <w:tcPr>
            <w:tcW w:w="2140" w:type="dxa"/>
            <w:tcBorders>
              <w:top w:val="dotted" w:sz="4" w:space="0" w:color="auto"/>
              <w:left w:val="dotted" w:sz="4" w:space="0" w:color="auto"/>
              <w:bottom w:val="dotted" w:sz="4" w:space="0" w:color="auto"/>
              <w:right w:val="dotted" w:sz="4" w:space="0" w:color="auto"/>
            </w:tcBorders>
          </w:tcPr>
          <w:p w14:paraId="0B8BA078" w14:textId="77777777" w:rsidR="00932AC5" w:rsidRDefault="00850229">
            <w:pPr>
              <w:pStyle w:val="NoSpacing"/>
            </w:pPr>
            <w:r>
              <w:t>Maintainability</w:t>
            </w:r>
          </w:p>
        </w:tc>
        <w:tc>
          <w:tcPr>
            <w:tcW w:w="3920" w:type="dxa"/>
            <w:tcBorders>
              <w:top w:val="dotted" w:sz="4" w:space="0" w:color="auto"/>
              <w:left w:val="dotted" w:sz="4" w:space="0" w:color="auto"/>
              <w:bottom w:val="dotted" w:sz="4" w:space="0" w:color="auto"/>
              <w:right w:val="dotted" w:sz="4" w:space="0" w:color="auto"/>
            </w:tcBorders>
          </w:tcPr>
          <w:p w14:paraId="0697D9CA" w14:textId="77777777" w:rsidR="00932AC5" w:rsidRDefault="00850229">
            <w:pPr>
              <w:pStyle w:val="NoSpacing"/>
            </w:pPr>
            <w:r>
              <w:t>5 — no control-plane version; AWS patches Fargate and the scheduler replaces retired tasks; nothing for the team to upgrade</w:t>
            </w:r>
          </w:p>
        </w:tc>
        <w:tc>
          <w:tcPr>
            <w:tcW w:w="2966" w:type="dxa"/>
            <w:tcBorders>
              <w:top w:val="dotted" w:sz="4" w:space="0" w:color="auto"/>
              <w:left w:val="dotted" w:sz="4" w:space="0" w:color="auto"/>
              <w:bottom w:val="dotted" w:sz="4" w:space="0" w:color="auto"/>
              <w:right w:val="dotted" w:sz="4" w:space="0" w:color="auto"/>
            </w:tcBorders>
          </w:tcPr>
          <w:p w14:paraId="0A8AC4B9" w14:textId="77777777" w:rsidR="00932AC5" w:rsidRDefault="00850229">
            <w:pPr>
              <w:pStyle w:val="NoSpacing"/>
            </w:pPr>
            <w:r>
              <w:t>4 — a managed control plane and no nodes on Fargate, but each cluster must move through about three minor versions a year, with add-ons kept compatible and pods restarted after every upgrade</w:t>
            </w:r>
          </w:p>
        </w:tc>
      </w:tr>
      <w:tr w:rsidR="00932AC5" w14:paraId="55DBF6D5" w14:textId="77777777">
        <w:trPr>
          <w:cantSplit/>
        </w:trPr>
        <w:tc>
          <w:tcPr>
            <w:tcW w:w="2140" w:type="dxa"/>
            <w:tcBorders>
              <w:top w:val="dotted" w:sz="4" w:space="0" w:color="auto"/>
              <w:left w:val="dotted" w:sz="4" w:space="0" w:color="auto"/>
              <w:bottom w:val="dotted" w:sz="4" w:space="0" w:color="auto"/>
              <w:right w:val="dotted" w:sz="4" w:space="0" w:color="auto"/>
            </w:tcBorders>
          </w:tcPr>
          <w:p w14:paraId="6C6123F2" w14:textId="77777777" w:rsidR="00932AC5" w:rsidRDefault="00850229">
            <w:pPr>
              <w:pStyle w:val="NoSpacing"/>
            </w:pPr>
            <w:r>
              <w:t>Flexibility</w:t>
            </w:r>
          </w:p>
        </w:tc>
        <w:tc>
          <w:tcPr>
            <w:tcW w:w="3920" w:type="dxa"/>
            <w:tcBorders>
              <w:top w:val="dotted" w:sz="4" w:space="0" w:color="auto"/>
              <w:left w:val="dotted" w:sz="4" w:space="0" w:color="auto"/>
              <w:bottom w:val="dotted" w:sz="4" w:space="0" w:color="auto"/>
              <w:right w:val="dotted" w:sz="4" w:space="0" w:color="auto"/>
            </w:tcBorders>
          </w:tcPr>
          <w:p w14:paraId="65ACE828" w14:textId="77777777" w:rsidR="00932AC5" w:rsidRDefault="00850229">
            <w:pPr>
              <w:pStyle w:val="NoSpacing"/>
            </w:pPr>
            <w:r>
              <w:t>5 — hosts every eClaims workload shape (services, queue consumers, scheduled jobs, blue-green release) and every capacity choice (Fargate, Fargate Spot, Graviton, EC2) under one service model</w:t>
            </w:r>
          </w:p>
        </w:tc>
        <w:tc>
          <w:tcPr>
            <w:tcW w:w="2966" w:type="dxa"/>
            <w:tcBorders>
              <w:top w:val="dotted" w:sz="4" w:space="0" w:color="auto"/>
              <w:left w:val="dotted" w:sz="4" w:space="0" w:color="auto"/>
              <w:bottom w:val="dotted" w:sz="4" w:space="0" w:color="auto"/>
              <w:right w:val="dotted" w:sz="4" w:space="0" w:color="auto"/>
            </w:tcBorders>
          </w:tcPr>
          <w:p w14:paraId="35534071" w14:textId="77777777" w:rsidR="00932AC5" w:rsidRDefault="00850229">
            <w:pPr>
              <w:pStyle w:val="NoSpacing"/>
            </w:pPr>
            <w:r>
              <w:t>4 — the richest workload primitives, but several are unavailable on Fargate (DaemonSets, EBS volumes, Spot, Arm) unless node groups are added</w:t>
            </w:r>
          </w:p>
        </w:tc>
      </w:tr>
      <w:tr w:rsidR="00932AC5" w14:paraId="71A08CFC" w14:textId="77777777">
        <w:trPr>
          <w:cantSplit/>
        </w:trPr>
        <w:tc>
          <w:tcPr>
            <w:tcW w:w="2140" w:type="dxa"/>
            <w:tcBorders>
              <w:top w:val="dotted" w:sz="4" w:space="0" w:color="auto"/>
              <w:left w:val="dotted" w:sz="4" w:space="0" w:color="auto"/>
              <w:bottom w:val="dotted" w:sz="4" w:space="0" w:color="auto"/>
              <w:right w:val="dotted" w:sz="4" w:space="0" w:color="auto"/>
            </w:tcBorders>
          </w:tcPr>
          <w:p w14:paraId="729923AA" w14:textId="77777777" w:rsidR="00932AC5" w:rsidRDefault="00850229">
            <w:pPr>
              <w:pStyle w:val="NoSpacing"/>
            </w:pPr>
            <w:r>
              <w:t>Security</w:t>
            </w:r>
          </w:p>
        </w:tc>
        <w:tc>
          <w:tcPr>
            <w:tcW w:w="3920" w:type="dxa"/>
            <w:tcBorders>
              <w:top w:val="dotted" w:sz="4" w:space="0" w:color="auto"/>
              <w:left w:val="dotted" w:sz="4" w:space="0" w:color="auto"/>
              <w:bottom w:val="dotted" w:sz="4" w:space="0" w:color="auto"/>
              <w:right w:val="dotted" w:sz="4" w:space="0" w:color="auto"/>
            </w:tcBorders>
          </w:tcPr>
          <w:p w14:paraId="77FA2C3D" w14:textId="77777777" w:rsidR="00932AC5" w:rsidRDefault="00850229">
            <w:pPr>
              <w:pStyle w:val="NoSpacing"/>
            </w:pPr>
            <w:r>
              <w:t>5 — an IAM role, security group and isolation boundary per task; secrets injected natively; all security expressed in IAM and VPC controls that the team already runs</w:t>
            </w:r>
          </w:p>
        </w:tc>
        <w:tc>
          <w:tcPr>
            <w:tcW w:w="2966" w:type="dxa"/>
            <w:tcBorders>
              <w:top w:val="dotted" w:sz="4" w:space="0" w:color="auto"/>
              <w:left w:val="dotted" w:sz="4" w:space="0" w:color="auto"/>
              <w:bottom w:val="dotted" w:sz="4" w:space="0" w:color="auto"/>
              <w:right w:val="dotted" w:sz="4" w:space="0" w:color="auto"/>
            </w:tcBorders>
          </w:tcPr>
          <w:p w14:paraId="53800730" w14:textId="77777777" w:rsidR="00932AC5" w:rsidRDefault="00850229">
            <w:pPr>
              <w:pStyle w:val="NoSpacing"/>
            </w:pPr>
            <w:r>
              <w:t>4 — equivalent per-pod controls on Fargate, but a larger attack surface: the cluster API endpoint, an OpenID Connect provider per cluster, Kubernetes RBAC mapped to IAM, and add-ons with their own patch cycles</w:t>
            </w:r>
          </w:p>
        </w:tc>
      </w:tr>
      <w:tr w:rsidR="00932AC5" w14:paraId="3BEA11B0" w14:textId="77777777">
        <w:trPr>
          <w:cantSplit/>
        </w:trPr>
        <w:tc>
          <w:tcPr>
            <w:tcW w:w="2140" w:type="dxa"/>
            <w:tcBorders>
              <w:top w:val="dotted" w:sz="4" w:space="0" w:color="auto"/>
              <w:left w:val="dotted" w:sz="4" w:space="0" w:color="auto"/>
              <w:bottom w:val="dotted" w:sz="4" w:space="0" w:color="auto"/>
              <w:right w:val="dotted" w:sz="4" w:space="0" w:color="auto"/>
            </w:tcBorders>
          </w:tcPr>
          <w:p w14:paraId="374D8381" w14:textId="77777777" w:rsidR="00932AC5" w:rsidRDefault="00850229">
            <w:pPr>
              <w:pStyle w:val="NoSpacing"/>
            </w:pPr>
            <w:r>
              <w:t>Portability</w:t>
            </w:r>
          </w:p>
        </w:tc>
        <w:tc>
          <w:tcPr>
            <w:tcW w:w="3920" w:type="dxa"/>
            <w:tcBorders>
              <w:top w:val="dotted" w:sz="4" w:space="0" w:color="auto"/>
              <w:left w:val="dotted" w:sz="4" w:space="0" w:color="auto"/>
              <w:bottom w:val="dotted" w:sz="4" w:space="0" w:color="auto"/>
              <w:right w:val="dotted" w:sz="4" w:space="0" w:color="auto"/>
            </w:tcBorders>
          </w:tcPr>
          <w:p w14:paraId="33BAAB54" w14:textId="77777777" w:rsidR="00932AC5" w:rsidRDefault="00850229">
            <w:pPr>
              <w:pStyle w:val="NoSpacing"/>
            </w:pPr>
            <w:r>
              <w:t>3 — the image is portable, but task definitions, services and scaling policies are specific to ECS and must be rewritten to move; ECS Anywhere cannot place inbound HTTP services behind a load balancer</w:t>
            </w:r>
          </w:p>
        </w:tc>
        <w:tc>
          <w:tcPr>
            <w:tcW w:w="2966" w:type="dxa"/>
            <w:tcBorders>
              <w:top w:val="dotted" w:sz="4" w:space="0" w:color="auto"/>
              <w:left w:val="dotted" w:sz="4" w:space="0" w:color="auto"/>
              <w:bottom w:val="dotted" w:sz="4" w:space="0" w:color="auto"/>
              <w:right w:val="dotted" w:sz="4" w:space="0" w:color="auto"/>
            </w:tcBorders>
          </w:tcPr>
          <w:p w14:paraId="1B4B8996" w14:textId="77777777" w:rsidR="00932AC5" w:rsidRDefault="00850229">
            <w:pPr>
              <w:pStyle w:val="NoSpacing"/>
            </w:pPr>
            <w:r>
              <w:t>5 — manifests and Helm charts run on any conformant distribution; EKS Anywhere and Hybrid Nodes extend the same API on-premise</w:t>
            </w:r>
          </w:p>
        </w:tc>
      </w:tr>
      <w:tr w:rsidR="00932AC5" w14:paraId="63AE6074" w14:textId="77777777">
        <w:trPr>
          <w:cantSplit/>
        </w:trPr>
        <w:tc>
          <w:tcPr>
            <w:tcW w:w="2140" w:type="dxa"/>
            <w:tcBorders>
              <w:top w:val="dotted" w:sz="4" w:space="0" w:color="auto"/>
              <w:left w:val="dotted" w:sz="4" w:space="0" w:color="auto"/>
              <w:bottom w:val="dotted" w:sz="4" w:space="0" w:color="auto"/>
              <w:right w:val="dotted" w:sz="4" w:space="0" w:color="auto"/>
            </w:tcBorders>
          </w:tcPr>
          <w:p w14:paraId="1DB570BF" w14:textId="77777777" w:rsidR="00932AC5" w:rsidRDefault="00850229">
            <w:pPr>
              <w:pStyle w:val="NoSpacing"/>
            </w:pPr>
            <w:r>
              <w:t>Control</w:t>
            </w:r>
          </w:p>
        </w:tc>
        <w:tc>
          <w:tcPr>
            <w:tcW w:w="3920" w:type="dxa"/>
            <w:tcBorders>
              <w:top w:val="dotted" w:sz="4" w:space="0" w:color="auto"/>
              <w:left w:val="dotted" w:sz="4" w:space="0" w:color="auto"/>
              <w:bottom w:val="dotted" w:sz="4" w:space="0" w:color="auto"/>
              <w:right w:val="dotted" w:sz="4" w:space="0" w:color="auto"/>
            </w:tcBorders>
          </w:tcPr>
          <w:p w14:paraId="54B300C3" w14:textId="77777777" w:rsidR="00932AC5" w:rsidRDefault="00850229">
            <w:pPr>
              <w:pStyle w:val="NoSpacing"/>
            </w:pPr>
            <w:r>
              <w:t>3 — placement strategies and constraints only; no custom resources or admission control</w:t>
            </w:r>
          </w:p>
        </w:tc>
        <w:tc>
          <w:tcPr>
            <w:tcW w:w="2966" w:type="dxa"/>
            <w:tcBorders>
              <w:top w:val="dotted" w:sz="4" w:space="0" w:color="auto"/>
              <w:left w:val="dotted" w:sz="4" w:space="0" w:color="auto"/>
              <w:bottom w:val="dotted" w:sz="4" w:space="0" w:color="auto"/>
              <w:right w:val="dotted" w:sz="4" w:space="0" w:color="auto"/>
            </w:tcBorders>
          </w:tcPr>
          <w:p w14:paraId="72312D93" w14:textId="77777777" w:rsidR="00932AC5" w:rsidRDefault="00850229">
            <w:pPr>
              <w:pStyle w:val="NoSpacing"/>
            </w:pPr>
            <w:r>
              <w:t>5 — full Kubernetes control of scheduling, admission, extension and network policy</w:t>
            </w:r>
          </w:p>
        </w:tc>
      </w:tr>
      <w:tr w:rsidR="00932AC5" w14:paraId="097A2BB6" w14:textId="77777777">
        <w:trPr>
          <w:cantSplit/>
        </w:trPr>
        <w:tc>
          <w:tcPr>
            <w:tcW w:w="2140" w:type="dxa"/>
            <w:tcBorders>
              <w:top w:val="dotted" w:sz="4" w:space="0" w:color="auto"/>
              <w:left w:val="dotted" w:sz="4" w:space="0" w:color="auto"/>
              <w:bottom w:val="dotted" w:sz="4" w:space="0" w:color="auto"/>
              <w:right w:val="dotted" w:sz="4" w:space="0" w:color="auto"/>
            </w:tcBorders>
          </w:tcPr>
          <w:p w14:paraId="33B72C51" w14:textId="77777777" w:rsidR="00932AC5" w:rsidRDefault="00850229">
            <w:pPr>
              <w:pStyle w:val="NoSpacing"/>
            </w:pPr>
            <w:r>
              <w:t>Complexity</w:t>
            </w:r>
          </w:p>
        </w:tc>
        <w:tc>
          <w:tcPr>
            <w:tcW w:w="3920" w:type="dxa"/>
            <w:tcBorders>
              <w:top w:val="dotted" w:sz="4" w:space="0" w:color="auto"/>
              <w:left w:val="dotted" w:sz="4" w:space="0" w:color="auto"/>
              <w:bottom w:val="dotted" w:sz="4" w:space="0" w:color="auto"/>
              <w:right w:val="dotted" w:sz="4" w:space="0" w:color="auto"/>
            </w:tcBorders>
          </w:tcPr>
          <w:p w14:paraId="152BE1AA" w14:textId="77777777" w:rsidR="00932AC5" w:rsidRDefault="00850229">
            <w:pPr>
              <w:pStyle w:val="NoSpacing"/>
            </w:pPr>
            <w:r>
              <w:t>5 — a few AWS-native concepts, built on skills the team needs for the rest of eClaims: IAM, VPC, ALB, CloudWatch, Terraform</w:t>
            </w:r>
          </w:p>
        </w:tc>
        <w:tc>
          <w:tcPr>
            <w:tcW w:w="2966" w:type="dxa"/>
            <w:tcBorders>
              <w:top w:val="dotted" w:sz="4" w:space="0" w:color="auto"/>
              <w:left w:val="dotted" w:sz="4" w:space="0" w:color="auto"/>
              <w:bottom w:val="dotted" w:sz="4" w:space="0" w:color="auto"/>
              <w:right w:val="dotted" w:sz="4" w:space="0" w:color="auto"/>
            </w:tcBorders>
          </w:tcPr>
          <w:p w14:paraId="4F7D001D" w14:textId="77777777" w:rsidR="00932AC5" w:rsidRDefault="00850229">
            <w:pPr>
              <w:pStyle w:val="NoSpacing"/>
            </w:pPr>
            <w:r>
              <w:t>3 — Kubernetes objects plus AWS integration controllers, two access models to keep aligned, and a large ecosystem to choose from</w:t>
            </w:r>
          </w:p>
        </w:tc>
      </w:tr>
    </w:tbl>
    <w:p w14:paraId="2EEB8A0F" w14:textId="77777777" w:rsidR="00932AC5" w:rsidRDefault="00932AC5"/>
    <w:p w14:paraId="1D1C29FB" w14:textId="77777777" w:rsidR="00932AC5" w:rsidRDefault="00850229">
      <w:r>
        <w:t>ECS leads at 4.45 against 3.97. It wins five attributes and loses two:</w:t>
      </w:r>
    </w:p>
    <w:p w14:paraId="5C83556D" w14:textId="77777777" w:rsidR="00932AC5" w:rsidRDefault="00850229">
      <w:pPr>
        <w:pStyle w:val="ListParagraph"/>
        <w:numPr>
          <w:ilvl w:val="0"/>
          <w:numId w:val="40"/>
        </w:numPr>
      </w:pPr>
      <w:r>
        <w:t>ECS's weighted advantages total 30 points: cost (10), complexity (8), flexibility (5), maintainability (4) and security (3).</w:t>
      </w:r>
    </w:p>
    <w:p w14:paraId="35712F3C" w14:textId="77777777" w:rsidR="00932AC5" w:rsidRDefault="00850229">
      <w:pPr>
        <w:pStyle w:val="ListParagraph"/>
        <w:numPr>
          <w:ilvl w:val="0"/>
          <w:numId w:val="40"/>
        </w:numPr>
      </w:pPr>
      <w:r>
        <w:t>EKS's weighted advantages total 16 points: portability (10) and control (6).</w:t>
      </w:r>
    </w:p>
    <w:p w14:paraId="522DD535" w14:textId="77777777" w:rsidR="00932AC5" w:rsidRDefault="00850229">
      <w:pPr>
        <w:pStyle w:val="ListParagraph"/>
        <w:numPr>
          <w:ilvl w:val="0"/>
          <w:numId w:val="40"/>
        </w:numPr>
      </w:pPr>
      <w:r>
        <w:lastRenderedPageBreak/>
        <w:t>The net difference of 14 points (129 against 115) is the 0.48 gap between the totals.</w:t>
      </w:r>
    </w:p>
    <w:p w14:paraId="435925E0" w14:textId="77777777" w:rsidR="00932AC5" w:rsidRDefault="00850229">
      <w:r>
        <w:t>The result has the same shape as the Compute DAR's main comparison: Kubernetes wins on portability, and loses on the cost of owning it.</w:t>
      </w:r>
    </w:p>
    <w:p w14:paraId="4E0ED120" w14:textId="77777777" w:rsidR="00932AC5" w:rsidRDefault="00850229">
      <w:pPr>
        <w:pStyle w:val="Heading2"/>
      </w:pPr>
      <w:bookmarkStart w:id="12" w:name="_Toc244213672"/>
      <w:r>
        <w:t>Comparison 1 — Monthly Cost at eClaims Scale</w:t>
      </w:r>
      <w:bookmarkEnd w:id="12"/>
    </w:p>
    <w:p w14:paraId="29798ECB" w14:textId="77777777" w:rsidR="00932AC5" w:rsidRDefault="00850229">
      <w:r>
        <w:t>The cost basis is the Compute DAR's own (its Section 4.4), so that the two documents reconcile:</w:t>
      </w:r>
    </w:p>
    <w:p w14:paraId="3767D73D" w14:textId="77777777" w:rsidR="00932AC5" w:rsidRDefault="00850229">
      <w:pPr>
        <w:pStyle w:val="ListParagraph"/>
        <w:numPr>
          <w:ilvl w:val="0"/>
          <w:numId w:val="40"/>
        </w:numPr>
      </w:pPr>
      <w:r>
        <w:t>Eight backend services, each averaging three running tasks of 1 vCPU and 2 GB, running continuously.</w:t>
      </w:r>
    </w:p>
    <w:p w14:paraId="25B922AB" w14:textId="77777777" w:rsidR="00932AC5" w:rsidRDefault="00850229">
      <w:pPr>
        <w:pStyle w:val="ListParagraph"/>
        <w:numPr>
          <w:ilvl w:val="0"/>
          <w:numId w:val="40"/>
        </w:numPr>
      </w:pPr>
      <w:r>
        <w:t>That is 24 tasks, or 17,520 task-hours in a 730-hour month.</w:t>
      </w:r>
    </w:p>
    <w:p w14:paraId="4A73B5FD" w14:textId="77777777" w:rsidR="00932AC5" w:rsidRDefault="00850229">
      <w:pPr>
        <w:pStyle w:val="ListParagraph"/>
        <w:numPr>
          <w:ilvl w:val="0"/>
          <w:numId w:val="40"/>
        </w:numPr>
      </w:pPr>
      <w:r>
        <w:t>Only us-east-1 production compute is shown. Development, staging and us-east-2 standby compute is billed identically under both options, so it is excluded.</w:t>
      </w:r>
    </w:p>
    <w:p w14:paraId="541989C5" w14:textId="77777777" w:rsidR="00932AC5" w:rsidRDefault="00850229">
      <w:pPr>
        <w:pStyle w:val="ListParagraph"/>
        <w:numPr>
          <w:ilvl w:val="0"/>
          <w:numId w:val="40"/>
        </w:numPr>
      </w:pPr>
      <w:r>
        <w:t>The orchestrator fee covers all four clusters — the three environments and the us-east-2 standby — because EKS charges per cluster regardless of load.</w:t>
      </w:r>
    </w:p>
    <w:p w14:paraId="72C722C1" w14:textId="77777777" w:rsidR="00932AC5" w:rsidRDefault="00850229">
      <w:pPr>
        <w:pStyle w:val="ListParagraph"/>
        <w:numPr>
          <w:ilvl w:val="0"/>
          <w:numId w:val="40"/>
        </w:numPr>
      </w:pPr>
      <w:r>
        <w:t>Load-balancer, NAT gateway, data-transfer, logging and data-store costs are common to both options and are excluded.</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89"/>
        <w:gridCol w:w="4203"/>
        <w:gridCol w:w="2234"/>
      </w:tblGrid>
      <w:tr w:rsidR="00932AC5" w14:paraId="63BC5D7C" w14:textId="77777777">
        <w:trPr>
          <w:cantSplit/>
          <w:tblHeader/>
        </w:trPr>
        <w:tc>
          <w:tcPr>
            <w:tcW w:w="2589" w:type="dxa"/>
            <w:tcBorders>
              <w:top w:val="dotted" w:sz="4" w:space="0" w:color="auto"/>
              <w:left w:val="dotted" w:sz="4" w:space="0" w:color="auto"/>
              <w:bottom w:val="dotted" w:sz="4" w:space="0" w:color="auto"/>
              <w:right w:val="dotted" w:sz="4" w:space="0" w:color="auto"/>
            </w:tcBorders>
            <w:shd w:val="pct5" w:color="auto" w:fill="auto"/>
          </w:tcPr>
          <w:p w14:paraId="5C8D3E4C" w14:textId="77777777" w:rsidR="00932AC5" w:rsidRDefault="00850229">
            <w:pPr>
              <w:pStyle w:val="NoSpacing"/>
            </w:pPr>
            <w:r>
              <w:rPr>
                <w:b/>
              </w:rPr>
              <w:t>Monthly cost (US East, N. Virginia, list price)</w:t>
            </w:r>
          </w:p>
        </w:tc>
        <w:tc>
          <w:tcPr>
            <w:tcW w:w="4203" w:type="dxa"/>
            <w:tcBorders>
              <w:top w:val="dotted" w:sz="4" w:space="0" w:color="auto"/>
              <w:left w:val="dotted" w:sz="4" w:space="0" w:color="auto"/>
              <w:bottom w:val="dotted" w:sz="4" w:space="0" w:color="auto"/>
              <w:right w:val="dotted" w:sz="4" w:space="0" w:color="auto"/>
            </w:tcBorders>
            <w:shd w:val="pct5" w:color="auto" w:fill="auto"/>
          </w:tcPr>
          <w:p w14:paraId="319BD0F0" w14:textId="77777777" w:rsidR="00932AC5" w:rsidRDefault="00850229">
            <w:pPr>
              <w:pStyle w:val="NoSpacing"/>
            </w:pPr>
            <w:r>
              <w:rPr>
                <w:b/>
              </w:rPr>
              <w:t>Amazon ECS on Fargate</w:t>
            </w:r>
          </w:p>
        </w:tc>
        <w:tc>
          <w:tcPr>
            <w:tcW w:w="2234" w:type="dxa"/>
            <w:tcBorders>
              <w:top w:val="dotted" w:sz="4" w:space="0" w:color="auto"/>
              <w:left w:val="dotted" w:sz="4" w:space="0" w:color="auto"/>
              <w:bottom w:val="dotted" w:sz="4" w:space="0" w:color="auto"/>
              <w:right w:val="dotted" w:sz="4" w:space="0" w:color="auto"/>
            </w:tcBorders>
            <w:shd w:val="pct5" w:color="auto" w:fill="auto"/>
          </w:tcPr>
          <w:p w14:paraId="41AB4D2C" w14:textId="77777777" w:rsidR="00932AC5" w:rsidRDefault="00850229">
            <w:pPr>
              <w:pStyle w:val="NoSpacing"/>
            </w:pPr>
            <w:r>
              <w:rPr>
                <w:b/>
              </w:rPr>
              <w:t>Amazon EKS on Fargate</w:t>
            </w:r>
          </w:p>
        </w:tc>
      </w:tr>
      <w:tr w:rsidR="00932AC5" w14:paraId="4C2CAA47" w14:textId="77777777">
        <w:trPr>
          <w:cantSplit/>
        </w:trPr>
        <w:tc>
          <w:tcPr>
            <w:tcW w:w="2589" w:type="dxa"/>
            <w:tcBorders>
              <w:top w:val="dotted" w:sz="4" w:space="0" w:color="auto"/>
              <w:left w:val="dotted" w:sz="4" w:space="0" w:color="auto"/>
              <w:bottom w:val="dotted" w:sz="4" w:space="0" w:color="auto"/>
              <w:right w:val="dotted" w:sz="4" w:space="0" w:color="auto"/>
            </w:tcBorders>
          </w:tcPr>
          <w:p w14:paraId="4C5B4958" w14:textId="77777777" w:rsidR="00932AC5" w:rsidRDefault="00850229">
            <w:pPr>
              <w:pStyle w:val="NoSpacing"/>
            </w:pPr>
            <w:r>
              <w:t>Fargate vCPU: 17,520 vCPU-hours × USD 0.04048</w:t>
            </w:r>
          </w:p>
        </w:tc>
        <w:tc>
          <w:tcPr>
            <w:tcW w:w="4203" w:type="dxa"/>
            <w:tcBorders>
              <w:top w:val="dotted" w:sz="4" w:space="0" w:color="auto"/>
              <w:left w:val="dotted" w:sz="4" w:space="0" w:color="auto"/>
              <w:bottom w:val="dotted" w:sz="4" w:space="0" w:color="auto"/>
              <w:right w:val="dotted" w:sz="4" w:space="0" w:color="auto"/>
            </w:tcBorders>
          </w:tcPr>
          <w:p w14:paraId="65199300" w14:textId="77777777" w:rsidR="00932AC5" w:rsidRDefault="00850229">
            <w:pPr>
              <w:pStyle w:val="NoSpacing"/>
            </w:pPr>
            <w:r>
              <w:t>USD 709</w:t>
            </w:r>
          </w:p>
        </w:tc>
        <w:tc>
          <w:tcPr>
            <w:tcW w:w="2234" w:type="dxa"/>
            <w:tcBorders>
              <w:top w:val="dotted" w:sz="4" w:space="0" w:color="auto"/>
              <w:left w:val="dotted" w:sz="4" w:space="0" w:color="auto"/>
              <w:bottom w:val="dotted" w:sz="4" w:space="0" w:color="auto"/>
              <w:right w:val="dotted" w:sz="4" w:space="0" w:color="auto"/>
            </w:tcBorders>
          </w:tcPr>
          <w:p w14:paraId="212965A2" w14:textId="77777777" w:rsidR="00932AC5" w:rsidRDefault="00850229">
            <w:pPr>
              <w:pStyle w:val="NoSpacing"/>
            </w:pPr>
            <w:r>
              <w:t>USD 709</w:t>
            </w:r>
          </w:p>
        </w:tc>
      </w:tr>
      <w:tr w:rsidR="00932AC5" w14:paraId="616F331C" w14:textId="77777777">
        <w:trPr>
          <w:cantSplit/>
        </w:trPr>
        <w:tc>
          <w:tcPr>
            <w:tcW w:w="2589" w:type="dxa"/>
            <w:tcBorders>
              <w:top w:val="dotted" w:sz="4" w:space="0" w:color="auto"/>
              <w:left w:val="dotted" w:sz="4" w:space="0" w:color="auto"/>
              <w:bottom w:val="dotted" w:sz="4" w:space="0" w:color="auto"/>
              <w:right w:val="dotted" w:sz="4" w:space="0" w:color="auto"/>
            </w:tcBorders>
          </w:tcPr>
          <w:p w14:paraId="688D48FF" w14:textId="77777777" w:rsidR="00932AC5" w:rsidRDefault="00850229">
            <w:pPr>
              <w:pStyle w:val="NoSpacing"/>
            </w:pPr>
            <w:r>
              <w:t>Fargate memory: 35,040 GB-hours × USD 0.004445</w:t>
            </w:r>
          </w:p>
        </w:tc>
        <w:tc>
          <w:tcPr>
            <w:tcW w:w="4203" w:type="dxa"/>
            <w:tcBorders>
              <w:top w:val="dotted" w:sz="4" w:space="0" w:color="auto"/>
              <w:left w:val="dotted" w:sz="4" w:space="0" w:color="auto"/>
              <w:bottom w:val="dotted" w:sz="4" w:space="0" w:color="auto"/>
              <w:right w:val="dotted" w:sz="4" w:space="0" w:color="auto"/>
            </w:tcBorders>
          </w:tcPr>
          <w:p w14:paraId="0F364B5C" w14:textId="77777777" w:rsidR="00932AC5" w:rsidRDefault="00850229">
            <w:pPr>
              <w:pStyle w:val="NoSpacing"/>
            </w:pPr>
            <w:r>
              <w:t>USD 156</w:t>
            </w:r>
          </w:p>
        </w:tc>
        <w:tc>
          <w:tcPr>
            <w:tcW w:w="2234" w:type="dxa"/>
            <w:tcBorders>
              <w:top w:val="dotted" w:sz="4" w:space="0" w:color="auto"/>
              <w:left w:val="dotted" w:sz="4" w:space="0" w:color="auto"/>
              <w:bottom w:val="dotted" w:sz="4" w:space="0" w:color="auto"/>
              <w:right w:val="dotted" w:sz="4" w:space="0" w:color="auto"/>
            </w:tcBorders>
          </w:tcPr>
          <w:p w14:paraId="30F5D167" w14:textId="77777777" w:rsidR="00932AC5" w:rsidRDefault="00850229">
            <w:pPr>
              <w:pStyle w:val="NoSpacing"/>
            </w:pPr>
            <w:r>
              <w:t>USD 156</w:t>
            </w:r>
          </w:p>
        </w:tc>
      </w:tr>
      <w:tr w:rsidR="00932AC5" w14:paraId="6DD0EA15" w14:textId="77777777">
        <w:trPr>
          <w:cantSplit/>
        </w:trPr>
        <w:tc>
          <w:tcPr>
            <w:tcW w:w="2589" w:type="dxa"/>
            <w:tcBorders>
              <w:top w:val="dotted" w:sz="4" w:space="0" w:color="auto"/>
              <w:left w:val="dotted" w:sz="4" w:space="0" w:color="auto"/>
              <w:bottom w:val="dotted" w:sz="4" w:space="0" w:color="auto"/>
              <w:right w:val="dotted" w:sz="4" w:space="0" w:color="auto"/>
            </w:tcBorders>
          </w:tcPr>
          <w:p w14:paraId="02089916" w14:textId="77777777" w:rsidR="00932AC5" w:rsidRDefault="00850229">
            <w:pPr>
              <w:pStyle w:val="NoSpacing"/>
            </w:pPr>
            <w:r>
              <w:t>Production compute (identical)</w:t>
            </w:r>
          </w:p>
        </w:tc>
        <w:tc>
          <w:tcPr>
            <w:tcW w:w="4203" w:type="dxa"/>
            <w:tcBorders>
              <w:top w:val="dotted" w:sz="4" w:space="0" w:color="auto"/>
              <w:left w:val="dotted" w:sz="4" w:space="0" w:color="auto"/>
              <w:bottom w:val="dotted" w:sz="4" w:space="0" w:color="auto"/>
              <w:right w:val="dotted" w:sz="4" w:space="0" w:color="auto"/>
            </w:tcBorders>
          </w:tcPr>
          <w:p w14:paraId="1EE5814A" w14:textId="77777777" w:rsidR="00932AC5" w:rsidRDefault="00850229">
            <w:pPr>
              <w:pStyle w:val="NoSpacing"/>
            </w:pPr>
            <w:r>
              <w:t>≈ USD 865</w:t>
            </w:r>
          </w:p>
        </w:tc>
        <w:tc>
          <w:tcPr>
            <w:tcW w:w="2234" w:type="dxa"/>
            <w:tcBorders>
              <w:top w:val="dotted" w:sz="4" w:space="0" w:color="auto"/>
              <w:left w:val="dotted" w:sz="4" w:space="0" w:color="auto"/>
              <w:bottom w:val="dotted" w:sz="4" w:space="0" w:color="auto"/>
              <w:right w:val="dotted" w:sz="4" w:space="0" w:color="auto"/>
            </w:tcBorders>
          </w:tcPr>
          <w:p w14:paraId="659DB260" w14:textId="77777777" w:rsidR="00932AC5" w:rsidRDefault="00850229">
            <w:pPr>
              <w:pStyle w:val="NoSpacing"/>
            </w:pPr>
            <w:r>
              <w:t>≈ USD 865</w:t>
            </w:r>
          </w:p>
        </w:tc>
      </w:tr>
      <w:tr w:rsidR="00932AC5" w14:paraId="47A0A799" w14:textId="77777777">
        <w:trPr>
          <w:cantSplit/>
        </w:trPr>
        <w:tc>
          <w:tcPr>
            <w:tcW w:w="2589" w:type="dxa"/>
            <w:tcBorders>
              <w:top w:val="dotted" w:sz="4" w:space="0" w:color="auto"/>
              <w:left w:val="dotted" w:sz="4" w:space="0" w:color="auto"/>
              <w:bottom w:val="dotted" w:sz="4" w:space="0" w:color="auto"/>
              <w:right w:val="dotted" w:sz="4" w:space="0" w:color="auto"/>
            </w:tcBorders>
          </w:tcPr>
          <w:p w14:paraId="02B12656" w14:textId="77777777" w:rsidR="00932AC5" w:rsidRDefault="00850229">
            <w:pPr>
              <w:pStyle w:val="NoSpacing"/>
            </w:pPr>
            <w:r>
              <w:t>Orchestrator fee: 4 clusters × 730 hours × USD 0.10</w:t>
            </w:r>
          </w:p>
        </w:tc>
        <w:tc>
          <w:tcPr>
            <w:tcW w:w="4203" w:type="dxa"/>
            <w:tcBorders>
              <w:top w:val="dotted" w:sz="4" w:space="0" w:color="auto"/>
              <w:left w:val="dotted" w:sz="4" w:space="0" w:color="auto"/>
              <w:bottom w:val="dotted" w:sz="4" w:space="0" w:color="auto"/>
              <w:right w:val="dotted" w:sz="4" w:space="0" w:color="auto"/>
            </w:tcBorders>
          </w:tcPr>
          <w:p w14:paraId="61186AB6" w14:textId="77777777" w:rsidR="00932AC5" w:rsidRDefault="00850229">
            <w:pPr>
              <w:pStyle w:val="NoSpacing"/>
            </w:pPr>
            <w:r>
              <w:t>USD 0</w:t>
            </w:r>
          </w:p>
        </w:tc>
        <w:tc>
          <w:tcPr>
            <w:tcW w:w="2234" w:type="dxa"/>
            <w:tcBorders>
              <w:top w:val="dotted" w:sz="4" w:space="0" w:color="auto"/>
              <w:left w:val="dotted" w:sz="4" w:space="0" w:color="auto"/>
              <w:bottom w:val="dotted" w:sz="4" w:space="0" w:color="auto"/>
              <w:right w:val="dotted" w:sz="4" w:space="0" w:color="auto"/>
            </w:tcBorders>
          </w:tcPr>
          <w:p w14:paraId="00C2AE2D" w14:textId="77777777" w:rsidR="00932AC5" w:rsidRDefault="00850229">
            <w:pPr>
              <w:pStyle w:val="NoSpacing"/>
            </w:pPr>
            <w:r>
              <w:t>USD 292</w:t>
            </w:r>
          </w:p>
        </w:tc>
      </w:tr>
      <w:tr w:rsidR="00932AC5" w14:paraId="3E18D9FF" w14:textId="77777777">
        <w:trPr>
          <w:cantSplit/>
        </w:trPr>
        <w:tc>
          <w:tcPr>
            <w:tcW w:w="2589" w:type="dxa"/>
            <w:tcBorders>
              <w:top w:val="dotted" w:sz="4" w:space="0" w:color="auto"/>
              <w:left w:val="dotted" w:sz="4" w:space="0" w:color="auto"/>
              <w:bottom w:val="dotted" w:sz="4" w:space="0" w:color="auto"/>
              <w:right w:val="dotted" w:sz="4" w:space="0" w:color="auto"/>
            </w:tcBorders>
          </w:tcPr>
          <w:p w14:paraId="794A7BB6" w14:textId="77777777" w:rsidR="00932AC5" w:rsidRDefault="00850229">
            <w:pPr>
              <w:pStyle w:val="NoSpacing"/>
            </w:pPr>
            <w:r>
              <w:t>Total on the invoice</w:t>
            </w:r>
          </w:p>
        </w:tc>
        <w:tc>
          <w:tcPr>
            <w:tcW w:w="4203" w:type="dxa"/>
            <w:tcBorders>
              <w:top w:val="dotted" w:sz="4" w:space="0" w:color="auto"/>
              <w:left w:val="dotted" w:sz="4" w:space="0" w:color="auto"/>
              <w:bottom w:val="dotted" w:sz="4" w:space="0" w:color="auto"/>
              <w:right w:val="dotted" w:sz="4" w:space="0" w:color="auto"/>
            </w:tcBorders>
          </w:tcPr>
          <w:p w14:paraId="3978E656" w14:textId="77777777" w:rsidR="00932AC5" w:rsidRDefault="00850229">
            <w:pPr>
              <w:pStyle w:val="NoSpacing"/>
            </w:pPr>
            <w:r>
              <w:t>≈ USD 865</w:t>
            </w:r>
          </w:p>
        </w:tc>
        <w:tc>
          <w:tcPr>
            <w:tcW w:w="2234" w:type="dxa"/>
            <w:tcBorders>
              <w:top w:val="dotted" w:sz="4" w:space="0" w:color="auto"/>
              <w:left w:val="dotted" w:sz="4" w:space="0" w:color="auto"/>
              <w:bottom w:val="dotted" w:sz="4" w:space="0" w:color="auto"/>
              <w:right w:val="dotted" w:sz="4" w:space="0" w:color="auto"/>
            </w:tcBorders>
          </w:tcPr>
          <w:p w14:paraId="6E293666" w14:textId="77777777" w:rsidR="00932AC5" w:rsidRDefault="00850229">
            <w:pPr>
              <w:pStyle w:val="NoSpacing"/>
            </w:pPr>
            <w:r>
              <w:t>≈ USD 1,157 (+34%)</w:t>
            </w:r>
          </w:p>
        </w:tc>
      </w:tr>
      <w:tr w:rsidR="00932AC5" w14:paraId="025861AE" w14:textId="77777777">
        <w:trPr>
          <w:cantSplit/>
        </w:trPr>
        <w:tc>
          <w:tcPr>
            <w:tcW w:w="2589" w:type="dxa"/>
            <w:tcBorders>
              <w:top w:val="dotted" w:sz="4" w:space="0" w:color="auto"/>
              <w:left w:val="dotted" w:sz="4" w:space="0" w:color="auto"/>
              <w:bottom w:val="dotted" w:sz="4" w:space="0" w:color="auto"/>
              <w:right w:val="dotted" w:sz="4" w:space="0" w:color="auto"/>
            </w:tcBorders>
          </w:tcPr>
          <w:p w14:paraId="5A6FD7B0" w14:textId="77777777" w:rsidR="00932AC5" w:rsidRDefault="00850229">
            <w:pPr>
              <w:pStyle w:val="NoSpacing"/>
            </w:pPr>
            <w:r>
              <w:t>Extra cost if a cluster falls into extended support</w:t>
            </w:r>
          </w:p>
        </w:tc>
        <w:tc>
          <w:tcPr>
            <w:tcW w:w="4203" w:type="dxa"/>
            <w:tcBorders>
              <w:top w:val="dotted" w:sz="4" w:space="0" w:color="auto"/>
              <w:left w:val="dotted" w:sz="4" w:space="0" w:color="auto"/>
              <w:bottom w:val="dotted" w:sz="4" w:space="0" w:color="auto"/>
              <w:right w:val="dotted" w:sz="4" w:space="0" w:color="auto"/>
            </w:tcBorders>
          </w:tcPr>
          <w:p w14:paraId="0FB262CB" w14:textId="77777777" w:rsidR="00932AC5" w:rsidRDefault="00850229">
            <w:pPr>
              <w:pStyle w:val="NoSpacing"/>
            </w:pPr>
            <w:r>
              <w:t>None</w:t>
            </w:r>
          </w:p>
        </w:tc>
        <w:tc>
          <w:tcPr>
            <w:tcW w:w="2234" w:type="dxa"/>
            <w:tcBorders>
              <w:top w:val="dotted" w:sz="4" w:space="0" w:color="auto"/>
              <w:left w:val="dotted" w:sz="4" w:space="0" w:color="auto"/>
              <w:bottom w:val="dotted" w:sz="4" w:space="0" w:color="auto"/>
              <w:right w:val="dotted" w:sz="4" w:space="0" w:color="auto"/>
            </w:tcBorders>
          </w:tcPr>
          <w:p w14:paraId="4984AFC8" w14:textId="77777777" w:rsidR="00932AC5" w:rsidRDefault="00850229">
            <w:pPr>
              <w:pStyle w:val="NoSpacing"/>
            </w:pPr>
            <w:r>
              <w:t>+USD 365 per affected cluster per month</w:t>
            </w:r>
          </w:p>
        </w:tc>
      </w:tr>
      <w:tr w:rsidR="00932AC5" w14:paraId="241CD4DD" w14:textId="77777777">
        <w:trPr>
          <w:cantSplit/>
        </w:trPr>
        <w:tc>
          <w:tcPr>
            <w:tcW w:w="2589" w:type="dxa"/>
            <w:tcBorders>
              <w:top w:val="dotted" w:sz="4" w:space="0" w:color="auto"/>
              <w:left w:val="dotted" w:sz="4" w:space="0" w:color="auto"/>
              <w:bottom w:val="dotted" w:sz="4" w:space="0" w:color="auto"/>
              <w:right w:val="dotted" w:sz="4" w:space="0" w:color="auto"/>
            </w:tcBorders>
          </w:tcPr>
          <w:p w14:paraId="13A7F168" w14:textId="77777777" w:rsidR="00932AC5" w:rsidRDefault="00850229">
            <w:pPr>
              <w:pStyle w:val="NoSpacing"/>
            </w:pPr>
            <w:r>
              <w:t>Kubernetes version upgrades (effort, not invoiced)</w:t>
            </w:r>
          </w:p>
        </w:tc>
        <w:tc>
          <w:tcPr>
            <w:tcW w:w="4203" w:type="dxa"/>
            <w:tcBorders>
              <w:top w:val="dotted" w:sz="4" w:space="0" w:color="auto"/>
              <w:left w:val="dotted" w:sz="4" w:space="0" w:color="auto"/>
              <w:bottom w:val="dotted" w:sz="4" w:space="0" w:color="auto"/>
              <w:right w:val="dotted" w:sz="4" w:space="0" w:color="auto"/>
            </w:tcBorders>
          </w:tcPr>
          <w:p w14:paraId="2CE4E82B" w14:textId="77777777" w:rsidR="00932AC5" w:rsidRDefault="00850229">
            <w:pPr>
              <w:pStyle w:val="NoSpacing"/>
            </w:pPr>
            <w:r>
              <w:t>None</w:t>
            </w:r>
          </w:p>
        </w:tc>
        <w:tc>
          <w:tcPr>
            <w:tcW w:w="2234" w:type="dxa"/>
            <w:tcBorders>
              <w:top w:val="dotted" w:sz="4" w:space="0" w:color="auto"/>
              <w:left w:val="dotted" w:sz="4" w:space="0" w:color="auto"/>
              <w:bottom w:val="dotted" w:sz="4" w:space="0" w:color="auto"/>
              <w:right w:val="dotted" w:sz="4" w:space="0" w:color="auto"/>
            </w:tcBorders>
          </w:tcPr>
          <w:p w14:paraId="64AB8BBE" w14:textId="77777777" w:rsidR="00932AC5" w:rsidRDefault="00850229">
            <w:pPr>
              <w:pStyle w:val="NoSpacing"/>
            </w:pPr>
            <w:r>
              <w:t>≈ 15–21 person-days a year</w:t>
            </w:r>
          </w:p>
        </w:tc>
      </w:tr>
      <w:tr w:rsidR="00932AC5" w14:paraId="1F8D4163" w14:textId="77777777">
        <w:trPr>
          <w:cantSplit/>
        </w:trPr>
        <w:tc>
          <w:tcPr>
            <w:tcW w:w="2589" w:type="dxa"/>
            <w:tcBorders>
              <w:top w:val="dotted" w:sz="4" w:space="0" w:color="auto"/>
              <w:left w:val="dotted" w:sz="4" w:space="0" w:color="auto"/>
              <w:bottom w:val="dotted" w:sz="4" w:space="0" w:color="auto"/>
              <w:right w:val="dotted" w:sz="4" w:space="0" w:color="auto"/>
            </w:tcBorders>
          </w:tcPr>
          <w:p w14:paraId="011ED7CA" w14:textId="77777777" w:rsidR="00932AC5" w:rsidRDefault="00850229">
            <w:pPr>
              <w:pStyle w:val="NoSpacing"/>
            </w:pPr>
            <w:r>
              <w:t>Discounts available</w:t>
            </w:r>
          </w:p>
        </w:tc>
        <w:tc>
          <w:tcPr>
            <w:tcW w:w="4203" w:type="dxa"/>
            <w:tcBorders>
              <w:top w:val="dotted" w:sz="4" w:space="0" w:color="auto"/>
              <w:left w:val="dotted" w:sz="4" w:space="0" w:color="auto"/>
              <w:bottom w:val="dotted" w:sz="4" w:space="0" w:color="auto"/>
              <w:right w:val="dotted" w:sz="4" w:space="0" w:color="auto"/>
            </w:tcBorders>
          </w:tcPr>
          <w:p w14:paraId="17490806" w14:textId="77777777" w:rsidR="00932AC5" w:rsidRDefault="00850229">
            <w:pPr>
              <w:pStyle w:val="NoSpacing"/>
            </w:pPr>
            <w:r>
              <w:t>Compute Savings Plans; Graviton (≈ 20% lower rates); Fargate Spot (up to 70% off) for interruptible jobs and non-production</w:t>
            </w:r>
          </w:p>
        </w:tc>
        <w:tc>
          <w:tcPr>
            <w:tcW w:w="2234" w:type="dxa"/>
            <w:tcBorders>
              <w:top w:val="dotted" w:sz="4" w:space="0" w:color="auto"/>
              <w:left w:val="dotted" w:sz="4" w:space="0" w:color="auto"/>
              <w:bottom w:val="dotted" w:sz="4" w:space="0" w:color="auto"/>
              <w:right w:val="dotted" w:sz="4" w:space="0" w:color="auto"/>
            </w:tcBorders>
          </w:tcPr>
          <w:p w14:paraId="67C58507" w14:textId="77777777" w:rsidR="00932AC5" w:rsidRDefault="00850229">
            <w:pPr>
              <w:pStyle w:val="NoSpacing"/>
            </w:pPr>
            <w:r>
              <w:t>Compute Savings Plans only</w:t>
            </w:r>
          </w:p>
        </w:tc>
      </w:tr>
    </w:tbl>
    <w:p w14:paraId="09123B0D" w14:textId="77777777" w:rsidR="00932AC5" w:rsidRDefault="00932AC5"/>
    <w:p w14:paraId="1B700B29" w14:textId="77777777" w:rsidR="00932AC5" w:rsidRDefault="00850229">
      <w:r>
        <w:t>The upgrade-effort line is a planning estimate:</w:t>
      </w:r>
    </w:p>
    <w:p w14:paraId="3468E888" w14:textId="77777777" w:rsidR="00932AC5" w:rsidRDefault="00850229">
      <w:pPr>
        <w:pStyle w:val="ListParagraph"/>
        <w:numPr>
          <w:ilvl w:val="0"/>
          <w:numId w:val="40"/>
        </w:numPr>
      </w:pPr>
      <w:r>
        <w:t>Kubernetes releases about three minor versions a year. Each must be taken through all four clusters in turn.</w:t>
      </w:r>
    </w:p>
    <w:p w14:paraId="37AD6B92" w14:textId="77777777" w:rsidR="00932AC5" w:rsidRDefault="00850229">
      <w:pPr>
        <w:pStyle w:val="ListParagraph"/>
        <w:numPr>
          <w:ilvl w:val="0"/>
          <w:numId w:val="40"/>
        </w:numPr>
      </w:pPr>
      <w:r>
        <w:t>For each version, reviewing deprecations and add-on compatibility and upgrading development takes about two person-days.</w:t>
      </w:r>
    </w:p>
    <w:p w14:paraId="1304826E" w14:textId="77777777" w:rsidR="00932AC5" w:rsidRDefault="00850229">
      <w:pPr>
        <w:pStyle w:val="ListParagraph"/>
        <w:numPr>
          <w:ilvl w:val="0"/>
          <w:numId w:val="40"/>
        </w:numPr>
      </w:pPr>
      <w:r>
        <w:t>Staging, production and the us-east-2 standby then take about one person-day each, including the rolling restart of Fargate pods and regression tests.</w:t>
      </w:r>
    </w:p>
    <w:p w14:paraId="2F0C66E4" w14:textId="77777777" w:rsidR="00932AC5" w:rsidRDefault="00850229">
      <w:pPr>
        <w:pStyle w:val="ListParagraph"/>
        <w:numPr>
          <w:ilvl w:val="0"/>
          <w:numId w:val="40"/>
        </w:numPr>
      </w:pPr>
      <w:r>
        <w:lastRenderedPageBreak/>
        <w:t>That is roughly five person-days per version, or fifteen a year, rising towards twenty-one when an add-on or Helm chart needs changes.</w:t>
      </w:r>
    </w:p>
    <w:p w14:paraId="09D403C3" w14:textId="77777777" w:rsidR="00932AC5" w:rsidRDefault="00850229">
      <w:pPr>
        <w:pStyle w:val="ListParagraph"/>
        <w:numPr>
          <w:ilvl w:val="0"/>
          <w:numId w:val="40"/>
        </w:numPr>
      </w:pPr>
      <w:r>
        <w:t>It excludes wider Kubernetes platform work — controllers, observability agents, access control — which the Compute DAR estimates at 0.5 to 1.0 full-time engineer for a node-based cluster.</w:t>
      </w:r>
    </w:p>
    <w:p w14:paraId="25A0F588" w14:textId="77777777" w:rsidR="00932AC5" w:rsidRDefault="00850229">
      <w:pPr>
        <w:pStyle w:val="ListParagraph"/>
        <w:numPr>
          <w:ilvl w:val="0"/>
          <w:numId w:val="40"/>
        </w:numPr>
      </w:pPr>
      <w:r>
        <w:t>It is shown here for completeness, and scored under Maintainability and Complexity rather than under Cost.</w:t>
      </w:r>
    </w:p>
    <w:p w14:paraId="2AF823E5" w14:textId="77777777" w:rsidR="00932AC5" w:rsidRDefault="00850229">
      <w:r>
        <w:t>Two sensitivities leave the conclusion unchanged:</w:t>
      </w:r>
    </w:p>
    <w:p w14:paraId="0C85D898" w14:textId="77777777" w:rsidR="00932AC5" w:rsidRDefault="00850229">
      <w:pPr>
        <w:pStyle w:val="ListParagraph"/>
        <w:numPr>
          <w:ilvl w:val="0"/>
          <w:numId w:val="40"/>
        </w:numPr>
      </w:pPr>
      <w:r>
        <w:t>Service count. The SAD lists eleven Layer 3 services plus the Auth Service, and the diagrams show eleven or twelve. At twelve services on the same basis (36 tasks; 26,280 vCPU-hours and 52,560 GB-hours), compute rises to ≈ USD 1,297 a month under both options. The EKS fee stays at USD 292, which is 23% of compute instead of 34%.</w:t>
      </w:r>
    </w:p>
    <w:p w14:paraId="05D2EEE1" w14:textId="77777777" w:rsidR="00932AC5" w:rsidRDefault="00850229">
      <w:pPr>
        <w:pStyle w:val="ListParagraph"/>
        <w:numPr>
          <w:ilvl w:val="0"/>
          <w:numId w:val="40"/>
        </w:numPr>
      </w:pPr>
      <w:r>
        <w:t>Cluster count. Combining development and staging in one cluster would cut the EKS fee to ≈ USD 219 a month. The cost is that upgrades would be rehearsed on a shared cluster.</w:t>
      </w:r>
    </w:p>
    <w:p w14:paraId="0822CEEF" w14:textId="77777777" w:rsidR="00932AC5" w:rsidRDefault="00850229">
      <w:r>
        <w:t>On the invoice, the difference is modest: USD 292 a month, or USD 3,504 a year. It is not what decides the matter. For that fee, EKS provides a Kubernetes API that Phase 1 does not need. Beyond the invoice, it brings a version lifecycle that must be run in four clusters, about every four months, for the life of the platform.</w:t>
      </w:r>
    </w:p>
    <w:p w14:paraId="3A696C35" w14:textId="77777777" w:rsidR="00932AC5" w:rsidRDefault="00850229">
      <w:pPr>
        <w:pStyle w:val="Heading2"/>
      </w:pPr>
      <w:bookmarkStart w:id="13" w:name="_Toc244213673"/>
      <w:r>
        <w:t>Comparison 2 — Operational Comparison</w:t>
      </w:r>
      <w:bookmarkEnd w:id="13"/>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00"/>
        <w:gridCol w:w="3624"/>
        <w:gridCol w:w="3502"/>
      </w:tblGrid>
      <w:tr w:rsidR="00932AC5" w14:paraId="0BF513C1" w14:textId="77777777">
        <w:trPr>
          <w:cantSplit/>
          <w:tblHeader/>
        </w:trPr>
        <w:tc>
          <w:tcPr>
            <w:tcW w:w="1900" w:type="dxa"/>
            <w:tcBorders>
              <w:top w:val="dotted" w:sz="4" w:space="0" w:color="auto"/>
              <w:left w:val="dotted" w:sz="4" w:space="0" w:color="auto"/>
              <w:bottom w:val="dotted" w:sz="4" w:space="0" w:color="auto"/>
              <w:right w:val="dotted" w:sz="4" w:space="0" w:color="auto"/>
            </w:tcBorders>
            <w:shd w:val="pct5" w:color="auto" w:fill="auto"/>
          </w:tcPr>
          <w:p w14:paraId="79690EBC" w14:textId="77777777" w:rsidR="00932AC5" w:rsidRDefault="00850229">
            <w:pPr>
              <w:pStyle w:val="NoSpacing"/>
            </w:pPr>
            <w:r>
              <w:rPr>
                <w:b/>
              </w:rPr>
              <w:t>Aspect</w:t>
            </w:r>
          </w:p>
        </w:tc>
        <w:tc>
          <w:tcPr>
            <w:tcW w:w="3624" w:type="dxa"/>
            <w:tcBorders>
              <w:top w:val="dotted" w:sz="4" w:space="0" w:color="auto"/>
              <w:left w:val="dotted" w:sz="4" w:space="0" w:color="auto"/>
              <w:bottom w:val="dotted" w:sz="4" w:space="0" w:color="auto"/>
              <w:right w:val="dotted" w:sz="4" w:space="0" w:color="auto"/>
            </w:tcBorders>
            <w:shd w:val="pct5" w:color="auto" w:fill="auto"/>
          </w:tcPr>
          <w:p w14:paraId="4E672833" w14:textId="77777777" w:rsidR="00932AC5" w:rsidRDefault="00850229">
            <w:pPr>
              <w:pStyle w:val="NoSpacing"/>
            </w:pPr>
            <w:r>
              <w:rPr>
                <w:b/>
              </w:rPr>
              <w:t>Amazon ECS on Fargate</w:t>
            </w:r>
          </w:p>
        </w:tc>
        <w:tc>
          <w:tcPr>
            <w:tcW w:w="3502" w:type="dxa"/>
            <w:tcBorders>
              <w:top w:val="dotted" w:sz="4" w:space="0" w:color="auto"/>
              <w:left w:val="dotted" w:sz="4" w:space="0" w:color="auto"/>
              <w:bottom w:val="dotted" w:sz="4" w:space="0" w:color="auto"/>
              <w:right w:val="dotted" w:sz="4" w:space="0" w:color="auto"/>
            </w:tcBorders>
            <w:shd w:val="pct5" w:color="auto" w:fill="auto"/>
          </w:tcPr>
          <w:p w14:paraId="667E0790" w14:textId="77777777" w:rsidR="00932AC5" w:rsidRDefault="00850229">
            <w:pPr>
              <w:pStyle w:val="NoSpacing"/>
            </w:pPr>
            <w:r>
              <w:rPr>
                <w:b/>
              </w:rPr>
              <w:t>Amazon EKS on Fargate or managed node groups</w:t>
            </w:r>
          </w:p>
        </w:tc>
      </w:tr>
      <w:tr w:rsidR="00932AC5" w14:paraId="04FD1089" w14:textId="77777777">
        <w:trPr>
          <w:cantSplit/>
        </w:trPr>
        <w:tc>
          <w:tcPr>
            <w:tcW w:w="1900" w:type="dxa"/>
            <w:tcBorders>
              <w:top w:val="dotted" w:sz="4" w:space="0" w:color="auto"/>
              <w:left w:val="dotted" w:sz="4" w:space="0" w:color="auto"/>
              <w:bottom w:val="dotted" w:sz="4" w:space="0" w:color="auto"/>
              <w:right w:val="dotted" w:sz="4" w:space="0" w:color="auto"/>
            </w:tcBorders>
          </w:tcPr>
          <w:p w14:paraId="540390EE" w14:textId="77777777" w:rsidR="00932AC5" w:rsidRDefault="00850229">
            <w:pPr>
              <w:pStyle w:val="NoSpacing"/>
            </w:pPr>
            <w:r>
              <w:t>Control-plane version</w:t>
            </w:r>
          </w:p>
        </w:tc>
        <w:tc>
          <w:tcPr>
            <w:tcW w:w="3624" w:type="dxa"/>
            <w:tcBorders>
              <w:top w:val="dotted" w:sz="4" w:space="0" w:color="auto"/>
              <w:left w:val="dotted" w:sz="4" w:space="0" w:color="auto"/>
              <w:bottom w:val="dotted" w:sz="4" w:space="0" w:color="auto"/>
              <w:right w:val="dotted" w:sz="4" w:space="0" w:color="auto"/>
            </w:tcBorders>
          </w:tcPr>
          <w:p w14:paraId="27DBCEAF" w14:textId="77777777" w:rsidR="00932AC5" w:rsidRDefault="00850229">
            <w:pPr>
              <w:pStyle w:val="NoSpacing"/>
            </w:pPr>
            <w:r>
              <w:t>None. AWS evolves the ECS API without customer upgrades</w:t>
            </w:r>
          </w:p>
        </w:tc>
        <w:tc>
          <w:tcPr>
            <w:tcW w:w="3502" w:type="dxa"/>
            <w:tcBorders>
              <w:top w:val="dotted" w:sz="4" w:space="0" w:color="auto"/>
              <w:left w:val="dotted" w:sz="4" w:space="0" w:color="auto"/>
              <w:bottom w:val="dotted" w:sz="4" w:space="0" w:color="auto"/>
              <w:right w:val="dotted" w:sz="4" w:space="0" w:color="auto"/>
            </w:tcBorders>
          </w:tcPr>
          <w:p w14:paraId="3694C958" w14:textId="77777777" w:rsidR="00932AC5" w:rsidRDefault="00850229">
            <w:pPr>
              <w:pStyle w:val="NoSpacing"/>
            </w:pPr>
            <w:r>
              <w:t>One Kubernetes minor version per cluster; a new minor version about every four months</w:t>
            </w:r>
          </w:p>
        </w:tc>
      </w:tr>
      <w:tr w:rsidR="00932AC5" w14:paraId="45B6082E" w14:textId="77777777">
        <w:trPr>
          <w:cantSplit/>
        </w:trPr>
        <w:tc>
          <w:tcPr>
            <w:tcW w:w="1900" w:type="dxa"/>
            <w:tcBorders>
              <w:top w:val="dotted" w:sz="4" w:space="0" w:color="auto"/>
              <w:left w:val="dotted" w:sz="4" w:space="0" w:color="auto"/>
              <w:bottom w:val="dotted" w:sz="4" w:space="0" w:color="auto"/>
              <w:right w:val="dotted" w:sz="4" w:space="0" w:color="auto"/>
            </w:tcBorders>
          </w:tcPr>
          <w:p w14:paraId="7B7009E5" w14:textId="77777777" w:rsidR="00932AC5" w:rsidRDefault="00850229">
            <w:pPr>
              <w:pStyle w:val="NoSpacing"/>
            </w:pPr>
            <w:r>
              <w:t>Support window</w:t>
            </w:r>
          </w:p>
        </w:tc>
        <w:tc>
          <w:tcPr>
            <w:tcW w:w="3624" w:type="dxa"/>
            <w:tcBorders>
              <w:top w:val="dotted" w:sz="4" w:space="0" w:color="auto"/>
              <w:left w:val="dotted" w:sz="4" w:space="0" w:color="auto"/>
              <w:bottom w:val="dotted" w:sz="4" w:space="0" w:color="auto"/>
              <w:right w:val="dotted" w:sz="4" w:space="0" w:color="auto"/>
            </w:tcBorders>
          </w:tcPr>
          <w:p w14:paraId="143883E4" w14:textId="77777777" w:rsidR="00932AC5" w:rsidRDefault="00850229">
            <w:pPr>
              <w:pStyle w:val="NoSpacing"/>
            </w:pPr>
            <w:r>
              <w:t>Not applicable</w:t>
            </w:r>
          </w:p>
        </w:tc>
        <w:tc>
          <w:tcPr>
            <w:tcW w:w="3502" w:type="dxa"/>
            <w:tcBorders>
              <w:top w:val="dotted" w:sz="4" w:space="0" w:color="auto"/>
              <w:left w:val="dotted" w:sz="4" w:space="0" w:color="auto"/>
              <w:bottom w:val="dotted" w:sz="4" w:space="0" w:color="auto"/>
              <w:right w:val="dotted" w:sz="4" w:space="0" w:color="auto"/>
            </w:tcBorders>
          </w:tcPr>
          <w:p w14:paraId="5728724E" w14:textId="77777777" w:rsidR="00932AC5" w:rsidRDefault="00850229">
            <w:pPr>
              <w:pStyle w:val="NoSpacing"/>
            </w:pPr>
            <w:r>
              <w:t>14 months of standard support, then 12 months of extended support at USD 0.60 per cluster-hour. The control plane is upgraded automatically when extended support ends, or when standard support ends if extended support is disabled</w:t>
            </w:r>
          </w:p>
        </w:tc>
      </w:tr>
      <w:tr w:rsidR="00932AC5" w14:paraId="7CFF6208" w14:textId="77777777">
        <w:trPr>
          <w:cantSplit/>
        </w:trPr>
        <w:tc>
          <w:tcPr>
            <w:tcW w:w="1900" w:type="dxa"/>
            <w:tcBorders>
              <w:top w:val="dotted" w:sz="4" w:space="0" w:color="auto"/>
              <w:left w:val="dotted" w:sz="4" w:space="0" w:color="auto"/>
              <w:bottom w:val="dotted" w:sz="4" w:space="0" w:color="auto"/>
              <w:right w:val="dotted" w:sz="4" w:space="0" w:color="auto"/>
            </w:tcBorders>
          </w:tcPr>
          <w:p w14:paraId="7364B17D" w14:textId="77777777" w:rsidR="00932AC5" w:rsidRDefault="00850229">
            <w:pPr>
              <w:pStyle w:val="NoSpacing"/>
            </w:pPr>
            <w:r>
              <w:t>Upgrade mechanics</w:t>
            </w:r>
          </w:p>
        </w:tc>
        <w:tc>
          <w:tcPr>
            <w:tcW w:w="3624" w:type="dxa"/>
            <w:tcBorders>
              <w:top w:val="dotted" w:sz="4" w:space="0" w:color="auto"/>
              <w:left w:val="dotted" w:sz="4" w:space="0" w:color="auto"/>
              <w:bottom w:val="dotted" w:sz="4" w:space="0" w:color="auto"/>
              <w:right w:val="dotted" w:sz="4" w:space="0" w:color="auto"/>
            </w:tcBorders>
          </w:tcPr>
          <w:p w14:paraId="78F9EE03" w14:textId="77777777" w:rsidR="00932AC5" w:rsidRDefault="00850229">
            <w:pPr>
              <w:pStyle w:val="NoSpacing"/>
            </w:pPr>
            <w:r>
              <w:t>Nothing to upgrade. AWS retires old Fargate platform revisions and the scheduler replaces tasks, starting the new before stopping the old. Default notice is seven days (fourteen on request), or use EC2 event windows</w:t>
            </w:r>
          </w:p>
        </w:tc>
        <w:tc>
          <w:tcPr>
            <w:tcW w:w="3502" w:type="dxa"/>
            <w:tcBorders>
              <w:top w:val="dotted" w:sz="4" w:space="0" w:color="auto"/>
              <w:left w:val="dotted" w:sz="4" w:space="0" w:color="auto"/>
              <w:bottom w:val="dotted" w:sz="4" w:space="0" w:color="auto"/>
              <w:right w:val="dotted" w:sz="4" w:space="0" w:color="auto"/>
            </w:tcBorders>
          </w:tcPr>
          <w:p w14:paraId="272CCE9F" w14:textId="77777777" w:rsidR="00932AC5" w:rsidRDefault="00850229">
            <w:pPr>
              <w:pStyle w:val="NoSpacing"/>
            </w:pPr>
            <w:r>
              <w:t>In each cluster, one minor version at a time: the control plane, then the add-ons (Amazon VPC CNI, CoreDNS, kube-proxy, AWS Load Balancer Controller, observability agents), then a rolling restart of Fargate pods. Node groups are updated separately. An in-place upgrade can be rolled back within seven days</w:t>
            </w:r>
          </w:p>
        </w:tc>
      </w:tr>
      <w:tr w:rsidR="00932AC5" w14:paraId="6E3883C4" w14:textId="77777777">
        <w:trPr>
          <w:cantSplit/>
        </w:trPr>
        <w:tc>
          <w:tcPr>
            <w:tcW w:w="1900" w:type="dxa"/>
            <w:tcBorders>
              <w:top w:val="dotted" w:sz="4" w:space="0" w:color="auto"/>
              <w:left w:val="dotted" w:sz="4" w:space="0" w:color="auto"/>
              <w:bottom w:val="dotted" w:sz="4" w:space="0" w:color="auto"/>
              <w:right w:val="dotted" w:sz="4" w:space="0" w:color="auto"/>
            </w:tcBorders>
          </w:tcPr>
          <w:p w14:paraId="6C60B68E" w14:textId="77777777" w:rsidR="00932AC5" w:rsidRDefault="00850229">
            <w:pPr>
              <w:pStyle w:val="NoSpacing"/>
            </w:pPr>
            <w:r>
              <w:t>Hosts to maintain</w:t>
            </w:r>
          </w:p>
        </w:tc>
        <w:tc>
          <w:tcPr>
            <w:tcW w:w="3624" w:type="dxa"/>
            <w:tcBorders>
              <w:top w:val="dotted" w:sz="4" w:space="0" w:color="auto"/>
              <w:left w:val="dotted" w:sz="4" w:space="0" w:color="auto"/>
              <w:bottom w:val="dotted" w:sz="4" w:space="0" w:color="auto"/>
              <w:right w:val="dotted" w:sz="4" w:space="0" w:color="auto"/>
            </w:tcBorders>
          </w:tcPr>
          <w:p w14:paraId="554843EB" w14:textId="77777777" w:rsidR="00932AC5" w:rsidRDefault="00850229">
            <w:pPr>
              <w:pStyle w:val="NoSpacing"/>
            </w:pPr>
            <w:r>
              <w:t>None</w:t>
            </w:r>
          </w:p>
        </w:tc>
        <w:tc>
          <w:tcPr>
            <w:tcW w:w="3502" w:type="dxa"/>
            <w:tcBorders>
              <w:top w:val="dotted" w:sz="4" w:space="0" w:color="auto"/>
              <w:left w:val="dotted" w:sz="4" w:space="0" w:color="auto"/>
              <w:bottom w:val="dotted" w:sz="4" w:space="0" w:color="auto"/>
              <w:right w:val="dotted" w:sz="4" w:space="0" w:color="auto"/>
            </w:tcBorders>
          </w:tcPr>
          <w:p w14:paraId="50628296" w14:textId="77777777" w:rsidR="00932AC5" w:rsidRDefault="00850229">
            <w:pPr>
              <w:pStyle w:val="NoSpacing"/>
            </w:pPr>
            <w:r>
              <w:t>None on Fargate. On managed node groups: machine images, node versions and capacity (Auto Mode automates these for a fee)</w:t>
            </w:r>
          </w:p>
        </w:tc>
      </w:tr>
      <w:tr w:rsidR="00932AC5" w14:paraId="12947FF5" w14:textId="77777777">
        <w:trPr>
          <w:cantSplit/>
        </w:trPr>
        <w:tc>
          <w:tcPr>
            <w:tcW w:w="1900" w:type="dxa"/>
            <w:tcBorders>
              <w:top w:val="dotted" w:sz="4" w:space="0" w:color="auto"/>
              <w:left w:val="dotted" w:sz="4" w:space="0" w:color="auto"/>
              <w:bottom w:val="dotted" w:sz="4" w:space="0" w:color="auto"/>
              <w:right w:val="dotted" w:sz="4" w:space="0" w:color="auto"/>
            </w:tcBorders>
          </w:tcPr>
          <w:p w14:paraId="0923D6CA" w14:textId="77777777" w:rsidR="00932AC5" w:rsidRDefault="00850229">
            <w:pPr>
              <w:pStyle w:val="NoSpacing"/>
            </w:pPr>
            <w:r>
              <w:lastRenderedPageBreak/>
              <w:t>Skills</w:t>
            </w:r>
          </w:p>
        </w:tc>
        <w:tc>
          <w:tcPr>
            <w:tcW w:w="3624" w:type="dxa"/>
            <w:tcBorders>
              <w:top w:val="dotted" w:sz="4" w:space="0" w:color="auto"/>
              <w:left w:val="dotted" w:sz="4" w:space="0" w:color="auto"/>
              <w:bottom w:val="dotted" w:sz="4" w:space="0" w:color="auto"/>
              <w:right w:val="dotted" w:sz="4" w:space="0" w:color="auto"/>
            </w:tcBorders>
          </w:tcPr>
          <w:p w14:paraId="3EF3BC1B" w14:textId="77777777" w:rsidR="00932AC5" w:rsidRDefault="00850229">
            <w:pPr>
              <w:pStyle w:val="NoSpacing"/>
            </w:pPr>
            <w:r>
              <w:t>The AWS skills eClaims already needs: IAM, VPC, ALB, CloudWatch, Terraform</w:t>
            </w:r>
          </w:p>
        </w:tc>
        <w:tc>
          <w:tcPr>
            <w:tcW w:w="3502" w:type="dxa"/>
            <w:tcBorders>
              <w:top w:val="dotted" w:sz="4" w:space="0" w:color="auto"/>
              <w:left w:val="dotted" w:sz="4" w:space="0" w:color="auto"/>
              <w:bottom w:val="dotted" w:sz="4" w:space="0" w:color="auto"/>
              <w:right w:val="dotted" w:sz="4" w:space="0" w:color="auto"/>
            </w:tcBorders>
          </w:tcPr>
          <w:p w14:paraId="27841E8B" w14:textId="77777777" w:rsidR="00932AC5" w:rsidRDefault="00850229">
            <w:pPr>
              <w:pStyle w:val="NoSpacing"/>
            </w:pPr>
            <w:r>
              <w:t>Kubernetes administration on top of the same AWS skills; two access models (IAM and Kubernetes RBAC) to keep aligned</w:t>
            </w:r>
          </w:p>
        </w:tc>
      </w:tr>
      <w:tr w:rsidR="00932AC5" w14:paraId="4E2B2E8B" w14:textId="77777777">
        <w:trPr>
          <w:cantSplit/>
        </w:trPr>
        <w:tc>
          <w:tcPr>
            <w:tcW w:w="1900" w:type="dxa"/>
            <w:tcBorders>
              <w:top w:val="dotted" w:sz="4" w:space="0" w:color="auto"/>
              <w:left w:val="dotted" w:sz="4" w:space="0" w:color="auto"/>
              <w:bottom w:val="dotted" w:sz="4" w:space="0" w:color="auto"/>
              <w:right w:val="dotted" w:sz="4" w:space="0" w:color="auto"/>
            </w:tcBorders>
          </w:tcPr>
          <w:p w14:paraId="65FD9C17" w14:textId="77777777" w:rsidR="00932AC5" w:rsidRDefault="00850229">
            <w:pPr>
              <w:pStyle w:val="NoSpacing"/>
            </w:pPr>
            <w:r>
              <w:t>Ecosystem</w:t>
            </w:r>
          </w:p>
        </w:tc>
        <w:tc>
          <w:tcPr>
            <w:tcW w:w="3624" w:type="dxa"/>
            <w:tcBorders>
              <w:top w:val="dotted" w:sz="4" w:space="0" w:color="auto"/>
              <w:left w:val="dotted" w:sz="4" w:space="0" w:color="auto"/>
              <w:bottom w:val="dotted" w:sz="4" w:space="0" w:color="auto"/>
              <w:right w:val="dotted" w:sz="4" w:space="0" w:color="auto"/>
            </w:tcBorders>
          </w:tcPr>
          <w:p w14:paraId="4D5A0023" w14:textId="77777777" w:rsidR="00932AC5" w:rsidRDefault="00850229">
            <w:pPr>
              <w:pStyle w:val="NoSpacing"/>
            </w:pPr>
            <w:r>
              <w:t>AWS-centred: Terraform modules, the AWS CDK and AWS Partner tooling</w:t>
            </w:r>
          </w:p>
        </w:tc>
        <w:tc>
          <w:tcPr>
            <w:tcW w:w="3502" w:type="dxa"/>
            <w:tcBorders>
              <w:top w:val="dotted" w:sz="4" w:space="0" w:color="auto"/>
              <w:left w:val="dotted" w:sz="4" w:space="0" w:color="auto"/>
              <w:bottom w:val="dotted" w:sz="4" w:space="0" w:color="auto"/>
              <w:right w:val="dotted" w:sz="4" w:space="0" w:color="auto"/>
            </w:tcBorders>
          </w:tcPr>
          <w:p w14:paraId="10C41A21" w14:textId="77777777" w:rsidR="00932AC5" w:rsidRDefault="00850229">
            <w:pPr>
              <w:pStyle w:val="NoSpacing"/>
            </w:pPr>
            <w:r>
              <w:t>The CNCF ecosystem: Helm, operators, GitOps (Argo CD, Flux), service meshes and policy engines, across more than 90 certified distributions</w:t>
            </w:r>
          </w:p>
        </w:tc>
      </w:tr>
      <w:tr w:rsidR="00932AC5" w14:paraId="13D67581" w14:textId="77777777">
        <w:trPr>
          <w:cantSplit/>
        </w:trPr>
        <w:tc>
          <w:tcPr>
            <w:tcW w:w="1900" w:type="dxa"/>
            <w:tcBorders>
              <w:top w:val="dotted" w:sz="4" w:space="0" w:color="auto"/>
              <w:left w:val="dotted" w:sz="4" w:space="0" w:color="auto"/>
              <w:bottom w:val="dotted" w:sz="4" w:space="0" w:color="auto"/>
              <w:right w:val="dotted" w:sz="4" w:space="0" w:color="auto"/>
            </w:tcBorders>
          </w:tcPr>
          <w:p w14:paraId="69A55A11" w14:textId="77777777" w:rsidR="00932AC5" w:rsidRDefault="00850229">
            <w:pPr>
              <w:pStyle w:val="NoSpacing"/>
            </w:pPr>
            <w:r>
              <w:t>Release strategies</w:t>
            </w:r>
          </w:p>
        </w:tc>
        <w:tc>
          <w:tcPr>
            <w:tcW w:w="3624" w:type="dxa"/>
            <w:tcBorders>
              <w:top w:val="dotted" w:sz="4" w:space="0" w:color="auto"/>
              <w:left w:val="dotted" w:sz="4" w:space="0" w:color="auto"/>
              <w:bottom w:val="dotted" w:sz="4" w:space="0" w:color="auto"/>
              <w:right w:val="dotted" w:sz="4" w:space="0" w:color="auto"/>
            </w:tcBorders>
          </w:tcPr>
          <w:p w14:paraId="077D3AA3" w14:textId="77777777" w:rsidR="00932AC5" w:rsidRDefault="00850229">
            <w:pPr>
              <w:pStyle w:val="NoSpacing"/>
            </w:pPr>
            <w:r>
              <w:t>Rolling, blue-green, linear and canary are built in; CodeDeploy blue-green as the SAD specifies</w:t>
            </w:r>
          </w:p>
        </w:tc>
        <w:tc>
          <w:tcPr>
            <w:tcW w:w="3502" w:type="dxa"/>
            <w:tcBorders>
              <w:top w:val="dotted" w:sz="4" w:space="0" w:color="auto"/>
              <w:left w:val="dotted" w:sz="4" w:space="0" w:color="auto"/>
              <w:bottom w:val="dotted" w:sz="4" w:space="0" w:color="auto"/>
              <w:right w:val="dotted" w:sz="4" w:space="0" w:color="auto"/>
            </w:tcBorders>
          </w:tcPr>
          <w:p w14:paraId="6A3F2760" w14:textId="77777777" w:rsidR="00932AC5" w:rsidRDefault="00850229">
            <w:pPr>
              <w:pStyle w:val="NoSpacing"/>
            </w:pPr>
            <w:r>
              <w:t>Rolling is built in; blue-green and canary need Argo Rollouts, Flagger or a service mesh</w:t>
            </w:r>
          </w:p>
        </w:tc>
      </w:tr>
      <w:tr w:rsidR="00932AC5" w14:paraId="541467FF" w14:textId="77777777">
        <w:trPr>
          <w:cantSplit/>
        </w:trPr>
        <w:tc>
          <w:tcPr>
            <w:tcW w:w="1900" w:type="dxa"/>
            <w:tcBorders>
              <w:top w:val="dotted" w:sz="4" w:space="0" w:color="auto"/>
              <w:left w:val="dotted" w:sz="4" w:space="0" w:color="auto"/>
              <w:bottom w:val="dotted" w:sz="4" w:space="0" w:color="auto"/>
              <w:right w:val="dotted" w:sz="4" w:space="0" w:color="auto"/>
            </w:tcBorders>
          </w:tcPr>
          <w:p w14:paraId="2566915C" w14:textId="77777777" w:rsidR="00932AC5" w:rsidRDefault="00850229">
            <w:pPr>
              <w:pStyle w:val="NoSpacing"/>
            </w:pPr>
            <w:r>
              <w:t>Autoscaling</w:t>
            </w:r>
          </w:p>
        </w:tc>
        <w:tc>
          <w:tcPr>
            <w:tcW w:w="3624" w:type="dxa"/>
            <w:tcBorders>
              <w:top w:val="dotted" w:sz="4" w:space="0" w:color="auto"/>
              <w:left w:val="dotted" w:sz="4" w:space="0" w:color="auto"/>
              <w:bottom w:val="dotted" w:sz="4" w:space="0" w:color="auto"/>
              <w:right w:val="dotted" w:sz="4" w:space="0" w:color="auto"/>
            </w:tcBorders>
          </w:tcPr>
          <w:p w14:paraId="6AE33270" w14:textId="77777777" w:rsidR="00932AC5" w:rsidRDefault="00850229">
            <w:pPr>
              <w:pStyle w:val="NoSpacing"/>
            </w:pPr>
            <w:r>
              <w:t>Service Auto Scaling per service: target tracking, step and scheduled</w:t>
            </w:r>
          </w:p>
        </w:tc>
        <w:tc>
          <w:tcPr>
            <w:tcW w:w="3502" w:type="dxa"/>
            <w:tcBorders>
              <w:top w:val="dotted" w:sz="4" w:space="0" w:color="auto"/>
              <w:left w:val="dotted" w:sz="4" w:space="0" w:color="auto"/>
              <w:bottom w:val="dotted" w:sz="4" w:space="0" w:color="auto"/>
              <w:right w:val="dotted" w:sz="4" w:space="0" w:color="auto"/>
            </w:tcBorders>
          </w:tcPr>
          <w:p w14:paraId="2912DF7C" w14:textId="77777777" w:rsidR="00932AC5" w:rsidRDefault="00850229">
            <w:pPr>
              <w:pStyle w:val="NoSpacing"/>
            </w:pPr>
            <w:r>
              <w:t>Horizontal Pod Autoscaler, plus a node autoscaler on node groups; scheduled scaling needs an add-on</w:t>
            </w:r>
          </w:p>
        </w:tc>
      </w:tr>
      <w:tr w:rsidR="00932AC5" w14:paraId="09C89151" w14:textId="77777777">
        <w:trPr>
          <w:cantSplit/>
        </w:trPr>
        <w:tc>
          <w:tcPr>
            <w:tcW w:w="1900" w:type="dxa"/>
            <w:tcBorders>
              <w:top w:val="dotted" w:sz="4" w:space="0" w:color="auto"/>
              <w:left w:val="dotted" w:sz="4" w:space="0" w:color="auto"/>
              <w:bottom w:val="dotted" w:sz="4" w:space="0" w:color="auto"/>
              <w:right w:val="dotted" w:sz="4" w:space="0" w:color="auto"/>
            </w:tcBorders>
          </w:tcPr>
          <w:p w14:paraId="2DE67436" w14:textId="77777777" w:rsidR="00932AC5" w:rsidRDefault="00850229">
            <w:pPr>
              <w:pStyle w:val="NoSpacing"/>
            </w:pPr>
            <w:r>
              <w:t>Observability</w:t>
            </w:r>
          </w:p>
        </w:tc>
        <w:tc>
          <w:tcPr>
            <w:tcW w:w="3624" w:type="dxa"/>
            <w:tcBorders>
              <w:top w:val="dotted" w:sz="4" w:space="0" w:color="auto"/>
              <w:left w:val="dotted" w:sz="4" w:space="0" w:color="auto"/>
              <w:bottom w:val="dotted" w:sz="4" w:space="0" w:color="auto"/>
              <w:right w:val="dotted" w:sz="4" w:space="0" w:color="auto"/>
            </w:tcBorders>
          </w:tcPr>
          <w:p w14:paraId="7D04F589" w14:textId="77777777" w:rsidR="00932AC5" w:rsidRDefault="00850229">
            <w:pPr>
              <w:pStyle w:val="NoSpacing"/>
            </w:pPr>
            <w:r>
              <w:t>awslogs or FireLens to CloudWatch Logs; Container Insights; X-Ray</w:t>
            </w:r>
          </w:p>
        </w:tc>
        <w:tc>
          <w:tcPr>
            <w:tcW w:w="3502" w:type="dxa"/>
            <w:tcBorders>
              <w:top w:val="dotted" w:sz="4" w:space="0" w:color="auto"/>
              <w:left w:val="dotted" w:sz="4" w:space="0" w:color="auto"/>
              <w:bottom w:val="dotted" w:sz="4" w:space="0" w:color="auto"/>
              <w:right w:val="dotted" w:sz="4" w:space="0" w:color="auto"/>
            </w:tcBorders>
          </w:tcPr>
          <w:p w14:paraId="424C7245" w14:textId="77777777" w:rsidR="00932AC5" w:rsidRDefault="00850229">
            <w:pPr>
              <w:pStyle w:val="NoSpacing"/>
            </w:pPr>
            <w:r>
              <w:t>CloudWatch Observability add-on, or Fluent Bit with the AWS Distro for OpenTelemetry; Amazon Managed Service for Prometheus</w:t>
            </w:r>
          </w:p>
        </w:tc>
      </w:tr>
      <w:tr w:rsidR="00932AC5" w14:paraId="14054EBF" w14:textId="77777777">
        <w:trPr>
          <w:cantSplit/>
        </w:trPr>
        <w:tc>
          <w:tcPr>
            <w:tcW w:w="1900" w:type="dxa"/>
            <w:tcBorders>
              <w:top w:val="dotted" w:sz="4" w:space="0" w:color="auto"/>
              <w:left w:val="dotted" w:sz="4" w:space="0" w:color="auto"/>
              <w:bottom w:val="dotted" w:sz="4" w:space="0" w:color="auto"/>
              <w:right w:val="dotted" w:sz="4" w:space="0" w:color="auto"/>
            </w:tcBorders>
          </w:tcPr>
          <w:p w14:paraId="6E7B9881" w14:textId="77777777" w:rsidR="00932AC5" w:rsidRDefault="00850229">
            <w:pPr>
              <w:pStyle w:val="NoSpacing"/>
            </w:pPr>
            <w:r>
              <w:t>On-premise path</w:t>
            </w:r>
          </w:p>
        </w:tc>
        <w:tc>
          <w:tcPr>
            <w:tcW w:w="3624" w:type="dxa"/>
            <w:tcBorders>
              <w:top w:val="dotted" w:sz="4" w:space="0" w:color="auto"/>
              <w:left w:val="dotted" w:sz="4" w:space="0" w:color="auto"/>
              <w:bottom w:val="dotted" w:sz="4" w:space="0" w:color="auto"/>
              <w:right w:val="dotted" w:sz="4" w:space="0" w:color="auto"/>
            </w:tcBorders>
          </w:tcPr>
          <w:p w14:paraId="16968307" w14:textId="77777777" w:rsidR="00932AC5" w:rsidRDefault="00850229">
            <w:pPr>
              <w:pStyle w:val="NoSpacing"/>
            </w:pPr>
            <w:r>
              <w:t>ECS Anywhere: control plane in AWS; EXTERNAL launch type, not Fargate; no service load balancing, service discovery or awsvpc networking. Unsuitable for the eClaims inbound HTTP services</w:t>
            </w:r>
          </w:p>
        </w:tc>
        <w:tc>
          <w:tcPr>
            <w:tcW w:w="3502" w:type="dxa"/>
            <w:tcBorders>
              <w:top w:val="dotted" w:sz="4" w:space="0" w:color="auto"/>
              <w:left w:val="dotted" w:sz="4" w:space="0" w:color="auto"/>
              <w:bottom w:val="dotted" w:sz="4" w:space="0" w:color="auto"/>
              <w:right w:val="dotted" w:sz="4" w:space="0" w:color="auto"/>
            </w:tcBorders>
          </w:tcPr>
          <w:p w14:paraId="272D6841" w14:textId="77777777" w:rsidR="00932AC5" w:rsidRDefault="00850229">
            <w:pPr>
              <w:pStyle w:val="NoSpacing"/>
            </w:pPr>
            <w:r>
              <w:t>EKS Anywhere (fully on-premise, can run air-gapped); EKS Hybrid Nodes (control plane in AWS, on-premise nodes over VPN or Direct Connect); or any conformant distribution. This is the route the SAD's on-premise profile takes</w:t>
            </w:r>
          </w:p>
        </w:tc>
      </w:tr>
      <w:tr w:rsidR="00932AC5" w14:paraId="64834D30" w14:textId="77777777">
        <w:trPr>
          <w:cantSplit/>
        </w:trPr>
        <w:tc>
          <w:tcPr>
            <w:tcW w:w="1900" w:type="dxa"/>
            <w:tcBorders>
              <w:top w:val="dotted" w:sz="4" w:space="0" w:color="auto"/>
              <w:left w:val="dotted" w:sz="4" w:space="0" w:color="auto"/>
              <w:bottom w:val="dotted" w:sz="4" w:space="0" w:color="auto"/>
              <w:right w:val="dotted" w:sz="4" w:space="0" w:color="auto"/>
            </w:tcBorders>
          </w:tcPr>
          <w:p w14:paraId="2AAAB3A7" w14:textId="77777777" w:rsidR="00932AC5" w:rsidRDefault="00850229">
            <w:pPr>
              <w:pStyle w:val="NoSpacing"/>
            </w:pPr>
            <w:r>
              <w:t>Gaps on Fargate</w:t>
            </w:r>
          </w:p>
        </w:tc>
        <w:tc>
          <w:tcPr>
            <w:tcW w:w="3624" w:type="dxa"/>
            <w:tcBorders>
              <w:top w:val="dotted" w:sz="4" w:space="0" w:color="auto"/>
              <w:left w:val="dotted" w:sz="4" w:space="0" w:color="auto"/>
              <w:bottom w:val="dotted" w:sz="4" w:space="0" w:color="auto"/>
              <w:right w:val="dotted" w:sz="4" w:space="0" w:color="auto"/>
            </w:tcBorders>
          </w:tcPr>
          <w:p w14:paraId="71BAE555" w14:textId="77777777" w:rsidR="00932AC5" w:rsidRDefault="00850229">
            <w:pPr>
              <w:pStyle w:val="NoSpacing"/>
            </w:pPr>
            <w:r>
              <w:t>None that affect eClaims: Fargate Spot, Graviton, and EBS and EFS volumes are all available</w:t>
            </w:r>
          </w:p>
        </w:tc>
        <w:tc>
          <w:tcPr>
            <w:tcW w:w="3502" w:type="dxa"/>
            <w:tcBorders>
              <w:top w:val="dotted" w:sz="4" w:space="0" w:color="auto"/>
              <w:left w:val="dotted" w:sz="4" w:space="0" w:color="auto"/>
              <w:bottom w:val="dotted" w:sz="4" w:space="0" w:color="auto"/>
              <w:right w:val="dotted" w:sz="4" w:space="0" w:color="auto"/>
            </w:tcBorders>
          </w:tcPr>
          <w:p w14:paraId="29FCDBA7" w14:textId="77777777" w:rsidR="00932AC5" w:rsidRDefault="00850229">
            <w:pPr>
              <w:pStyle w:val="NoSpacing"/>
            </w:pPr>
            <w:r>
              <w:t>No Fargate Spot, Arm, DaemonSets or EBS volumes; load balancers with IP targets only</w:t>
            </w:r>
          </w:p>
        </w:tc>
      </w:tr>
      <w:tr w:rsidR="00932AC5" w14:paraId="16FE56D5" w14:textId="77777777">
        <w:trPr>
          <w:cantSplit/>
        </w:trPr>
        <w:tc>
          <w:tcPr>
            <w:tcW w:w="1900" w:type="dxa"/>
            <w:tcBorders>
              <w:top w:val="dotted" w:sz="4" w:space="0" w:color="auto"/>
              <w:left w:val="dotted" w:sz="4" w:space="0" w:color="auto"/>
              <w:bottom w:val="dotted" w:sz="4" w:space="0" w:color="auto"/>
              <w:right w:val="dotted" w:sz="4" w:space="0" w:color="auto"/>
            </w:tcBorders>
          </w:tcPr>
          <w:p w14:paraId="1C351B22" w14:textId="77777777" w:rsidR="00932AC5" w:rsidRDefault="00850229">
            <w:pPr>
              <w:pStyle w:val="NoSpacing"/>
            </w:pPr>
            <w:r>
              <w:t>Quotas that matter</w:t>
            </w:r>
          </w:p>
        </w:tc>
        <w:tc>
          <w:tcPr>
            <w:tcW w:w="3624" w:type="dxa"/>
            <w:tcBorders>
              <w:top w:val="dotted" w:sz="4" w:space="0" w:color="auto"/>
              <w:left w:val="dotted" w:sz="4" w:space="0" w:color="auto"/>
              <w:bottom w:val="dotted" w:sz="4" w:space="0" w:color="auto"/>
              <w:right w:val="dotted" w:sz="4" w:space="0" w:color="auto"/>
            </w:tcBorders>
          </w:tcPr>
          <w:p w14:paraId="3C5EA205" w14:textId="77777777" w:rsidR="00932AC5" w:rsidRDefault="00850229">
            <w:pPr>
              <w:pStyle w:val="NoSpacing"/>
            </w:pPr>
            <w:r>
              <w:t>Up to 5,000 tasks per service and 500 Fargate task launches per service per minute. The Fargate On-Demand vCPU quota starts at 6 vCPU in a new account and must be raised before go-live</w:t>
            </w:r>
          </w:p>
        </w:tc>
        <w:tc>
          <w:tcPr>
            <w:tcW w:w="3502" w:type="dxa"/>
            <w:tcBorders>
              <w:top w:val="dotted" w:sz="4" w:space="0" w:color="auto"/>
              <w:left w:val="dotted" w:sz="4" w:space="0" w:color="auto"/>
              <w:bottom w:val="dotted" w:sz="4" w:space="0" w:color="auto"/>
              <w:right w:val="dotted" w:sz="4" w:space="0" w:color="auto"/>
            </w:tcBorders>
          </w:tcPr>
          <w:p w14:paraId="157A7C46" w14:textId="77777777" w:rsidR="00932AC5" w:rsidRDefault="00850229">
            <w:pPr>
              <w:pStyle w:val="NoSpacing"/>
            </w:pPr>
            <w:r>
              <w:t>The same account-level Fargate vCPU and launch-rate quotas, shared by ECS tasks and EKS pods</w:t>
            </w:r>
          </w:p>
        </w:tc>
      </w:tr>
    </w:tbl>
    <w:p w14:paraId="3655F535" w14:textId="77777777" w:rsidR="00932AC5" w:rsidRDefault="00932AC5"/>
    <w:p w14:paraId="1AACC534" w14:textId="77777777" w:rsidR="00932AC5" w:rsidRDefault="00850229">
      <w:r>
        <w:t>The first five rows favour ECS: ECS on Fargate leaves no version, host or add-on in the team's scope. EKS leaves a version lifecycle in every cluster, even when there is no node to manage.</w:t>
      </w:r>
    </w:p>
    <w:p w14:paraId="71161249" w14:textId="77777777" w:rsidR="00932AC5" w:rsidRDefault="00850229">
      <w:r>
        <w:t>The on-premise row favours EKS: ECS has no credible on-premise form for the eClaims services, while Kubernetes has several. Section 5 reconciles the two.</w:t>
      </w:r>
    </w:p>
    <w:p w14:paraId="45BFFD86" w14:textId="77777777" w:rsidR="00010536" w:rsidRDefault="00010536"/>
    <w:p w14:paraId="41CC1F3E" w14:textId="77777777" w:rsidR="00010536" w:rsidRDefault="00010536"/>
    <w:p w14:paraId="43B45CB7" w14:textId="77777777" w:rsidR="00010536" w:rsidRDefault="00010536"/>
    <w:p w14:paraId="76C875C6" w14:textId="77777777" w:rsidR="00932AC5" w:rsidRDefault="00850229">
      <w:pPr>
        <w:pStyle w:val="Heading1"/>
      </w:pPr>
      <w:bookmarkStart w:id="14" w:name="_Toc244213674"/>
      <w:r>
        <w:lastRenderedPageBreak/>
        <w:t>Recommendation</w:t>
      </w:r>
      <w:bookmarkEnd w:id="14"/>
    </w:p>
    <w:p w14:paraId="035B257E" w14:textId="77777777" w:rsidR="00932AC5" w:rsidRDefault="00850229">
      <w:r>
        <w:t>Amazon ECS on AWS Fargate is recommended as the container orchestrator for eClaims Phase 1. Each FastAPI service is deployed as an ECS service of Fargate tasks that is:</w:t>
      </w:r>
    </w:p>
    <w:p w14:paraId="5ABA104A" w14:textId="77777777" w:rsidR="00932AC5" w:rsidRDefault="00850229">
      <w:pPr>
        <w:pStyle w:val="ListParagraph"/>
        <w:numPr>
          <w:ilvl w:val="0"/>
          <w:numId w:val="40"/>
        </w:numPr>
      </w:pPr>
      <w:r>
        <w:t>spread across three Availability Zones behind the Application Load Balancer, in us-east-1 and again in the us-east-2 warm standby;</w:t>
      </w:r>
    </w:p>
    <w:p w14:paraId="2F0FC598" w14:textId="77777777" w:rsidR="00932AC5" w:rsidRDefault="00850229">
      <w:pPr>
        <w:pStyle w:val="ListParagraph"/>
        <w:numPr>
          <w:ilvl w:val="0"/>
          <w:numId w:val="40"/>
        </w:numPr>
      </w:pPr>
      <w:r>
        <w:t>scaled by target tracking;</w:t>
      </w:r>
    </w:p>
    <w:p w14:paraId="0B1C227A" w14:textId="77777777" w:rsidR="00932AC5" w:rsidRDefault="00850229">
      <w:pPr>
        <w:pStyle w:val="ListParagraph"/>
        <w:numPr>
          <w:ilvl w:val="0"/>
          <w:numId w:val="40"/>
        </w:numPr>
      </w:pPr>
      <w:r>
        <w:t>released blue-green, with automatic rollback.</w:t>
      </w:r>
    </w:p>
    <w:p w14:paraId="51635605" w14:textId="77777777" w:rsidR="00932AC5" w:rsidRDefault="00850229">
      <w:r>
        <w:t>This is the orchestrator the SAD specifies (Sections 4 and 8). It is also the one the Compute DAR selects in its Section 4.5, citing this analysis.</w:t>
      </w:r>
    </w:p>
    <w:p w14:paraId="6AE7E464" w14:textId="77777777" w:rsidR="00932AC5" w:rsidRDefault="00850229">
      <w:r>
        <w:t>ECS scores 4.45 against 3.97 for EKS. Both run on the same Fargate capacity, so they are equal on every execution requirement: self-restart, autoscaling and latency. The decision rests on what each option asks YCompany to own:</w:t>
      </w:r>
    </w:p>
    <w:p w14:paraId="5D31C3B7" w14:textId="77777777" w:rsidR="00932AC5" w:rsidRDefault="00850229">
      <w:pPr>
        <w:pStyle w:val="ListParagraph"/>
        <w:numPr>
          <w:ilvl w:val="0"/>
          <w:numId w:val="40"/>
        </w:numPr>
      </w:pPr>
      <w:r>
        <w:t>ECS asks for nothing beyond the service definitions: no orchestrator fee, no version to upgrade and no add-on to keep compatible. It also keeps Fargate Spot and Graviton available for cost control.</w:t>
      </w:r>
    </w:p>
    <w:p w14:paraId="592E3931" w14:textId="77777777" w:rsidR="00932AC5" w:rsidRDefault="00850229">
      <w:pPr>
        <w:pStyle w:val="ListParagraph"/>
        <w:numPr>
          <w:ilvl w:val="0"/>
          <w:numId w:val="40"/>
        </w:numPr>
      </w:pPr>
      <w:r>
        <w:t>EKS asks for a Kubernetes version lifecycle in each of four clusters, a second access model, and USD 292 a month in cluster fees. In return, it offers portability and control that Phase 1 does not need.</w:t>
      </w:r>
    </w:p>
    <w:p w14:paraId="5D54F45A" w14:textId="77777777" w:rsidR="00932AC5" w:rsidRDefault="00850229">
      <w:r>
        <w:t>The on-premise requirement (NFR 2) is met by the portable artefact and a defined path, not by the Phase 1 orchestrator. It should be presented that way.</w:t>
      </w:r>
    </w:p>
    <w:p w14:paraId="1F2EFB96" w14:textId="77777777" w:rsidR="00932AC5" w:rsidRDefault="00850229">
      <w:pPr>
        <w:pStyle w:val="ListParagraph"/>
        <w:numPr>
          <w:ilvl w:val="0"/>
          <w:numId w:val="40"/>
        </w:numPr>
      </w:pPr>
      <w:r>
        <w:t>The container image, not the orchestrator, is the portable unit. Every eClaims service is a standard OCI container image, configured through environment variables and secret references, with no dependency on ECS. The proof of concept already runs the same images under Docker Compose (SAD Section 8, POC coverage).</w:t>
      </w:r>
    </w:p>
    <w:p w14:paraId="687669A1" w14:textId="77777777" w:rsidR="00932AC5" w:rsidRDefault="00850229">
      <w:pPr>
        <w:pStyle w:val="ListParagraph"/>
        <w:numPr>
          <w:ilvl w:val="0"/>
          <w:numId w:val="40"/>
        </w:numPr>
      </w:pPr>
      <w:r>
        <w:t>ECS Anywhere is not the on-premise route. Its control plane stays in AWS, it cannot use Fargate, and it supports neither service load balancing nor service discovery, which the eClaims inbound HTTP services need.</w:t>
      </w:r>
    </w:p>
    <w:p w14:paraId="21BF31E9" w14:textId="77777777" w:rsidR="00932AC5" w:rsidRDefault="00850229">
      <w:pPr>
        <w:pStyle w:val="ListParagraph"/>
        <w:numPr>
          <w:ilvl w:val="0"/>
          <w:numId w:val="40"/>
        </w:numPr>
      </w:pPr>
      <w:r>
        <w:t>If YCompany mandates on-premise hosting, eClaims moves to Kubernetes. The options are EKS Anywhere, EKS Hybrid Nodes, or another CNCF-conformant distribution such as OpenShift, as the SAD's on-premise profile states (Section 4, Deployment Options).</w:t>
      </w:r>
    </w:p>
    <w:p w14:paraId="3EEA8B1D" w14:textId="77777777" w:rsidR="00932AC5" w:rsidRDefault="00850229">
      <w:pPr>
        <w:pStyle w:val="ListParagraph"/>
        <w:numPr>
          <w:ilvl w:val="0"/>
          <w:numId w:val="40"/>
        </w:numPr>
      </w:pPr>
      <w:r>
        <w:t>Each ECS service definition is then rewritten as a Kubernetes Deployment, Service, HorizontalPodAutoscaler and Ingress. Images, configuration keys and application code are unchanged. That is bounded infrastructure work, not an application rewrite.</w:t>
      </w:r>
    </w:p>
    <w:p w14:paraId="46E7BEB6" w14:textId="77777777" w:rsidR="00932AC5" w:rsidRDefault="00850229">
      <w:pPr>
        <w:pStyle w:val="ListParagraph"/>
        <w:numPr>
          <w:ilvl w:val="0"/>
          <w:numId w:val="40"/>
        </w:numPr>
      </w:pPr>
      <w:r>
        <w:t>This matches the Workflow Orchestration DAR, which names Camunda as its on-premise fallback.</w:t>
      </w:r>
    </w:p>
    <w:p w14:paraId="438C2A87" w14:textId="77777777" w:rsidR="00932AC5" w:rsidRDefault="00850229">
      <w:r>
        <w:t>Sensitivity to the portability weight. The matrix has no separate on-premise attribute: Portability, weighted 5, carries it. The other six weights total 24. Holding them constant, the totals as a function of the Portability weight w are:</w:t>
      </w:r>
    </w:p>
    <w:p w14:paraId="734851C9" w14:textId="77777777" w:rsidR="00932AC5" w:rsidRDefault="00850229">
      <w:pPr>
        <w:pStyle w:val="ListParagraph"/>
        <w:numPr>
          <w:ilvl w:val="0"/>
          <w:numId w:val="40"/>
        </w:numPr>
      </w:pPr>
      <w:r>
        <w:t>Amazon ECS: (114 + 3w) ÷ (24 + w)</w:t>
      </w:r>
    </w:p>
    <w:p w14:paraId="38767692" w14:textId="77777777" w:rsidR="00932AC5" w:rsidRDefault="00850229">
      <w:pPr>
        <w:pStyle w:val="ListParagraph"/>
        <w:numPr>
          <w:ilvl w:val="0"/>
          <w:numId w:val="40"/>
        </w:numPr>
      </w:pPr>
      <w:r>
        <w:t>Amazon EKS: (90 + 5w) ÷ (24 + w)</w:t>
      </w:r>
    </w:p>
    <w:p w14:paraId="33AF7DE8" w14:textId="77777777" w:rsidR="00932AC5" w:rsidRDefault="00850229">
      <w:r>
        <w:lastRenderedPageBreak/>
        <w:t>The denominators are equal, so EKS overtakes ECS when 90 + 5w &gt; 114 + 3w, that is, when w &gt; 12:</w:t>
      </w:r>
    </w:p>
    <w:p w14:paraId="6E7DEFF7" w14:textId="77777777" w:rsidR="00932AC5" w:rsidRDefault="00850229">
      <w:pPr>
        <w:pStyle w:val="ListParagraph"/>
        <w:numPr>
          <w:ilvl w:val="0"/>
          <w:numId w:val="40"/>
        </w:numPr>
      </w:pPr>
      <w:r>
        <w:t>At w = 12, the options tie at 150 ÷ 36 = 4.17.</w:t>
      </w:r>
    </w:p>
    <w:p w14:paraId="706BC9E5" w14:textId="77777777" w:rsidR="00932AC5" w:rsidRDefault="00850229">
      <w:pPr>
        <w:pStyle w:val="ListParagraph"/>
        <w:numPr>
          <w:ilvl w:val="0"/>
          <w:numId w:val="40"/>
        </w:numPr>
      </w:pPr>
      <w:r>
        <w:t>At w = 13, EKS leads with 155 ÷ 37 = 4.19, against 153 ÷ 37 = 4.14 for ECS.</w:t>
      </w:r>
    </w:p>
    <w:p w14:paraId="722D3712" w14:textId="77777777" w:rsidR="00932AC5" w:rsidRDefault="00850229">
      <w:r>
        <w:t>Each point of Portability weight moves two weighted points to EKS, and ECS leads by 14 points. Portability would therefore need seven more points of weight. That weight would be:</w:t>
      </w:r>
    </w:p>
    <w:p w14:paraId="4BA6A87F" w14:textId="77777777" w:rsidR="00932AC5" w:rsidRDefault="00850229">
      <w:pPr>
        <w:pStyle w:val="ListParagraph"/>
        <w:numPr>
          <w:ilvl w:val="0"/>
          <w:numId w:val="40"/>
        </w:numPr>
      </w:pPr>
      <w:r>
        <w:t>more than double the scale's maximum of 5;</w:t>
      </w:r>
    </w:p>
    <w:p w14:paraId="539AECD2" w14:textId="77777777" w:rsidR="00932AC5" w:rsidRDefault="00850229">
      <w:pPr>
        <w:pStyle w:val="ListParagraph"/>
        <w:numPr>
          <w:ilvl w:val="0"/>
          <w:numId w:val="40"/>
        </w:numPr>
      </w:pPr>
      <w:r>
        <w:t>a third of all the weight in the matrix;</w:t>
      </w:r>
    </w:p>
    <w:p w14:paraId="797C2893" w14:textId="77777777" w:rsidR="00932AC5" w:rsidRDefault="00850229">
      <w:pPr>
        <w:pStyle w:val="ListParagraph"/>
        <w:numPr>
          <w:ilvl w:val="0"/>
          <w:numId w:val="40"/>
        </w:numPr>
      </w:pPr>
      <w:r>
        <w:t>more than Cost and Complexity combined.</w:t>
      </w:r>
    </w:p>
    <w:p w14:paraId="2B2D8C02" w14:textId="77777777" w:rsidR="00932AC5" w:rsidRDefault="00850229">
      <w:r>
        <w:t>The result also holds in the other direction. With Portability at 5 and every other attribute cut to the minimum weight of 3, ECS still leads: 99 ÷ 23 = 4.30, against 94 ÷ 23 = 4.09 for EKS.</w:t>
      </w:r>
    </w:p>
    <w:p w14:paraId="0D610544" w14:textId="77777777" w:rsidR="00932AC5" w:rsidRDefault="00850229">
      <w:r>
        <w:t>A mandate is a gate, not a weight. The matrix ranks two options that both meet the Phase 1 requirements. A firm on-premise mandate would not raise a weight: it would rule out any option that cannot run on-premise, and ECS on Fargate cannot. In that case the recommendation changes to Kubernetes in both estates:</w:t>
      </w:r>
    </w:p>
    <w:p w14:paraId="5E13C1B1" w14:textId="77777777" w:rsidR="00932AC5" w:rsidRDefault="00850229">
      <w:pPr>
        <w:pStyle w:val="ListParagraph"/>
        <w:numPr>
          <w:ilvl w:val="0"/>
          <w:numId w:val="40"/>
        </w:numPr>
      </w:pPr>
      <w:r>
        <w:t>EKS in AWS;</w:t>
      </w:r>
    </w:p>
    <w:p w14:paraId="36FA81C9" w14:textId="77777777" w:rsidR="00932AC5" w:rsidRDefault="00850229">
      <w:pPr>
        <w:pStyle w:val="ListParagraph"/>
        <w:numPr>
          <w:ilvl w:val="0"/>
          <w:numId w:val="40"/>
        </w:numPr>
      </w:pPr>
      <w:r>
        <w:t>EKS Anywhere, Hybrid Nodes or another conformant distribution on-premise.</w:t>
      </w:r>
    </w:p>
    <w:p w14:paraId="4351D7BB" w14:textId="77777777" w:rsidR="00932AC5" w:rsidRDefault="00850229">
      <w:r>
        <w:t>One orchestration API and one set of manifests would then serve both estates, instead of ECS in the cloud and Kubernetes on-premise side by side. This is consistent with the Compute DAR, which names an on-premise or multi-cloud mandate as the first condition under which Kubernetes becomes its recommendation.</w:t>
      </w:r>
    </w:p>
    <w:p w14:paraId="35CE075D" w14:textId="77777777" w:rsidR="00932AC5" w:rsidRDefault="00850229">
      <w:r>
        <w:t>The recommendation should be revisited if any of the following becomes true:</w:t>
      </w:r>
    </w:p>
    <w:p w14:paraId="3BFD39E0" w14:textId="77777777" w:rsidR="00932AC5" w:rsidRDefault="00850229">
      <w:pPr>
        <w:pStyle w:val="ListParagraph"/>
        <w:numPr>
          <w:ilvl w:val="0"/>
          <w:numId w:val="40"/>
        </w:numPr>
      </w:pPr>
      <w:r>
        <w:t>YCompany mandates on-premise or multi-cloud hosting for eClaims.</w:t>
      </w:r>
    </w:p>
    <w:p w14:paraId="7CA21DF6" w14:textId="77777777" w:rsidR="00932AC5" w:rsidRDefault="00850229">
      <w:pPr>
        <w:pStyle w:val="ListParagraph"/>
        <w:numPr>
          <w:ilvl w:val="0"/>
          <w:numId w:val="40"/>
        </w:numPr>
      </w:pPr>
      <w:r>
        <w:t>YCompany already operates a production Kubernetes platform and the team that runs it, so another workload costs almost nothing extra.</w:t>
      </w:r>
    </w:p>
    <w:p w14:paraId="72647388" w14:textId="77777777" w:rsidR="00932AC5" w:rsidRDefault="00850229">
      <w:pPr>
        <w:pStyle w:val="ListParagraph"/>
        <w:numPr>
          <w:ilvl w:val="0"/>
          <w:numId w:val="40"/>
        </w:numPr>
      </w:pPr>
      <w:r>
        <w:t>eClaims grows into workloads that need capabilities only Kubernetes offers, such as operators, DaemonSets or a service mesh.</w:t>
      </w:r>
    </w:p>
    <w:p w14:paraId="12B10A57" w14:textId="77777777" w:rsidR="00932AC5" w:rsidRDefault="00850229">
      <w:pPr>
        <w:pStyle w:val="ListParagraph"/>
        <w:numPr>
          <w:ilvl w:val="0"/>
          <w:numId w:val="40"/>
        </w:numPr>
      </w:pPr>
      <w:r>
        <w:t>eClaims reaches a scale at which bin packing on nodes saves more than Fargate's operational simplicity is worth.</w:t>
      </w:r>
    </w:p>
    <w:p w14:paraId="2CE66EAB" w14:textId="77777777" w:rsidR="00932AC5" w:rsidRDefault="00850229">
      <w:r>
        <w:t>The recommendation is made with its weaknesses on the record:</w:t>
      </w:r>
    </w:p>
    <w:p w14:paraId="1F305F67" w14:textId="77777777" w:rsidR="00932AC5" w:rsidRDefault="00850229">
      <w:pPr>
        <w:pStyle w:val="ListParagraph"/>
        <w:numPr>
          <w:ilvl w:val="0"/>
          <w:numId w:val="40"/>
        </w:numPr>
      </w:pPr>
      <w:r>
        <w:t>ECS definitions are specific to AWS (risk R1).</w:t>
      </w:r>
    </w:p>
    <w:p w14:paraId="1DC8BE9F" w14:textId="77777777" w:rsidR="00932AC5" w:rsidRDefault="00850229">
      <w:pPr>
        <w:pStyle w:val="ListParagraph"/>
        <w:numPr>
          <w:ilvl w:val="0"/>
          <w:numId w:val="40"/>
        </w:numPr>
      </w:pPr>
      <w:r>
        <w:t>The on-premise path means a migration to Kubernetes if it is ever triggered (R2).</w:t>
      </w:r>
    </w:p>
    <w:p w14:paraId="3945A930" w14:textId="77777777" w:rsidR="00932AC5" w:rsidRDefault="00850229">
      <w:pPr>
        <w:pStyle w:val="ListParagraph"/>
        <w:numPr>
          <w:ilvl w:val="0"/>
          <w:numId w:val="40"/>
        </w:numPr>
      </w:pPr>
      <w:r>
        <w:t>Fargate quotas and fixed task sizes must be managed (R3).</w:t>
      </w:r>
    </w:p>
    <w:p w14:paraId="40785E98" w14:textId="77777777" w:rsidR="00932AC5" w:rsidRDefault="00850229">
      <w:pPr>
        <w:pStyle w:val="ListParagraph"/>
        <w:numPr>
          <w:ilvl w:val="0"/>
          <w:numId w:val="40"/>
        </w:numPr>
      </w:pPr>
      <w:r>
        <w:t>Per unit, Fargate compute costs more than well-utilised EC2 capacity (R4).</w:t>
      </w:r>
    </w:p>
    <w:p w14:paraId="64D1C3FC" w14:textId="77777777" w:rsidR="00932AC5" w:rsidRDefault="00850229">
      <w:r>
        <w:t>Section 7 sets out the mitigations.</w:t>
      </w:r>
    </w:p>
    <w:p w14:paraId="5E58816C" w14:textId="77777777" w:rsidR="00932AC5" w:rsidRDefault="00850229">
      <w:r>
        <w:br w:type="page"/>
      </w:r>
    </w:p>
    <w:p w14:paraId="0469F523" w14:textId="77777777" w:rsidR="00932AC5" w:rsidRDefault="00850229">
      <w:pPr>
        <w:pStyle w:val="Heading1"/>
      </w:pPr>
      <w:bookmarkStart w:id="15" w:name="_Toc244213675"/>
      <w:r>
        <w:lastRenderedPageBreak/>
        <w:t>Assumptions</w:t>
      </w:r>
      <w:bookmarkEnd w:id="15"/>
    </w:p>
    <w:p w14:paraId="6FEDFE94" w14:textId="77777777" w:rsidR="00932AC5" w:rsidRDefault="00850229">
      <w:r>
        <w:t>The following assumptions underpin this evaluation and recommendation. A material change to any of them should trigger a review.</w:t>
      </w:r>
    </w:p>
    <w:p w14:paraId="184C5CD1" w14:textId="77777777" w:rsidR="00932AC5" w:rsidRDefault="00850229">
      <w:pPr>
        <w:pStyle w:val="ListParagraph"/>
        <w:numPr>
          <w:ilvl w:val="0"/>
          <w:numId w:val="40"/>
        </w:numPr>
      </w:pPr>
      <w:r>
        <w:t>AWS is the primary cloud — YCompany will adopt AWS as its cloud provider (SAD Section 10, Assumption 1). Phase 1 is delivered on AWS. The on-premise profile is designed now and implemented only if YCompany mandates on-premise hosting (Assumption 10). The recommendation depends on this assumption more than on any other.</w:t>
      </w:r>
    </w:p>
    <w:p w14:paraId="44918AE1" w14:textId="77777777" w:rsidR="00932AC5" w:rsidRDefault="00850229">
      <w:pPr>
        <w:pStyle w:val="ListParagraph"/>
        <w:numPr>
          <w:ilvl w:val="0"/>
          <w:numId w:val="40"/>
        </w:numPr>
      </w:pPr>
      <w:r>
        <w:t>Regions — US East (N. Virginia), us-east-1, is the primary Region across three Availability Zones for Phase 1, and US East (Ohio), us-east-2, is a warm standby that runs the same services at minimum capacity (SAD Section 4, Deployment Topology). All prices are us-east-1 list prices, accessed on 30 September 2026; Fargate and the EKS control plane are priced the same in us-east-2 (accessed 29 October 2026). They exclude taxes, Savings Plans and negotiated discounts.</w:t>
      </w:r>
    </w:p>
    <w:p w14:paraId="1E89A21F" w14:textId="77777777" w:rsidR="00932AC5" w:rsidRDefault="00850229">
      <w:pPr>
        <w:pStyle w:val="ListParagraph"/>
        <w:numPr>
          <w:ilvl w:val="0"/>
          <w:numId w:val="40"/>
        </w:numPr>
      </w:pPr>
      <w:r>
        <w:t>Fargate under both options — services run on Fargate capacity, Linux/x86, as the Compute DAR recommends. EKS is therefore compared on Fargate; managed node groups are discussed where they change the picture.</w:t>
      </w:r>
    </w:p>
    <w:p w14:paraId="211D4493" w14:textId="77777777" w:rsidR="00932AC5" w:rsidRDefault="00850229">
      <w:pPr>
        <w:pStyle w:val="ListParagraph"/>
        <w:numPr>
          <w:ilvl w:val="0"/>
          <w:numId w:val="40"/>
        </w:numPr>
      </w:pPr>
      <w:r>
        <w:t>Four clusters — development, staging and production in us-east-1, and the production standby in us-east-2, each a separate cluster under either option. The EKS fee is charged per cluster; ECS clusters carry no charge.</w:t>
      </w:r>
    </w:p>
    <w:p w14:paraId="7ADC6F8D" w14:textId="77777777" w:rsidR="00932AC5" w:rsidRDefault="00850229">
      <w:pPr>
        <w:pStyle w:val="ListParagraph"/>
        <w:numPr>
          <w:ilvl w:val="0"/>
          <w:numId w:val="40"/>
        </w:numPr>
      </w:pPr>
      <w:r>
        <w:t>Kubernetes familiarity — the delivery team can build the Kubernetes on-premise profile if it is required. YCompany is not assumed to run a Kubernetes platform, or a team that operates one 24×7. If it does, the Maintainability and Complexity scores move towards EKS.</w:t>
      </w:r>
    </w:p>
    <w:p w14:paraId="75B05E3E" w14:textId="77777777" w:rsidR="00932AC5" w:rsidRDefault="00850229">
      <w:pPr>
        <w:pStyle w:val="ListParagraph"/>
        <w:numPr>
          <w:ilvl w:val="0"/>
          <w:numId w:val="40"/>
        </w:numPr>
      </w:pPr>
      <w:r>
        <w:t>Service count and task size — the cost basis follows the Compute DAR: eight services, each averaging three tasks of 1 vCPU and 2 GB. The SAD lists eleven Layer 3 services plus the Auth Service, and Section 4.2 shows the twelve-service case. The service count changes compute cost equally under both options, so it does not change the decision.</w:t>
      </w:r>
    </w:p>
    <w:p w14:paraId="0A1C71A1" w14:textId="77777777" w:rsidR="00932AC5" w:rsidRDefault="00850229">
      <w:pPr>
        <w:pStyle w:val="ListParagraph"/>
        <w:numPr>
          <w:ilvl w:val="0"/>
          <w:numId w:val="40"/>
        </w:numPr>
      </w:pPr>
      <w:r>
        <w:t>Portable images — services are standard OCI images, built by the CI pipeline and stored in Amazon ECR. Configuration is supplied at runtime, and there is no ECS-specific code.</w:t>
      </w:r>
    </w:p>
    <w:p w14:paraId="003FDFC5" w14:textId="77777777" w:rsidR="00932AC5" w:rsidRDefault="00850229">
      <w:pPr>
        <w:pStyle w:val="ListParagraph"/>
        <w:numPr>
          <w:ilvl w:val="0"/>
          <w:numId w:val="40"/>
        </w:numPr>
      </w:pPr>
      <w:r>
        <w:t>Stateless tasks — claim data persists in RDS, ElastiCache, S3 and OpenSearch, so tasks and pods are disposable under either option.</w:t>
      </w:r>
    </w:p>
    <w:p w14:paraId="2D783779" w14:textId="77777777" w:rsidR="00932AC5" w:rsidRDefault="00850229">
      <w:pPr>
        <w:pStyle w:val="ListParagraph"/>
        <w:numPr>
          <w:ilvl w:val="0"/>
          <w:numId w:val="40"/>
        </w:numPr>
      </w:pPr>
      <w:r>
        <w:t>Upgrade effort — the figure of 15 to 21 person-days a year for Kubernetes upgrades is a planning estimate, not a measurement.</w:t>
      </w:r>
    </w:p>
    <w:p w14:paraId="77F4EB8E" w14:textId="77777777" w:rsidR="00932AC5" w:rsidRDefault="00850229">
      <w:r>
        <w:br w:type="page"/>
      </w:r>
    </w:p>
    <w:p w14:paraId="09FDA392" w14:textId="77777777" w:rsidR="00932AC5" w:rsidRDefault="00850229">
      <w:pPr>
        <w:pStyle w:val="Heading1"/>
      </w:pPr>
      <w:bookmarkStart w:id="16" w:name="_Toc244213676"/>
      <w:r>
        <w:lastRenderedPageBreak/>
        <w:t>Risks</w:t>
      </w:r>
      <w:bookmarkEnd w:id="16"/>
    </w:p>
    <w:p w14:paraId="6278CA9D" w14:textId="77777777" w:rsidR="00932AC5" w:rsidRDefault="00850229">
      <w:r>
        <w:t>The following risks arise from the recommended option. Likelihood and impact are rated High, Medium or Low for eClaims Phase 1.</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20"/>
        <w:gridCol w:w="2500"/>
        <w:gridCol w:w="1540"/>
        <w:gridCol w:w="1060"/>
        <w:gridCol w:w="3106"/>
      </w:tblGrid>
      <w:tr w:rsidR="00932AC5" w14:paraId="15952649" w14:textId="77777777">
        <w:trPr>
          <w:cantSplit/>
          <w:tblHeader/>
        </w:trPr>
        <w:tc>
          <w:tcPr>
            <w:tcW w:w="820" w:type="dxa"/>
            <w:tcBorders>
              <w:top w:val="dotted" w:sz="4" w:space="0" w:color="auto"/>
              <w:left w:val="dotted" w:sz="4" w:space="0" w:color="auto"/>
              <w:bottom w:val="dotted" w:sz="4" w:space="0" w:color="auto"/>
              <w:right w:val="dotted" w:sz="4" w:space="0" w:color="auto"/>
            </w:tcBorders>
            <w:shd w:val="pct5" w:color="auto" w:fill="auto"/>
          </w:tcPr>
          <w:p w14:paraId="4F01DA2D" w14:textId="77777777" w:rsidR="00932AC5" w:rsidRDefault="00850229">
            <w:pPr>
              <w:pStyle w:val="NoSpacing"/>
            </w:pPr>
            <w:r>
              <w:rPr>
                <w:b/>
              </w:rPr>
              <w:t>Risk ID</w:t>
            </w:r>
          </w:p>
        </w:tc>
        <w:tc>
          <w:tcPr>
            <w:tcW w:w="2500" w:type="dxa"/>
            <w:tcBorders>
              <w:top w:val="dotted" w:sz="4" w:space="0" w:color="auto"/>
              <w:left w:val="dotted" w:sz="4" w:space="0" w:color="auto"/>
              <w:bottom w:val="dotted" w:sz="4" w:space="0" w:color="auto"/>
              <w:right w:val="dotted" w:sz="4" w:space="0" w:color="auto"/>
            </w:tcBorders>
            <w:shd w:val="pct5" w:color="auto" w:fill="auto"/>
          </w:tcPr>
          <w:p w14:paraId="151BD4D4" w14:textId="77777777" w:rsidR="00932AC5" w:rsidRDefault="00850229">
            <w:pPr>
              <w:pStyle w:val="NoSpacing"/>
            </w:pPr>
            <w:r>
              <w:rPr>
                <w:b/>
              </w:rPr>
              <w:t>Risk</w:t>
            </w:r>
          </w:p>
        </w:tc>
        <w:tc>
          <w:tcPr>
            <w:tcW w:w="1540" w:type="dxa"/>
            <w:tcBorders>
              <w:top w:val="dotted" w:sz="4" w:space="0" w:color="auto"/>
              <w:left w:val="dotted" w:sz="4" w:space="0" w:color="auto"/>
              <w:bottom w:val="dotted" w:sz="4" w:space="0" w:color="auto"/>
              <w:right w:val="dotted" w:sz="4" w:space="0" w:color="auto"/>
            </w:tcBorders>
            <w:shd w:val="pct5" w:color="auto" w:fill="auto"/>
          </w:tcPr>
          <w:p w14:paraId="67C092BE" w14:textId="77777777" w:rsidR="00932AC5" w:rsidRDefault="00850229">
            <w:pPr>
              <w:pStyle w:val="NoSpacing"/>
            </w:pPr>
            <w:r>
              <w:rPr>
                <w:b/>
              </w:rPr>
              <w:t>Likelihood</w:t>
            </w:r>
          </w:p>
        </w:tc>
        <w:tc>
          <w:tcPr>
            <w:tcW w:w="1060" w:type="dxa"/>
            <w:tcBorders>
              <w:top w:val="dotted" w:sz="4" w:space="0" w:color="auto"/>
              <w:left w:val="dotted" w:sz="4" w:space="0" w:color="auto"/>
              <w:bottom w:val="dotted" w:sz="4" w:space="0" w:color="auto"/>
              <w:right w:val="dotted" w:sz="4" w:space="0" w:color="auto"/>
            </w:tcBorders>
            <w:shd w:val="pct5" w:color="auto" w:fill="auto"/>
          </w:tcPr>
          <w:p w14:paraId="61CA7909" w14:textId="77777777" w:rsidR="00932AC5" w:rsidRDefault="00850229">
            <w:pPr>
              <w:pStyle w:val="NoSpacing"/>
            </w:pPr>
            <w:r>
              <w:rPr>
                <w:b/>
              </w:rPr>
              <w:t>Impact</w:t>
            </w:r>
          </w:p>
        </w:tc>
        <w:tc>
          <w:tcPr>
            <w:tcW w:w="3106" w:type="dxa"/>
            <w:tcBorders>
              <w:top w:val="dotted" w:sz="4" w:space="0" w:color="auto"/>
              <w:left w:val="dotted" w:sz="4" w:space="0" w:color="auto"/>
              <w:bottom w:val="dotted" w:sz="4" w:space="0" w:color="auto"/>
              <w:right w:val="dotted" w:sz="4" w:space="0" w:color="auto"/>
            </w:tcBorders>
            <w:shd w:val="pct5" w:color="auto" w:fill="auto"/>
          </w:tcPr>
          <w:p w14:paraId="2F922B55" w14:textId="77777777" w:rsidR="00932AC5" w:rsidRDefault="00850229">
            <w:pPr>
              <w:pStyle w:val="NoSpacing"/>
            </w:pPr>
            <w:r>
              <w:rPr>
                <w:b/>
              </w:rPr>
              <w:t>Mitigation</w:t>
            </w:r>
          </w:p>
        </w:tc>
      </w:tr>
      <w:tr w:rsidR="00932AC5" w14:paraId="00F02766" w14:textId="77777777">
        <w:trPr>
          <w:cantSplit/>
        </w:trPr>
        <w:tc>
          <w:tcPr>
            <w:tcW w:w="820" w:type="dxa"/>
            <w:tcBorders>
              <w:top w:val="dotted" w:sz="4" w:space="0" w:color="auto"/>
              <w:left w:val="dotted" w:sz="4" w:space="0" w:color="auto"/>
              <w:bottom w:val="dotted" w:sz="4" w:space="0" w:color="auto"/>
              <w:right w:val="dotted" w:sz="4" w:space="0" w:color="auto"/>
            </w:tcBorders>
          </w:tcPr>
          <w:p w14:paraId="15EA8029" w14:textId="77777777" w:rsidR="00932AC5" w:rsidRDefault="00850229">
            <w:pPr>
              <w:pStyle w:val="NoSpacing"/>
            </w:pPr>
            <w:r>
              <w:t>R1</w:t>
            </w:r>
          </w:p>
        </w:tc>
        <w:tc>
          <w:tcPr>
            <w:tcW w:w="2500" w:type="dxa"/>
            <w:tcBorders>
              <w:top w:val="dotted" w:sz="4" w:space="0" w:color="auto"/>
              <w:left w:val="dotted" w:sz="4" w:space="0" w:color="auto"/>
              <w:bottom w:val="dotted" w:sz="4" w:space="0" w:color="auto"/>
              <w:right w:val="dotted" w:sz="4" w:space="0" w:color="auto"/>
            </w:tcBorders>
          </w:tcPr>
          <w:p w14:paraId="60435CDD" w14:textId="77777777" w:rsidR="00932AC5" w:rsidRDefault="00850229">
            <w:pPr>
              <w:pStyle w:val="NoSpacing"/>
            </w:pPr>
            <w:r>
              <w:t>ECS API lock-in. Task definitions, services, scaling policies and load-balancer bindings are specific to ECS, so leaving ECS means rewriting the deployment layer.</w:t>
            </w:r>
          </w:p>
        </w:tc>
        <w:tc>
          <w:tcPr>
            <w:tcW w:w="1540" w:type="dxa"/>
            <w:tcBorders>
              <w:top w:val="dotted" w:sz="4" w:space="0" w:color="auto"/>
              <w:left w:val="dotted" w:sz="4" w:space="0" w:color="auto"/>
              <w:bottom w:val="dotted" w:sz="4" w:space="0" w:color="auto"/>
              <w:right w:val="dotted" w:sz="4" w:space="0" w:color="auto"/>
            </w:tcBorders>
          </w:tcPr>
          <w:p w14:paraId="134E7E6D" w14:textId="77777777" w:rsidR="00932AC5" w:rsidRDefault="00850229">
            <w:pPr>
              <w:pStyle w:val="NoSpacing"/>
            </w:pPr>
            <w:r>
              <w:t>Low</w:t>
            </w:r>
          </w:p>
        </w:tc>
        <w:tc>
          <w:tcPr>
            <w:tcW w:w="1060" w:type="dxa"/>
            <w:tcBorders>
              <w:top w:val="dotted" w:sz="4" w:space="0" w:color="auto"/>
              <w:left w:val="dotted" w:sz="4" w:space="0" w:color="auto"/>
              <w:bottom w:val="dotted" w:sz="4" w:space="0" w:color="auto"/>
              <w:right w:val="dotted" w:sz="4" w:space="0" w:color="auto"/>
            </w:tcBorders>
          </w:tcPr>
          <w:p w14:paraId="4554E3E7" w14:textId="77777777" w:rsidR="00932AC5" w:rsidRDefault="00850229">
            <w:pPr>
              <w:pStyle w:val="NoSpacing"/>
            </w:pPr>
            <w:r>
              <w:t>Medium</w:t>
            </w:r>
          </w:p>
        </w:tc>
        <w:tc>
          <w:tcPr>
            <w:tcW w:w="3106" w:type="dxa"/>
            <w:tcBorders>
              <w:top w:val="dotted" w:sz="4" w:space="0" w:color="auto"/>
              <w:left w:val="dotted" w:sz="4" w:space="0" w:color="auto"/>
              <w:bottom w:val="dotted" w:sz="4" w:space="0" w:color="auto"/>
              <w:right w:val="dotted" w:sz="4" w:space="0" w:color="auto"/>
            </w:tcBorders>
          </w:tcPr>
          <w:p w14:paraId="64B7F99F" w14:textId="77777777" w:rsidR="00932AC5" w:rsidRDefault="00850229">
            <w:pPr>
              <w:pStyle w:val="NoSpacing"/>
            </w:pPr>
            <w:r>
              <w:t>Keep every ECS-specific setting in Terraform modules and none in application code. Build standard OCI images. Use one health endpoint for ECS health checks, ALB target groups and Kubernetes probes alike. As part of the on-premise profile, maintain the mapping from each ECS object to its Kubernetes equivalent: task definition to pod specification, service to Deployment and Service, scaling policy to HorizontalPodAutoscaler, target group to Ingress.</w:t>
            </w:r>
          </w:p>
        </w:tc>
      </w:tr>
      <w:tr w:rsidR="00932AC5" w14:paraId="59B47559" w14:textId="77777777">
        <w:trPr>
          <w:cantSplit/>
        </w:trPr>
        <w:tc>
          <w:tcPr>
            <w:tcW w:w="820" w:type="dxa"/>
            <w:tcBorders>
              <w:top w:val="dotted" w:sz="4" w:space="0" w:color="auto"/>
              <w:left w:val="dotted" w:sz="4" w:space="0" w:color="auto"/>
              <w:bottom w:val="dotted" w:sz="4" w:space="0" w:color="auto"/>
              <w:right w:val="dotted" w:sz="4" w:space="0" w:color="auto"/>
            </w:tcBorders>
          </w:tcPr>
          <w:p w14:paraId="18243758" w14:textId="77777777" w:rsidR="00932AC5" w:rsidRDefault="00850229">
            <w:pPr>
              <w:pStyle w:val="NoSpacing"/>
            </w:pPr>
            <w:r>
              <w:t>R2</w:t>
            </w:r>
          </w:p>
        </w:tc>
        <w:tc>
          <w:tcPr>
            <w:tcW w:w="2500" w:type="dxa"/>
            <w:tcBorders>
              <w:top w:val="dotted" w:sz="4" w:space="0" w:color="auto"/>
              <w:left w:val="dotted" w:sz="4" w:space="0" w:color="auto"/>
              <w:bottom w:val="dotted" w:sz="4" w:space="0" w:color="auto"/>
              <w:right w:val="dotted" w:sz="4" w:space="0" w:color="auto"/>
            </w:tcBorders>
          </w:tcPr>
          <w:p w14:paraId="406BE2CB" w14:textId="77777777" w:rsidR="00932AC5" w:rsidRDefault="00850229">
            <w:pPr>
              <w:pStyle w:val="NoSpacing"/>
            </w:pPr>
            <w:r>
              <w:t>Late on-premise mandate. A regulatory or organisational decision requires eClaims to run on-premise. ECS on Fargate cannot run there, and ECS Anywhere does not suit inbound HTTP services.</w:t>
            </w:r>
          </w:p>
        </w:tc>
        <w:tc>
          <w:tcPr>
            <w:tcW w:w="1540" w:type="dxa"/>
            <w:tcBorders>
              <w:top w:val="dotted" w:sz="4" w:space="0" w:color="auto"/>
              <w:left w:val="dotted" w:sz="4" w:space="0" w:color="auto"/>
              <w:bottom w:val="dotted" w:sz="4" w:space="0" w:color="auto"/>
              <w:right w:val="dotted" w:sz="4" w:space="0" w:color="auto"/>
            </w:tcBorders>
          </w:tcPr>
          <w:p w14:paraId="05E85117" w14:textId="77777777" w:rsidR="00932AC5" w:rsidRDefault="00850229">
            <w:pPr>
              <w:pStyle w:val="NoSpacing"/>
            </w:pPr>
            <w:r>
              <w:t>Medium</w:t>
            </w:r>
          </w:p>
        </w:tc>
        <w:tc>
          <w:tcPr>
            <w:tcW w:w="1060" w:type="dxa"/>
            <w:tcBorders>
              <w:top w:val="dotted" w:sz="4" w:space="0" w:color="auto"/>
              <w:left w:val="dotted" w:sz="4" w:space="0" w:color="auto"/>
              <w:bottom w:val="dotted" w:sz="4" w:space="0" w:color="auto"/>
              <w:right w:val="dotted" w:sz="4" w:space="0" w:color="auto"/>
            </w:tcBorders>
          </w:tcPr>
          <w:p w14:paraId="3C7B9827" w14:textId="77777777" w:rsidR="00932AC5" w:rsidRDefault="00850229">
            <w:pPr>
              <w:pStyle w:val="NoSpacing"/>
            </w:pPr>
            <w:r>
              <w:t>High</w:t>
            </w:r>
          </w:p>
        </w:tc>
        <w:tc>
          <w:tcPr>
            <w:tcW w:w="3106" w:type="dxa"/>
            <w:tcBorders>
              <w:top w:val="dotted" w:sz="4" w:space="0" w:color="auto"/>
              <w:left w:val="dotted" w:sz="4" w:space="0" w:color="auto"/>
              <w:bottom w:val="dotted" w:sz="4" w:space="0" w:color="auto"/>
              <w:right w:val="dotted" w:sz="4" w:space="0" w:color="auto"/>
            </w:tcBorders>
          </w:tcPr>
          <w:p w14:paraId="6C88DDDE" w14:textId="77777777" w:rsidR="00932AC5" w:rsidRDefault="00850229">
            <w:pPr>
              <w:pStyle w:val="NoSpacing"/>
            </w:pPr>
            <w:r>
              <w:t>Kubernetes is the path already analysed (Section 5; SAD Section 4, Deployment Options). Keep it proven at low cost: a periodic CI job deploys the same images to a local conformant cluster from a minimal Helm chart, so working manifests exist before they are needed. On a firm mandate, re-run this decision and standardise on Kubernetes in both estates rather than operate two orchestrators.</w:t>
            </w:r>
          </w:p>
        </w:tc>
      </w:tr>
      <w:tr w:rsidR="00932AC5" w14:paraId="5B0F306E" w14:textId="77777777">
        <w:trPr>
          <w:cantSplit/>
        </w:trPr>
        <w:tc>
          <w:tcPr>
            <w:tcW w:w="820" w:type="dxa"/>
            <w:tcBorders>
              <w:top w:val="dotted" w:sz="4" w:space="0" w:color="auto"/>
              <w:left w:val="dotted" w:sz="4" w:space="0" w:color="auto"/>
              <w:bottom w:val="dotted" w:sz="4" w:space="0" w:color="auto"/>
              <w:right w:val="dotted" w:sz="4" w:space="0" w:color="auto"/>
            </w:tcBorders>
          </w:tcPr>
          <w:p w14:paraId="7B06C027" w14:textId="77777777" w:rsidR="00932AC5" w:rsidRDefault="00850229">
            <w:pPr>
              <w:pStyle w:val="NoSpacing"/>
            </w:pPr>
            <w:r>
              <w:lastRenderedPageBreak/>
              <w:t>R3</w:t>
            </w:r>
          </w:p>
        </w:tc>
        <w:tc>
          <w:tcPr>
            <w:tcW w:w="2500" w:type="dxa"/>
            <w:tcBorders>
              <w:top w:val="dotted" w:sz="4" w:space="0" w:color="auto"/>
              <w:left w:val="dotted" w:sz="4" w:space="0" w:color="auto"/>
              <w:bottom w:val="dotted" w:sz="4" w:space="0" w:color="auto"/>
              <w:right w:val="dotted" w:sz="4" w:space="0" w:color="auto"/>
            </w:tcBorders>
          </w:tcPr>
          <w:p w14:paraId="4D069CCA" w14:textId="77777777" w:rsidR="00932AC5" w:rsidRDefault="00850229">
            <w:pPr>
              <w:pStyle w:val="NoSpacing"/>
            </w:pPr>
            <w:r>
              <w:t>Fargate limits and quotas. The Fargate On-Demand vCPU quota starts at 6 vCPU in a new account. Launches are rate-limited: 500 tasks per service per minute, and a sustained 20 tasks per second per account. Task sizes come from fixed combinations. A catastrophe-day spike, or a blue-green deployment that briefly doubles the task count, could hit a quota.</w:t>
            </w:r>
          </w:p>
        </w:tc>
        <w:tc>
          <w:tcPr>
            <w:tcW w:w="1540" w:type="dxa"/>
            <w:tcBorders>
              <w:top w:val="dotted" w:sz="4" w:space="0" w:color="auto"/>
              <w:left w:val="dotted" w:sz="4" w:space="0" w:color="auto"/>
              <w:bottom w:val="dotted" w:sz="4" w:space="0" w:color="auto"/>
              <w:right w:val="dotted" w:sz="4" w:space="0" w:color="auto"/>
            </w:tcBorders>
          </w:tcPr>
          <w:p w14:paraId="11B9DEB5" w14:textId="77777777" w:rsidR="00932AC5" w:rsidRDefault="00850229">
            <w:pPr>
              <w:pStyle w:val="NoSpacing"/>
            </w:pPr>
            <w:r>
              <w:t>Medium</w:t>
            </w:r>
          </w:p>
        </w:tc>
        <w:tc>
          <w:tcPr>
            <w:tcW w:w="1060" w:type="dxa"/>
            <w:tcBorders>
              <w:top w:val="dotted" w:sz="4" w:space="0" w:color="auto"/>
              <w:left w:val="dotted" w:sz="4" w:space="0" w:color="auto"/>
              <w:bottom w:val="dotted" w:sz="4" w:space="0" w:color="auto"/>
              <w:right w:val="dotted" w:sz="4" w:space="0" w:color="auto"/>
            </w:tcBorders>
          </w:tcPr>
          <w:p w14:paraId="22A179C2" w14:textId="77777777" w:rsidR="00932AC5" w:rsidRDefault="00850229">
            <w:pPr>
              <w:pStyle w:val="NoSpacing"/>
            </w:pPr>
            <w:r>
              <w:t>High</w:t>
            </w:r>
          </w:p>
        </w:tc>
        <w:tc>
          <w:tcPr>
            <w:tcW w:w="3106" w:type="dxa"/>
            <w:tcBorders>
              <w:top w:val="dotted" w:sz="4" w:space="0" w:color="auto"/>
              <w:left w:val="dotted" w:sz="4" w:space="0" w:color="auto"/>
              <w:bottom w:val="dotted" w:sz="4" w:space="0" w:color="auto"/>
              <w:right w:val="dotted" w:sz="4" w:space="0" w:color="auto"/>
            </w:tcBorders>
          </w:tcPr>
          <w:p w14:paraId="27C8BD34" w14:textId="77777777" w:rsidR="00932AC5" w:rsidRDefault="00850229">
            <w:pPr>
              <w:pStyle w:val="NoSpacing"/>
            </w:pPr>
            <w:r>
              <w:t>Before go-live, size the vCPU quota from the maximum task counts in SAD Section 9.4 (20 for Claims, 10 for each other service) at the chosen task size, doubled for blue-green. That is about 130 to 260 vCPU for twelve services. Raise the quota through Service Quotas in each account and Region, and alarm on quota utilisation. Confirm task sizes and scale-out timing in the load tests in SAD Section 9.5. eClaims needs no GPUs or privileged containers.</w:t>
            </w:r>
          </w:p>
        </w:tc>
      </w:tr>
      <w:tr w:rsidR="00932AC5" w14:paraId="6F87B384" w14:textId="77777777">
        <w:trPr>
          <w:cantSplit/>
        </w:trPr>
        <w:tc>
          <w:tcPr>
            <w:tcW w:w="820" w:type="dxa"/>
            <w:tcBorders>
              <w:top w:val="dotted" w:sz="4" w:space="0" w:color="auto"/>
              <w:left w:val="dotted" w:sz="4" w:space="0" w:color="auto"/>
              <w:bottom w:val="dotted" w:sz="4" w:space="0" w:color="auto"/>
              <w:right w:val="dotted" w:sz="4" w:space="0" w:color="auto"/>
            </w:tcBorders>
          </w:tcPr>
          <w:p w14:paraId="70C1E32B" w14:textId="77777777" w:rsidR="00932AC5" w:rsidRDefault="00850229">
            <w:pPr>
              <w:pStyle w:val="NoSpacing"/>
            </w:pPr>
            <w:r>
              <w:t>R4</w:t>
            </w:r>
          </w:p>
        </w:tc>
        <w:tc>
          <w:tcPr>
            <w:tcW w:w="2500" w:type="dxa"/>
            <w:tcBorders>
              <w:top w:val="dotted" w:sz="4" w:space="0" w:color="auto"/>
              <w:left w:val="dotted" w:sz="4" w:space="0" w:color="auto"/>
              <w:bottom w:val="dotted" w:sz="4" w:space="0" w:color="auto"/>
              <w:right w:val="dotted" w:sz="4" w:space="0" w:color="auto"/>
            </w:tcBorders>
          </w:tcPr>
          <w:p w14:paraId="5934E873" w14:textId="77777777" w:rsidR="00932AC5" w:rsidRDefault="00850229">
            <w:pPr>
              <w:pStyle w:val="NoSpacing"/>
            </w:pPr>
            <w:r>
              <w:t>Cost growth at scale. Per unit, Fargate costs more than well-utilised EC2 capacity. At much higher sustained load, the compute bill would grow faster than it would on instances.</w:t>
            </w:r>
          </w:p>
        </w:tc>
        <w:tc>
          <w:tcPr>
            <w:tcW w:w="1540" w:type="dxa"/>
            <w:tcBorders>
              <w:top w:val="dotted" w:sz="4" w:space="0" w:color="auto"/>
              <w:left w:val="dotted" w:sz="4" w:space="0" w:color="auto"/>
              <w:bottom w:val="dotted" w:sz="4" w:space="0" w:color="auto"/>
              <w:right w:val="dotted" w:sz="4" w:space="0" w:color="auto"/>
            </w:tcBorders>
          </w:tcPr>
          <w:p w14:paraId="5DC6591F" w14:textId="77777777" w:rsidR="00932AC5" w:rsidRDefault="00850229">
            <w:pPr>
              <w:pStyle w:val="NoSpacing"/>
            </w:pPr>
            <w:r>
              <w:t>Medium</w:t>
            </w:r>
          </w:p>
        </w:tc>
        <w:tc>
          <w:tcPr>
            <w:tcW w:w="1060" w:type="dxa"/>
            <w:tcBorders>
              <w:top w:val="dotted" w:sz="4" w:space="0" w:color="auto"/>
              <w:left w:val="dotted" w:sz="4" w:space="0" w:color="auto"/>
              <w:bottom w:val="dotted" w:sz="4" w:space="0" w:color="auto"/>
              <w:right w:val="dotted" w:sz="4" w:space="0" w:color="auto"/>
            </w:tcBorders>
          </w:tcPr>
          <w:p w14:paraId="1D55CFD5" w14:textId="77777777" w:rsidR="00932AC5" w:rsidRDefault="00850229">
            <w:pPr>
              <w:pStyle w:val="NoSpacing"/>
            </w:pPr>
            <w:r>
              <w:t>Medium</w:t>
            </w:r>
          </w:p>
        </w:tc>
        <w:tc>
          <w:tcPr>
            <w:tcW w:w="3106" w:type="dxa"/>
            <w:tcBorders>
              <w:top w:val="dotted" w:sz="4" w:space="0" w:color="auto"/>
              <w:left w:val="dotted" w:sz="4" w:space="0" w:color="auto"/>
              <w:bottom w:val="dotted" w:sz="4" w:space="0" w:color="auto"/>
              <w:right w:val="dotted" w:sz="4" w:space="0" w:color="auto"/>
            </w:tcBorders>
          </w:tcPr>
          <w:p w14:paraId="0012E27E" w14:textId="77777777" w:rsidR="00932AC5" w:rsidRDefault="00850229">
            <w:pPr>
              <w:pStyle w:val="NoSpacing"/>
            </w:pPr>
            <w:r>
              <w:t>Right-size tasks from load-test data. Cover the steady floor with a Compute Savings Plan (up to 50% off). Move services to Graviton (about 20% lower rates), and move interruptible jobs and non-production environments to Fargate Spot (up to 70% off). Track cost per service with budgets and anomaly alerts. If sustained use reaches the crossover described in the Compute DAR (Section 4.4), move services to EC2-backed ECS capacity, including ECS Managed Instances. The services are recreated on the new capacity provider, but the orchestrator does not change.</w:t>
            </w:r>
          </w:p>
        </w:tc>
      </w:tr>
      <w:tr w:rsidR="00932AC5" w14:paraId="7F4FE2D3" w14:textId="77777777">
        <w:trPr>
          <w:cantSplit/>
        </w:trPr>
        <w:tc>
          <w:tcPr>
            <w:tcW w:w="820" w:type="dxa"/>
            <w:tcBorders>
              <w:top w:val="dotted" w:sz="4" w:space="0" w:color="auto"/>
              <w:left w:val="dotted" w:sz="4" w:space="0" w:color="auto"/>
              <w:bottom w:val="dotted" w:sz="4" w:space="0" w:color="auto"/>
              <w:right w:val="dotted" w:sz="4" w:space="0" w:color="auto"/>
            </w:tcBorders>
          </w:tcPr>
          <w:p w14:paraId="43FED48D" w14:textId="77777777" w:rsidR="00932AC5" w:rsidRDefault="00850229">
            <w:pPr>
              <w:pStyle w:val="NoSpacing"/>
            </w:pPr>
            <w:r>
              <w:lastRenderedPageBreak/>
              <w:t>R5</w:t>
            </w:r>
          </w:p>
        </w:tc>
        <w:tc>
          <w:tcPr>
            <w:tcW w:w="2500" w:type="dxa"/>
            <w:tcBorders>
              <w:top w:val="dotted" w:sz="4" w:space="0" w:color="auto"/>
              <w:left w:val="dotted" w:sz="4" w:space="0" w:color="auto"/>
              <w:bottom w:val="dotted" w:sz="4" w:space="0" w:color="auto"/>
              <w:right w:val="dotted" w:sz="4" w:space="0" w:color="auto"/>
            </w:tcBorders>
          </w:tcPr>
          <w:p w14:paraId="222D079B" w14:textId="77777777" w:rsidR="00932AC5" w:rsidRDefault="00850229">
            <w:pPr>
              <w:pStyle w:val="NoSpacing"/>
            </w:pPr>
            <w:r>
              <w:t>Kubernetes skills gap if the on-premise path is triggered. Phase 1 builds ECS skills, and YCompany's operations team may lack the cluster-operations skills that Kubernetes needs.</w:t>
            </w:r>
          </w:p>
        </w:tc>
        <w:tc>
          <w:tcPr>
            <w:tcW w:w="1540" w:type="dxa"/>
            <w:tcBorders>
              <w:top w:val="dotted" w:sz="4" w:space="0" w:color="auto"/>
              <w:left w:val="dotted" w:sz="4" w:space="0" w:color="auto"/>
              <w:bottom w:val="dotted" w:sz="4" w:space="0" w:color="auto"/>
              <w:right w:val="dotted" w:sz="4" w:space="0" w:color="auto"/>
            </w:tcBorders>
          </w:tcPr>
          <w:p w14:paraId="34898BBE" w14:textId="77777777" w:rsidR="00932AC5" w:rsidRDefault="00850229">
            <w:pPr>
              <w:pStyle w:val="NoSpacing"/>
            </w:pPr>
            <w:r>
              <w:t>Medium</w:t>
            </w:r>
          </w:p>
        </w:tc>
        <w:tc>
          <w:tcPr>
            <w:tcW w:w="1060" w:type="dxa"/>
            <w:tcBorders>
              <w:top w:val="dotted" w:sz="4" w:space="0" w:color="auto"/>
              <w:left w:val="dotted" w:sz="4" w:space="0" w:color="auto"/>
              <w:bottom w:val="dotted" w:sz="4" w:space="0" w:color="auto"/>
              <w:right w:val="dotted" w:sz="4" w:space="0" w:color="auto"/>
            </w:tcBorders>
          </w:tcPr>
          <w:p w14:paraId="1BC2C7F9" w14:textId="77777777" w:rsidR="00932AC5" w:rsidRDefault="00850229">
            <w:pPr>
              <w:pStyle w:val="NoSpacing"/>
            </w:pPr>
            <w:r>
              <w:t>Medium</w:t>
            </w:r>
          </w:p>
        </w:tc>
        <w:tc>
          <w:tcPr>
            <w:tcW w:w="3106" w:type="dxa"/>
            <w:tcBorders>
              <w:top w:val="dotted" w:sz="4" w:space="0" w:color="auto"/>
              <w:left w:val="dotted" w:sz="4" w:space="0" w:color="auto"/>
              <w:bottom w:val="dotted" w:sz="4" w:space="0" w:color="auto"/>
              <w:right w:val="dotted" w:sz="4" w:space="0" w:color="auto"/>
            </w:tcBorders>
          </w:tcPr>
          <w:p w14:paraId="1A7E6E08" w14:textId="77777777" w:rsidR="00932AC5" w:rsidRDefault="00850229">
            <w:pPr>
              <w:pStyle w:val="NoSpacing"/>
            </w:pPr>
            <w:r>
              <w:t>Keep the on-premise profile's manifests in the repository and in use (R2). Name Kubernetes-skilled engineers in the Nagarro delivery team for any transition. Budget Kubernetes training and vendor support in the on-premise implementation, which is outside the Phase 1 estimate (SAD Section 10, Assumption 10). Vendor support means the EKS Anywhere Enterprise Subscription (USD 24,000 per cluster per year) or a supported distribution.</w:t>
            </w:r>
          </w:p>
        </w:tc>
      </w:tr>
      <w:tr w:rsidR="00932AC5" w14:paraId="6D91BB19" w14:textId="77777777">
        <w:trPr>
          <w:cantSplit/>
        </w:trPr>
        <w:tc>
          <w:tcPr>
            <w:tcW w:w="820" w:type="dxa"/>
            <w:tcBorders>
              <w:top w:val="dotted" w:sz="4" w:space="0" w:color="auto"/>
              <w:left w:val="dotted" w:sz="4" w:space="0" w:color="auto"/>
              <w:bottom w:val="dotted" w:sz="4" w:space="0" w:color="auto"/>
              <w:right w:val="dotted" w:sz="4" w:space="0" w:color="auto"/>
            </w:tcBorders>
          </w:tcPr>
          <w:p w14:paraId="36BDA227" w14:textId="77777777" w:rsidR="00932AC5" w:rsidRDefault="00850229">
            <w:pPr>
              <w:pStyle w:val="NoSpacing"/>
            </w:pPr>
            <w:r>
              <w:t>R6</w:t>
            </w:r>
          </w:p>
        </w:tc>
        <w:tc>
          <w:tcPr>
            <w:tcW w:w="2500" w:type="dxa"/>
            <w:tcBorders>
              <w:top w:val="dotted" w:sz="4" w:space="0" w:color="auto"/>
              <w:left w:val="dotted" w:sz="4" w:space="0" w:color="auto"/>
              <w:bottom w:val="dotted" w:sz="4" w:space="0" w:color="auto"/>
              <w:right w:val="dotted" w:sz="4" w:space="0" w:color="auto"/>
            </w:tcBorders>
          </w:tcPr>
          <w:p w14:paraId="2402826B" w14:textId="77777777" w:rsidR="00932AC5" w:rsidRDefault="00850229">
            <w:pPr>
              <w:pStyle w:val="NoSpacing"/>
            </w:pPr>
            <w:r>
              <w:t>Fargate platform maintenance during a peak. AWS retires old platform revisions on its own schedule. Replacements during a claims surge add churn, and a replacement that fails to start reduces capacity.</w:t>
            </w:r>
          </w:p>
        </w:tc>
        <w:tc>
          <w:tcPr>
            <w:tcW w:w="1540" w:type="dxa"/>
            <w:tcBorders>
              <w:top w:val="dotted" w:sz="4" w:space="0" w:color="auto"/>
              <w:left w:val="dotted" w:sz="4" w:space="0" w:color="auto"/>
              <w:bottom w:val="dotted" w:sz="4" w:space="0" w:color="auto"/>
              <w:right w:val="dotted" w:sz="4" w:space="0" w:color="auto"/>
            </w:tcBorders>
          </w:tcPr>
          <w:p w14:paraId="0F520AF5" w14:textId="77777777" w:rsidR="00932AC5" w:rsidRDefault="00850229">
            <w:pPr>
              <w:pStyle w:val="NoSpacing"/>
            </w:pPr>
            <w:r>
              <w:t>Low</w:t>
            </w:r>
          </w:p>
        </w:tc>
        <w:tc>
          <w:tcPr>
            <w:tcW w:w="1060" w:type="dxa"/>
            <w:tcBorders>
              <w:top w:val="dotted" w:sz="4" w:space="0" w:color="auto"/>
              <w:left w:val="dotted" w:sz="4" w:space="0" w:color="auto"/>
              <w:bottom w:val="dotted" w:sz="4" w:space="0" w:color="auto"/>
              <w:right w:val="dotted" w:sz="4" w:space="0" w:color="auto"/>
            </w:tcBorders>
          </w:tcPr>
          <w:p w14:paraId="597B0270" w14:textId="77777777" w:rsidR="00932AC5" w:rsidRDefault="00850229">
            <w:pPr>
              <w:pStyle w:val="NoSpacing"/>
            </w:pPr>
            <w:r>
              <w:t>Medium</w:t>
            </w:r>
          </w:p>
        </w:tc>
        <w:tc>
          <w:tcPr>
            <w:tcW w:w="3106" w:type="dxa"/>
            <w:tcBorders>
              <w:top w:val="dotted" w:sz="4" w:space="0" w:color="auto"/>
              <w:left w:val="dotted" w:sz="4" w:space="0" w:color="auto"/>
              <w:bottom w:val="dotted" w:sz="4" w:space="0" w:color="auto"/>
              <w:right w:val="dotted" w:sz="4" w:space="0" w:color="auto"/>
            </w:tcBorders>
          </w:tcPr>
          <w:p w14:paraId="5F196DAF" w14:textId="77777777" w:rsidR="00932AC5" w:rsidRDefault="00850229">
            <w:pPr>
              <w:pStyle w:val="NoSpacing"/>
            </w:pPr>
            <w:r>
              <w:t>By default, services start each replacement task before stopping the old one. Keep at least two tasks per service across Availability Zones (SAD Section 9.4). Set the fourteen-day retirement wait, or EC2 event windows, so that replacements happen outside peak hours. Route AWS Health retirement notices through EventBridge to the operations channel.</w:t>
            </w:r>
          </w:p>
        </w:tc>
      </w:tr>
    </w:tbl>
    <w:p w14:paraId="0AC396D6" w14:textId="77777777" w:rsidR="00932AC5" w:rsidRDefault="00932AC5"/>
    <w:p w14:paraId="0C7E40D3" w14:textId="77777777" w:rsidR="00932AC5" w:rsidRDefault="00850229">
      <w:r>
        <w:br w:type="page"/>
      </w:r>
    </w:p>
    <w:p w14:paraId="62899127" w14:textId="77777777" w:rsidR="00932AC5" w:rsidRDefault="00850229">
      <w:pPr>
        <w:pStyle w:val="Heading1"/>
      </w:pPr>
      <w:bookmarkStart w:id="17" w:name="_Toc244213677"/>
      <w:r>
        <w:lastRenderedPageBreak/>
        <w:t>Appendix</w:t>
      </w:r>
      <w:bookmarkEnd w:id="17"/>
    </w:p>
    <w:p w14:paraId="52926F57" w14:textId="77777777" w:rsidR="00932AC5" w:rsidRDefault="00850229">
      <w:pPr>
        <w:pStyle w:val="Heading2"/>
      </w:pPr>
      <w:bookmarkStart w:id="18" w:name="_Toc244213678"/>
      <w:r>
        <w:t>References</w:t>
      </w:r>
      <w:bookmarkEnd w:id="18"/>
    </w:p>
    <w:p w14:paraId="56C64534" w14:textId="77777777" w:rsidR="00932AC5" w:rsidRDefault="00850229">
      <w:r>
        <w:t>The following documents and sources were used in preparing this DAR. All web sources were accessed on 30 September 2026.</w:t>
      </w:r>
    </w:p>
    <w:p w14:paraId="0F59CB9D" w14:textId="77777777" w:rsidR="00932AC5" w:rsidRDefault="00850229">
      <w:r>
        <w:rPr>
          <w:b/>
        </w:rPr>
        <w:t>eClaims documents</w:t>
      </w:r>
    </w:p>
    <w:p w14:paraId="02E4F2D9" w14:textId="77777777" w:rsidR="00932AC5" w:rsidRDefault="00850229">
      <w:pPr>
        <w:pStyle w:val="ListParagraph"/>
        <w:numPr>
          <w:ilvl w:val="0"/>
          <w:numId w:val="40"/>
        </w:numPr>
      </w:pPr>
      <w:r>
        <w:t>eClaims Solution Approach Document — docs/sad/solution-approach-document.md, v1.4 (29 October 2026):</w:t>
      </w:r>
    </w:p>
    <w:p w14:paraId="244513C6" w14:textId="77777777" w:rsidR="00932AC5" w:rsidRDefault="00850229">
      <w:pPr>
        <w:pStyle w:val="ListParagraph"/>
        <w:numPr>
          <w:ilvl w:val="1"/>
          <w:numId w:val="40"/>
        </w:numPr>
      </w:pPr>
      <w:r>
        <w:t>Section 4: Layer 3, Deployment Topology, CI/CD Pipeline, Deployment Options</w:t>
      </w:r>
    </w:p>
    <w:p w14:paraId="09145B77" w14:textId="77777777" w:rsidR="00932AC5" w:rsidRDefault="00850229">
      <w:pPr>
        <w:pStyle w:val="ListParagraph"/>
        <w:numPr>
          <w:ilvl w:val="1"/>
          <w:numId w:val="40"/>
        </w:numPr>
      </w:pPr>
      <w:r>
        <w:t>Section 7</w:t>
      </w:r>
    </w:p>
    <w:p w14:paraId="6D05A81D" w14:textId="77777777" w:rsidR="00932AC5" w:rsidRDefault="00850229">
      <w:pPr>
        <w:pStyle w:val="ListParagraph"/>
        <w:numPr>
          <w:ilvl w:val="1"/>
          <w:numId w:val="40"/>
        </w:numPr>
      </w:pPr>
      <w:r>
        <w:t>Section 8, including POC coverage</w:t>
      </w:r>
    </w:p>
    <w:p w14:paraId="0D0F501B" w14:textId="77777777" w:rsidR="00932AC5" w:rsidRDefault="00850229">
      <w:pPr>
        <w:pStyle w:val="ListParagraph"/>
        <w:numPr>
          <w:ilvl w:val="1"/>
          <w:numId w:val="40"/>
        </w:numPr>
      </w:pPr>
      <w:r>
        <w:t>Section 9, subsections 9.1 to 9.5</w:t>
      </w:r>
    </w:p>
    <w:p w14:paraId="1F80E11F" w14:textId="77777777" w:rsidR="00932AC5" w:rsidRDefault="00850229">
      <w:pPr>
        <w:pStyle w:val="ListParagraph"/>
        <w:numPr>
          <w:ilvl w:val="1"/>
          <w:numId w:val="40"/>
        </w:numPr>
      </w:pPr>
      <w:r>
        <w:t>Section 10, Assumptions 1 and 10</w:t>
      </w:r>
    </w:p>
    <w:p w14:paraId="2E49166A" w14:textId="77777777" w:rsidR="00932AC5" w:rsidRDefault="00850229">
      <w:pPr>
        <w:pStyle w:val="ListParagraph"/>
        <w:numPr>
          <w:ilvl w:val="0"/>
          <w:numId w:val="40"/>
        </w:numPr>
      </w:pPr>
      <w:r>
        <w:t>eClaims case study — requirements/eClaims - Insurance -Senior Staff Engineer.pdf: Section 5 (Design Requirements), Section 5.1 (Functional Requirements) and Section 5.2 (Non-Functional Requirements)</w:t>
      </w:r>
    </w:p>
    <w:p w14:paraId="44EDA42B" w14:textId="77777777" w:rsidR="00932AC5" w:rsidRDefault="00850229">
      <w:pPr>
        <w:pStyle w:val="ListParagraph"/>
        <w:numPr>
          <w:ilvl w:val="0"/>
          <w:numId w:val="40"/>
        </w:numPr>
      </w:pPr>
      <w:r>
        <w:t>DAR — Compute and Deployment Platform Selection — docs/dar/Utsav_eClaims_DAR_Compute.docx, Sections 4.4 and 4.5</w:t>
      </w:r>
    </w:p>
    <w:p w14:paraId="6BBFE048" w14:textId="77777777" w:rsidR="00932AC5" w:rsidRDefault="00850229">
      <w:pPr>
        <w:pStyle w:val="ListParagraph"/>
        <w:numPr>
          <w:ilvl w:val="0"/>
          <w:numId w:val="40"/>
        </w:numPr>
      </w:pPr>
      <w:r>
        <w:t>DAR — Workflow Orchestration Engine Selection — docs/dar/Utsav_eClaims_DAR_Orchestration_Engine.docx</w:t>
      </w:r>
    </w:p>
    <w:p w14:paraId="3B0C221E" w14:textId="77777777" w:rsidR="00932AC5" w:rsidRDefault="00850229">
      <w:pPr>
        <w:pStyle w:val="ListParagraph"/>
        <w:numPr>
          <w:ilvl w:val="0"/>
          <w:numId w:val="40"/>
        </w:numPr>
      </w:pPr>
      <w:r>
        <w:t>DAR — Backend Framework Selection — docs/dar/Utsav_eClaims_DAR_Backend.docx</w:t>
      </w:r>
    </w:p>
    <w:p w14:paraId="5B85AB65" w14:textId="77777777" w:rsidR="00932AC5" w:rsidRDefault="00850229">
      <w:r>
        <w:rPr>
          <w:b/>
        </w:rPr>
        <w:t>AWS pricing (US East, N. Virginia)</w:t>
      </w:r>
    </w:p>
    <w:p w14:paraId="320D1B02" w14:textId="77777777" w:rsidR="00932AC5" w:rsidRDefault="00850229">
      <w:pPr>
        <w:pStyle w:val="ListParagraph"/>
        <w:numPr>
          <w:ilvl w:val="0"/>
          <w:numId w:val="40"/>
        </w:numPr>
      </w:pPr>
      <w:r>
        <w:t>AWS Fargate Pricing — https://aws.amazon.com/fargate/pricing/ (accessed 30 September 2026)</w:t>
      </w:r>
    </w:p>
    <w:p w14:paraId="3BD1E2FC" w14:textId="77777777" w:rsidR="00932AC5" w:rsidRDefault="00850229">
      <w:pPr>
        <w:pStyle w:val="ListParagraph"/>
        <w:numPr>
          <w:ilvl w:val="0"/>
          <w:numId w:val="40"/>
        </w:numPr>
      </w:pPr>
      <w:r>
        <w:t>Amazon EKS Pricing — https://aws.amazon.com/eks/pricing/ (accessed 30 September 2026)</w:t>
      </w:r>
    </w:p>
    <w:p w14:paraId="7DFDAD6B" w14:textId="77777777" w:rsidR="00932AC5" w:rsidRDefault="00850229">
      <w:pPr>
        <w:pStyle w:val="ListParagraph"/>
        <w:numPr>
          <w:ilvl w:val="0"/>
          <w:numId w:val="40"/>
        </w:numPr>
      </w:pPr>
      <w:r>
        <w:t>Amazon ECS Pricing — https://aws.amazon.com/ecs/pricing/ (accessed 30 September 2026)</w:t>
      </w:r>
    </w:p>
    <w:p w14:paraId="07F2D3D7" w14:textId="77777777" w:rsidR="00932AC5" w:rsidRDefault="00850229">
      <w:pPr>
        <w:pStyle w:val="ListParagraph"/>
        <w:numPr>
          <w:ilvl w:val="0"/>
          <w:numId w:val="40"/>
        </w:numPr>
      </w:pPr>
      <w:r>
        <w:t>Amazon EKS Anywhere Pricing — https://aws.amazon.com/eks/eks-anywhere/pricing/ (accessed 30 September 2026)</w:t>
      </w:r>
    </w:p>
    <w:p w14:paraId="09B59D3A" w14:textId="77777777" w:rsidR="00932AC5" w:rsidRDefault="00850229">
      <w:pPr>
        <w:pStyle w:val="ListParagraph"/>
        <w:numPr>
          <w:ilvl w:val="0"/>
          <w:numId w:val="40"/>
        </w:numPr>
      </w:pPr>
      <w:r>
        <w:t>Amazon EC2 On-Demand Pricing — https://aws.amazon.com/ec2/pricing/on-demand/ (accessed 30 September 2026)</w:t>
      </w:r>
    </w:p>
    <w:p w14:paraId="175D5D70" w14:textId="77777777" w:rsidR="00932AC5" w:rsidRDefault="00850229">
      <w:pPr>
        <w:pStyle w:val="ListParagraph"/>
        <w:numPr>
          <w:ilvl w:val="0"/>
          <w:numId w:val="40"/>
        </w:numPr>
      </w:pPr>
      <w:r>
        <w:t>AWS Price List API, Amazon ECS offer file for us-east-1 — https://pricing.us-east-1.amazonaws.com/offers/v1.0/aws/AmazonECS/current/us-east-1/index.json (published 11 September 2026; accessed 30 September 2026)</w:t>
      </w:r>
    </w:p>
    <w:p w14:paraId="73D66155" w14:textId="77777777" w:rsidR="00932AC5" w:rsidRDefault="00850229">
      <w:pPr>
        <w:pStyle w:val="ListParagraph"/>
        <w:numPr>
          <w:ilvl w:val="0"/>
          <w:numId w:val="40"/>
        </w:numPr>
      </w:pPr>
      <w:r>
        <w:t>AWS Price List API, Amazon EKS offer file for us-east-1 — https://pricing.us-east-1.amazonaws.com/offers/v1.0/aws/AmazonEKS/current/us-east-1/index.json (published 28 September 2026; accessed 30 September 2026)</w:t>
      </w:r>
    </w:p>
    <w:p w14:paraId="0260FD4F" w14:textId="77777777" w:rsidR="00932AC5" w:rsidRDefault="00850229">
      <w:r>
        <w:rPr>
          <w:b/>
        </w:rPr>
        <w:t>AWS documentation</w:t>
      </w:r>
    </w:p>
    <w:p w14:paraId="5DE263E3" w14:textId="77777777" w:rsidR="00932AC5" w:rsidRDefault="00850229">
      <w:pPr>
        <w:pStyle w:val="ListParagraph"/>
        <w:numPr>
          <w:ilvl w:val="0"/>
          <w:numId w:val="40"/>
        </w:numPr>
      </w:pPr>
      <w:r>
        <w:t>Amazon ECS task definition differences for Fargate — https://docs.aws.amazon.com/AmazonECS/latest/developerguide/fargate-tasks-services.html (accessed 30 September 2026)</w:t>
      </w:r>
    </w:p>
    <w:p w14:paraId="511EF167" w14:textId="77777777" w:rsidR="00932AC5" w:rsidRDefault="00850229">
      <w:pPr>
        <w:pStyle w:val="ListParagraph"/>
        <w:numPr>
          <w:ilvl w:val="0"/>
          <w:numId w:val="40"/>
        </w:numPr>
      </w:pPr>
      <w:r>
        <w:lastRenderedPageBreak/>
        <w:t>Amazon ECS clusters for Fargate (Fargate Spot) — https://docs.aws.amazon.com/AmazonECS/latest/developerguide/fargate-capacity-providers.html (accessed 30 September 2026)</w:t>
      </w:r>
    </w:p>
    <w:p w14:paraId="2B1FE984" w14:textId="77777777" w:rsidR="00932AC5" w:rsidRDefault="00850229">
      <w:pPr>
        <w:pStyle w:val="ListParagraph"/>
        <w:numPr>
          <w:ilvl w:val="0"/>
          <w:numId w:val="40"/>
        </w:numPr>
      </w:pPr>
      <w:r>
        <w:t>Task retirement and maintenance for AWS Fargate on Amazon ECS — https://docs.aws.amazon.com/AmazonECS/latest/developerguide/task-maintenance.html (accessed 30 September 2026)</w:t>
      </w:r>
    </w:p>
    <w:p w14:paraId="024E326A" w14:textId="77777777" w:rsidR="00932AC5" w:rsidRDefault="00850229">
      <w:pPr>
        <w:pStyle w:val="ListParagraph"/>
        <w:numPr>
          <w:ilvl w:val="0"/>
          <w:numId w:val="40"/>
        </w:numPr>
      </w:pPr>
      <w:r>
        <w:t>Amazon ECS blue/green deployments — https://docs.aws.amazon.com/AmazonECS/latest/developerguide/deployment-type-blue-green.html (accessed 30 September 2026)</w:t>
      </w:r>
    </w:p>
    <w:p w14:paraId="0CF0CE99" w14:textId="77777777" w:rsidR="00932AC5" w:rsidRDefault="00850229">
      <w:pPr>
        <w:pStyle w:val="ListParagraph"/>
        <w:numPr>
          <w:ilvl w:val="0"/>
          <w:numId w:val="40"/>
        </w:numPr>
      </w:pPr>
      <w:r>
        <w:t>Amazon ECS enables built-in blue/green deployments (July 2025) — https://aws.amazon.com/about-aws/whats-new/2025/07/amazon-ecs-built-in-blue-green-deployments/ (accessed 30 September 2026)</w:t>
      </w:r>
    </w:p>
    <w:p w14:paraId="0D327F02" w14:textId="77777777" w:rsidR="00932AC5" w:rsidRDefault="00850229">
      <w:pPr>
        <w:pStyle w:val="ListParagraph"/>
        <w:numPr>
          <w:ilvl w:val="0"/>
          <w:numId w:val="40"/>
        </w:numPr>
      </w:pPr>
      <w:r>
        <w:t>Amazon ECS now supports built-in linear and canary deployments (October 2025) — https://aws.amazon.com/about-aws/whats-new/2025/10/amazon-ecs-built-in-linear-canary-deployments/ (accessed 30 September 2026)</w:t>
      </w:r>
    </w:p>
    <w:p w14:paraId="653F1567" w14:textId="77777777" w:rsidR="00932AC5" w:rsidRDefault="00850229">
      <w:pPr>
        <w:pStyle w:val="ListParagraph"/>
        <w:numPr>
          <w:ilvl w:val="0"/>
          <w:numId w:val="40"/>
        </w:numPr>
      </w:pPr>
      <w:r>
        <w:t>Amazon ECS clusters for external instances (ECS Anywhere) — https://docs.aws.amazon.com/AmazonECS/latest/developerguide/ecs-anywhere.html (accessed 30 September 2026)</w:t>
      </w:r>
    </w:p>
    <w:p w14:paraId="40250F60" w14:textId="77777777" w:rsidR="00932AC5" w:rsidRDefault="00850229">
      <w:pPr>
        <w:pStyle w:val="ListParagraph"/>
        <w:numPr>
          <w:ilvl w:val="0"/>
          <w:numId w:val="40"/>
        </w:numPr>
      </w:pPr>
      <w:r>
        <w:t>Amazon ECS endpoints and quotas, including AWS Fargate quotas — https://docs.aws.amazon.com/general/latest/gr/ecs-service.html (accessed 30 September 2026)</w:t>
      </w:r>
    </w:p>
    <w:p w14:paraId="68CBAB97" w14:textId="77777777" w:rsidR="00932AC5" w:rsidRDefault="00850229">
      <w:pPr>
        <w:pStyle w:val="ListParagraph"/>
        <w:numPr>
          <w:ilvl w:val="0"/>
          <w:numId w:val="40"/>
        </w:numPr>
      </w:pPr>
      <w:r>
        <w:t>What is Amazon EKS? — https://docs.aws.amazon.com/eks/latest/userguide/what-is-eks.html (accessed 30 September 2026)</w:t>
      </w:r>
    </w:p>
    <w:p w14:paraId="6882B843" w14:textId="77777777" w:rsidR="00932AC5" w:rsidRDefault="00850229">
      <w:pPr>
        <w:pStyle w:val="ListParagraph"/>
        <w:numPr>
          <w:ilvl w:val="0"/>
          <w:numId w:val="40"/>
        </w:numPr>
      </w:pPr>
      <w:r>
        <w:t>Understand the Kubernetes version lifecycle on EKS — https://docs.aws.amazon.com/eks/latest/userguide/kubernetes-versions.html (accessed 30 September 2026)</w:t>
      </w:r>
    </w:p>
    <w:p w14:paraId="79E3DE91" w14:textId="77777777" w:rsidR="00932AC5" w:rsidRDefault="00850229">
      <w:pPr>
        <w:pStyle w:val="ListParagraph"/>
        <w:numPr>
          <w:ilvl w:val="0"/>
          <w:numId w:val="40"/>
        </w:numPr>
      </w:pPr>
      <w:r>
        <w:t>Simplify compute management with AWS Fargate (Amazon EKS) — https://docs.aws.amazon.com/eks/latest/userguide/fargate.html (accessed 30 September 2026)</w:t>
      </w:r>
    </w:p>
    <w:p w14:paraId="35DE6706" w14:textId="77777777" w:rsidR="00932AC5" w:rsidRDefault="00850229">
      <w:pPr>
        <w:pStyle w:val="ListParagraph"/>
        <w:numPr>
          <w:ilvl w:val="0"/>
          <w:numId w:val="40"/>
        </w:numPr>
      </w:pPr>
      <w:r>
        <w:t>Learn how EKS Pod Identity grants pods access to AWS services — https://docs.aws.amazon.com/eks/latest/userguide/pod-identities.html (accessed 30 September 2026)</w:t>
      </w:r>
    </w:p>
    <w:p w14:paraId="30231EE2" w14:textId="77777777" w:rsidR="00932AC5" w:rsidRDefault="00850229">
      <w:pPr>
        <w:pStyle w:val="ListParagraph"/>
        <w:numPr>
          <w:ilvl w:val="0"/>
          <w:numId w:val="40"/>
        </w:numPr>
      </w:pPr>
      <w:r>
        <w:t>Automate cluster infrastructure with EKS Auto Mode — https://docs.aws.amazon.com/eks/latest/userguide/automode.html (accessed 30 September 2026)</w:t>
      </w:r>
    </w:p>
    <w:p w14:paraId="4E648570" w14:textId="77777777" w:rsidR="00932AC5" w:rsidRDefault="00850229">
      <w:pPr>
        <w:pStyle w:val="ListParagraph"/>
        <w:numPr>
          <w:ilvl w:val="0"/>
          <w:numId w:val="40"/>
        </w:numPr>
      </w:pPr>
      <w:r>
        <w:t>Amazon EKS Hybrid Nodes overview — https://docs.aws.amazon.com/eks/latest/userguide/hybrid-nodes-overview.html (accessed 30 September 2026)</w:t>
      </w:r>
    </w:p>
    <w:p w14:paraId="01600284" w14:textId="77777777" w:rsidR="00932AC5" w:rsidRDefault="00850229">
      <w:pPr>
        <w:pStyle w:val="ListParagraph"/>
        <w:numPr>
          <w:ilvl w:val="0"/>
          <w:numId w:val="40"/>
        </w:numPr>
      </w:pPr>
      <w:r>
        <w:t>Amazon EKS Anywhere overview — https://anywhere.eks.amazonaws.com/docs/overview/ (accessed 30 September 2026)</w:t>
      </w:r>
    </w:p>
    <w:p w14:paraId="5B4D39D9" w14:textId="77777777" w:rsidR="00932AC5" w:rsidRDefault="00850229">
      <w:r>
        <w:rPr>
          <w:b/>
        </w:rPr>
        <w:t>Industry</w:t>
      </w:r>
    </w:p>
    <w:p w14:paraId="3CB12701" w14:textId="77777777" w:rsidR="00932AC5" w:rsidRDefault="00850229">
      <w:pPr>
        <w:pStyle w:val="ListParagraph"/>
        <w:numPr>
          <w:ilvl w:val="0"/>
          <w:numId w:val="40"/>
        </w:numPr>
      </w:pPr>
      <w:r>
        <w:lastRenderedPageBreak/>
        <w:t>Cloud Native Computing Foundation, Certified Kubernetes Software Conformance — https://www.cncf.io/training/certification/software-conformance/ (accessed 30 September 2026)</w:t>
      </w:r>
    </w:p>
    <w:sectPr w:rsidR="00932AC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DFF9A" w14:textId="77777777" w:rsidR="00F304AC" w:rsidRDefault="00F304AC" w:rsidP="002938CA">
      <w:pPr>
        <w:spacing w:after="0" w:line="240" w:lineRule="auto"/>
      </w:pPr>
      <w:r>
        <w:separator/>
      </w:r>
    </w:p>
  </w:endnote>
  <w:endnote w:type="continuationSeparator" w:id="0">
    <w:p w14:paraId="0ADE5546" w14:textId="77777777" w:rsidR="00F304AC" w:rsidRDefault="00F304AC" w:rsidP="00293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utura">
    <w:altName w:val="Futur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F5BF" w14:textId="77777777" w:rsidR="00B94E82" w:rsidRDefault="00B94E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58D7" w14:textId="131EBA96" w:rsidR="00395B23" w:rsidRDefault="00395B23" w:rsidP="00756E07">
    <w:pPr>
      <w:pStyle w:val="Footer"/>
    </w:pPr>
    <w:r>
      <w:rPr>
        <w:rFonts w:asciiTheme="majorHAnsi" w:hAnsiTheme="majorHAnsi" w:cstheme="majorHAnsi"/>
      </w:rPr>
      <w:ptab w:relativeTo="margin" w:alignment="right" w:leader="none"/>
    </w:r>
    <w:r>
      <w:rPr>
        <w:rFonts w:asciiTheme="majorHAnsi" w:hAnsiTheme="majorHAnsi" w:cs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00832D94" w:rsidRPr="00832D94">
      <w:rPr>
        <w:rFonts w:asciiTheme="majorHAnsi" w:hAnsiTheme="majorHAnsi" w:cstheme="majorHAnsi"/>
        <w:noProof/>
      </w:rPr>
      <w:t>11</w:t>
    </w:r>
    <w:r>
      <w:rPr>
        <w:rFonts w:asciiTheme="majorHAnsi" w:hAnsiTheme="majorHAnsi" w:cstheme="majorHAnsi"/>
        <w:noProof/>
      </w:rPr>
      <w:fldChar w:fldCharType="end"/>
    </w:r>
    <w:r>
      <w:rPr>
        <w:noProof/>
      </w:rPr>
      <mc:AlternateContent>
        <mc:Choice Requires="wpg">
          <w:drawing>
            <wp:anchor distT="0" distB="0" distL="114300" distR="114300" simplePos="0" relativeHeight="251664384" behindDoc="0" locked="0" layoutInCell="0" allowOverlap="1" wp14:anchorId="027A6150" wp14:editId="2BF3F1F6">
              <wp:simplePos x="0" y="0"/>
              <wp:positionH relativeFrom="page">
                <wp:align>center</wp:align>
              </wp:positionH>
              <wp:positionV relativeFrom="page">
                <wp:align>bottom</wp:align>
              </wp:positionV>
              <wp:extent cx="7752080" cy="822960"/>
              <wp:effectExtent l="9525" t="0" r="10795" b="0"/>
              <wp:wrapNone/>
              <wp:docPr id="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7"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8"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xmlns:w16cei="http://schemas.microsoft.com/office/word/2026/wordml/cei">
          <w:pict>
            <v:group w14:anchorId="5A2F42B2" id="Group 8" o:spid="_x0000_s1026" style="position:absolute;margin-left:0;margin-top:0;width:610.4pt;height:64.8pt;flip:y;z-index:251664384;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N0oIDjEAwAA6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" strokecolor="#2f5496 [2408]"/>
              <v:rect id="Rectangle 1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" filled="f" stroked="f"/>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4896312D" wp14:editId="44E96EC7">
              <wp:simplePos x="0" y="0"/>
              <wp:positionH relativeFrom="leftMargin">
                <wp:align>center</wp:align>
              </wp:positionH>
              <wp:positionV relativeFrom="page">
                <wp:align>bottom</wp:align>
              </wp:positionV>
              <wp:extent cx="90805" cy="808355"/>
              <wp:effectExtent l="9525" t="13335" r="13970" b="6985"/>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xmlns:w16cei="http://schemas.microsoft.com/office/word/2026/wordml/cei">
          <w:pict>
            <v:rect w14:anchorId="30013B94" id="Rectangle 7" o:spid="_x0000_s1026" style="position:absolute;margin-left:0;margin-top:0;width:7.15pt;height:63.65pt;z-index:251663360;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Dkc/ju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r>
      <w:rPr>
        <w:noProof/>
      </w:rPr>
      <mc:AlternateContent>
        <mc:Choice Requires="wps">
          <w:drawing>
            <wp:anchor distT="0" distB="0" distL="114300" distR="114300" simplePos="0" relativeHeight="251662336" behindDoc="0" locked="0" layoutInCell="1" allowOverlap="1" wp14:anchorId="4A4BA38E" wp14:editId="52CE6191">
              <wp:simplePos x="0" y="0"/>
              <wp:positionH relativeFrom="rightMargin">
                <wp:align>center</wp:align>
              </wp:positionH>
              <wp:positionV relativeFrom="page">
                <wp:align>bottom</wp:align>
              </wp:positionV>
              <wp:extent cx="90805" cy="808355"/>
              <wp:effectExtent l="9525" t="13335" r="13970" b="6985"/>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xmlns:w16cei="http://schemas.microsoft.com/office/word/2026/wordml/cei">
          <w:pict>
            <v:rect w14:anchorId="6AC750AE" id="Rectangle 6" o:spid="_x0000_s1026" style="position:absolute;margin-left:0;margin-top:0;width:7.15pt;height:63.65pt;z-index:251662336;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Bln357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p>
  <w:p w14:paraId="756723B8" w14:textId="77777777" w:rsidR="00395B23" w:rsidRDefault="00395B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70BDB" w14:textId="77777777" w:rsidR="00B94E82" w:rsidRDefault="00B94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B6957" w14:textId="77777777" w:rsidR="00F304AC" w:rsidRDefault="00F304AC" w:rsidP="002938CA">
      <w:pPr>
        <w:spacing w:after="0" w:line="240" w:lineRule="auto"/>
      </w:pPr>
      <w:r>
        <w:separator/>
      </w:r>
    </w:p>
  </w:footnote>
  <w:footnote w:type="continuationSeparator" w:id="0">
    <w:p w14:paraId="2D51F472" w14:textId="77777777" w:rsidR="00F304AC" w:rsidRDefault="00F304AC" w:rsidP="00293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C08E" w14:textId="77777777" w:rsidR="00B94E82" w:rsidRDefault="00B94E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8366" w14:textId="48DA2C4A" w:rsidR="00395B23" w:rsidRPr="00CB769B" w:rsidRDefault="00F304AC" w:rsidP="00D6531A">
    <w:pPr>
      <w:pStyle w:val="Header"/>
      <w:tabs>
        <w:tab w:val="clear" w:pos="4513"/>
        <w:tab w:val="clear" w:pos="9026"/>
        <w:tab w:val="center" w:pos="3686"/>
        <w:tab w:val="right" w:pos="8931"/>
      </w:tabs>
      <w:jc w:val="center"/>
      <w:rPr>
        <w:rFonts w:asciiTheme="majorHAnsi" w:eastAsiaTheme="majorEastAsia" w:hAnsiTheme="majorHAnsi" w:cstheme="majorBidi"/>
        <w:i/>
        <w:sz w:val="20"/>
        <w:szCs w:val="20"/>
      </w:rPr>
    </w:pPr>
    <w:sdt>
      <w:sdtPr>
        <w:rPr>
          <w:rFonts w:asciiTheme="majorHAnsi" w:hAnsiTheme="majorHAnsi"/>
        </w:rPr>
        <w:alias w:val="Title"/>
        <w:id w:val="-1512212354"/>
        <w:dataBinding w:prefixMappings="xmlns:ns0='http://schemas.openxmlformats.org/package/2006/metadata/core-properties' xmlns:ns1='http://purl.org/dc/elements/1.1/'" w:xpath="/ns0:coreProperties[1]/ns1:title[1]" w:storeItemID="{6C3C8BC8-F283-45AE-878A-BAB7291924A1}"/>
        <w:text/>
      </w:sdtPr>
      <w:sdtEndPr/>
      <w:sdtContent>
        <w:proofErr w:type="spellStart"/>
        <w:r w:rsidR="00BC4794">
          <w:rPr>
            <w:rFonts w:asciiTheme="majorHAnsi" w:hAnsiTheme="majorHAnsi"/>
          </w:rPr>
          <w:t>YCompany</w:t>
        </w:r>
        <w:proofErr w:type="spellEnd"/>
        <w:r w:rsidR="00BC4794">
          <w:rPr>
            <w:rFonts w:asciiTheme="majorHAnsi" w:hAnsiTheme="majorHAnsi"/>
          </w:rPr>
          <w:t xml:space="preserve"> – </w:t>
        </w:r>
        <w:proofErr w:type="spellStart"/>
        <w:r w:rsidR="00BC4794">
          <w:rPr>
            <w:rFonts w:asciiTheme="majorHAnsi" w:hAnsiTheme="majorHAnsi"/>
          </w:rPr>
          <w:t>eClaims</w:t>
        </w:r>
        <w:proofErr w:type="spellEnd"/>
      </w:sdtContent>
    </w:sdt>
    <w:r w:rsidR="00395B23" w:rsidRPr="0071462D">
      <w:rPr>
        <w:rFonts w:asciiTheme="majorHAnsi" w:hAnsiTheme="majorHAnsi"/>
      </w:rPr>
      <w:t xml:space="preserve"> - </w:t>
    </w:r>
    <w:sdt>
      <w:sdtPr>
        <w:rPr>
          <w:rFonts w:asciiTheme="majorHAnsi" w:eastAsiaTheme="majorEastAsia" w:hAnsiTheme="majorHAnsi" w:cstheme="majorBidi"/>
          <w:i/>
          <w:sz w:val="20"/>
          <w:szCs w:val="20"/>
        </w:rPr>
        <w:alias w:val="Subtitle"/>
        <w:id w:val="-359975752"/>
        <w:dataBinding w:prefixMappings="xmlns:ns0='http://schemas.openxmlformats.org/package/2006/metadata/core-properties' xmlns:ns1='http://purl.org/dc/elements/1.1/'" w:xpath="/ns0:coreProperties[1]/ns1:subject[1]" w:storeItemID="{6C3C8BC8-F283-45AE-878A-BAB7291924A1}"/>
        <w:text/>
      </w:sdtPr>
      <w:sdtEndPr/>
      <w:sdtContent>
        <w:r w:rsidR="00EF3CA0">
          <w:rPr>
            <w:rFonts w:asciiTheme="majorHAnsi" w:eastAsiaTheme="majorEastAsia" w:hAnsiTheme="majorHAnsi" w:cstheme="majorBidi"/>
            <w:i/>
            <w:sz w:val="20"/>
            <w:szCs w:val="20"/>
          </w:rPr>
          <w:t>DAR Document – Container Orchestrator (Amazon ECS vs Amazon EKS)</w:t>
        </w:r>
      </w:sdtContent>
    </w:sdt>
    <w:r w:rsidR="00395B23">
      <w:rPr>
        <w:rFonts w:asciiTheme="majorHAnsi" w:eastAsiaTheme="majorEastAsia" w:hAnsiTheme="majorHAnsi" w:cstheme="majorBidi"/>
        <w:noProof/>
      </w:rPr>
      <mc:AlternateContent>
        <mc:Choice Requires="wpg">
          <w:drawing>
            <wp:anchor distT="0" distB="0" distL="114300" distR="114300" simplePos="0" relativeHeight="251661312" behindDoc="0" locked="0" layoutInCell="1" allowOverlap="1" wp14:anchorId="19FD02D3" wp14:editId="1A6205FD">
              <wp:simplePos x="0" y="0"/>
              <wp:positionH relativeFrom="page">
                <wp:align>center</wp:align>
              </wp:positionH>
              <wp:positionV relativeFrom="page">
                <wp:align>top</wp:align>
              </wp:positionV>
              <wp:extent cx="7752080" cy="822960"/>
              <wp:effectExtent l="9525" t="0" r="10795" b="0"/>
              <wp:wrapNone/>
              <wp:docPr id="1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2080" cy="822960"/>
                        <a:chOff x="8" y="9"/>
                        <a:chExt cx="15823" cy="1439"/>
                      </a:xfrm>
                    </wpg:grpSpPr>
                    <wps:wsp>
                      <wps:cNvPr id="12" name="AutoShape 4"/>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5"/>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w16cei="http://schemas.microsoft.com/office/word/2026/wordml/cei" xmlns:a="http://schemas.openxmlformats.org/drawingml/2006/main" xmlns:a14="http://schemas.microsoft.com/office/drawing/2010/main">
          <w:pict>
            <v:group w14:anchorId="7E66157F" id="Group 3" o:spid="_x0000_s1026" style="position:absolute;margin-left:0;margin-top:0;width:610.4pt;height:64.8pt;z-index:251661312;mso-width-percent:1000;mso-height-percent:900;mso-position-horizontal:center;mso-position-horizontal-relative:page;mso-position-vertical:top;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" strokecolor="#2f5496 [2408]"/>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page" anchory="page"/>
            </v:group>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60288" behindDoc="0" locked="0" layoutInCell="1" allowOverlap="1" wp14:anchorId="3D8C6A44" wp14:editId="4ED584C0">
              <wp:simplePos x="0" y="0"/>
              <wp:positionH relativeFrom="rightMargin">
                <wp:align>center</wp:align>
              </wp:positionH>
              <wp:positionV relativeFrom="page">
                <wp:align>top</wp:align>
              </wp:positionV>
              <wp:extent cx="90805" cy="799465"/>
              <wp:effectExtent l="9525" t="9525" r="13970" b="10160"/>
              <wp:wrapNone/>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xmlns:w16cei="http://schemas.microsoft.com/office/word/2026/wordml/cei" xmlns:a="http://schemas.openxmlformats.org/drawingml/2006/main" xmlns:a14="http://schemas.microsoft.com/office/drawing/2010/main">
          <w:pict>
            <v:rect w14:anchorId="0ECB8EDB" id="Rectangle 2" o:spid="_x0000_s1026" style="position:absolute;margin-left:0;margin-top:0;width:7.15pt;height:62.95pt;z-index:251660288;visibility:visible;mso-wrap-style:square;mso-width-percent:0;mso-height-percent:900;mso-wrap-distance-left:9pt;mso-wrap-distance-top:0;mso-wrap-distance-right:9pt;mso-wrap-distance-bottom:0;mso-position-horizontal:center;mso-position-horizontal-relative:righ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" fillcolor="#4472c4 [3208]" strokecolor="#1f3763 [1608]">
              <w10:wrap anchorx="margin" anchory="page"/>
            </v:rect>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70528F9D" wp14:editId="2A5C8062">
              <wp:simplePos x="0" y="0"/>
              <wp:positionH relativeFrom="leftMargin">
                <wp:align>center</wp:align>
              </wp:positionH>
              <wp:positionV relativeFrom="page">
                <wp:align>top</wp:align>
              </wp:positionV>
              <wp:extent cx="90805" cy="799465"/>
              <wp:effectExtent l="9525" t="9525" r="13970" b="10160"/>
              <wp:wrapNone/>
              <wp:docPr id="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xmlns:w16cei="http://schemas.microsoft.com/office/word/2026/wordml/cei" xmlns:a="http://schemas.openxmlformats.org/drawingml/2006/main" xmlns:a14="http://schemas.microsoft.com/office/drawing/2010/main">
          <w:pict>
            <v:rect w14:anchorId="70E789E4" id="Rectangle 1" o:spid="_x0000_s1026" style="position:absolute;margin-left:0;margin-top:0;width:7.15pt;height:62.95pt;z-index:251659264;visibility:visible;mso-wrap-style:square;mso-width-percent:0;mso-height-percent:900;mso-wrap-distance-left:9pt;mso-wrap-distance-top:0;mso-wrap-distance-right:9pt;mso-wrap-distance-bottom:0;mso-position-horizontal:center;mso-position-horizontal-relative:lef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" fillcolor="#4472c4 [3208]" strokecolor="#1f3763 [1608]">
              <w10:wrap anchorx="margin" anchory="page"/>
            </v:rect>
          </w:pict>
        </mc:Fallback>
      </mc:AlternateContent>
    </w:r>
  </w:p>
  <w:p w14:paraId="69DFD936" w14:textId="77777777" w:rsidR="00395B23" w:rsidRDefault="00395B23" w:rsidP="00756E07">
    <w:pPr>
      <w:pStyle w:val="Header"/>
      <w:tabs>
        <w:tab w:val="clear" w:pos="4513"/>
        <w:tab w:val="clear" w:pos="9026"/>
        <w:tab w:val="left" w:pos="29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6AFD" w14:textId="77777777" w:rsidR="00B94E82" w:rsidRDefault="00B94E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BB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5E37457"/>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99F54C3"/>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 w15:restartNumberingAfterBreak="0">
    <w:nsid w:val="0FB13F09"/>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9357C"/>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5" w15:restartNumberingAfterBreak="0">
    <w:nsid w:val="140A707D"/>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6" w15:restartNumberingAfterBreak="0">
    <w:nsid w:val="147A3C04"/>
    <w:multiLevelType w:val="hybridMultilevel"/>
    <w:tmpl w:val="2C96E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954950"/>
    <w:multiLevelType w:val="hybridMultilevel"/>
    <w:tmpl w:val="B17A42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157915"/>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5434FFF"/>
    <w:multiLevelType w:val="multilevel"/>
    <w:tmpl w:val="88F49280"/>
    <w:lvl w:ilvl="0">
      <w:start w:val="1"/>
      <w:numFmt w:val="bullet"/>
      <w:lvlText w:val=""/>
      <w:lvlJc w:val="left"/>
      <w:pPr>
        <w:ind w:left="654" w:hanging="360"/>
      </w:pPr>
      <w:rPr>
        <w:rFonts w:ascii="Symbol" w:hAnsi="Symbol" w:hint="default"/>
        <w:b/>
      </w:rPr>
    </w:lvl>
    <w:lvl w:ilvl="1">
      <w:start w:val="1"/>
      <w:numFmt w:val="decimal"/>
      <w:isLgl/>
      <w:lvlText w:val="%1.%2."/>
      <w:lvlJc w:val="left"/>
      <w:pPr>
        <w:ind w:left="1014" w:hanging="720"/>
      </w:pPr>
      <w:rPr>
        <w:rFonts w:hint="default"/>
      </w:rPr>
    </w:lvl>
    <w:lvl w:ilvl="2">
      <w:start w:val="1"/>
      <w:numFmt w:val="decimal"/>
      <w:isLgl/>
      <w:lvlText w:val="%1.%2.%3."/>
      <w:lvlJc w:val="left"/>
      <w:pPr>
        <w:ind w:left="1014" w:hanging="720"/>
      </w:pPr>
      <w:rPr>
        <w:rFonts w:hint="default"/>
      </w:rPr>
    </w:lvl>
    <w:lvl w:ilvl="3">
      <w:start w:val="1"/>
      <w:numFmt w:val="decimal"/>
      <w:isLgl/>
      <w:lvlText w:val="%1.%2.%3.%4."/>
      <w:lvlJc w:val="left"/>
      <w:pPr>
        <w:ind w:left="1374" w:hanging="1080"/>
      </w:pPr>
      <w:rPr>
        <w:rFonts w:hint="default"/>
      </w:rPr>
    </w:lvl>
    <w:lvl w:ilvl="4">
      <w:start w:val="1"/>
      <w:numFmt w:val="decimal"/>
      <w:isLgl/>
      <w:lvlText w:val="%1.%2.%3.%4.%5."/>
      <w:lvlJc w:val="left"/>
      <w:pPr>
        <w:ind w:left="1734" w:hanging="1440"/>
      </w:pPr>
      <w:rPr>
        <w:rFonts w:hint="default"/>
      </w:rPr>
    </w:lvl>
    <w:lvl w:ilvl="5">
      <w:start w:val="1"/>
      <w:numFmt w:val="decimal"/>
      <w:isLgl/>
      <w:lvlText w:val="%1.%2.%3.%4.%5.%6."/>
      <w:lvlJc w:val="left"/>
      <w:pPr>
        <w:ind w:left="1734" w:hanging="1440"/>
      </w:pPr>
      <w:rPr>
        <w:rFonts w:hint="default"/>
      </w:rPr>
    </w:lvl>
    <w:lvl w:ilvl="6">
      <w:start w:val="1"/>
      <w:numFmt w:val="decimal"/>
      <w:isLgl/>
      <w:lvlText w:val="%1.%2.%3.%4.%5.%6.%7."/>
      <w:lvlJc w:val="left"/>
      <w:pPr>
        <w:ind w:left="2094" w:hanging="1800"/>
      </w:pPr>
      <w:rPr>
        <w:rFonts w:hint="default"/>
      </w:rPr>
    </w:lvl>
    <w:lvl w:ilvl="7">
      <w:start w:val="1"/>
      <w:numFmt w:val="decimal"/>
      <w:isLgl/>
      <w:lvlText w:val="%1.%2.%3.%4.%5.%6.%7.%8."/>
      <w:lvlJc w:val="left"/>
      <w:pPr>
        <w:ind w:left="2094" w:hanging="1800"/>
      </w:pPr>
      <w:rPr>
        <w:rFonts w:hint="default"/>
      </w:rPr>
    </w:lvl>
    <w:lvl w:ilvl="8">
      <w:start w:val="1"/>
      <w:numFmt w:val="decimal"/>
      <w:isLgl/>
      <w:lvlText w:val="%1.%2.%3.%4.%5.%6.%7.%8.%9."/>
      <w:lvlJc w:val="left"/>
      <w:pPr>
        <w:ind w:left="2454" w:hanging="2160"/>
      </w:pPr>
      <w:rPr>
        <w:rFonts w:hint="default"/>
      </w:rPr>
    </w:lvl>
  </w:abstractNum>
  <w:abstractNum w:abstractNumId="10" w15:restartNumberingAfterBreak="0">
    <w:nsid w:val="15744460"/>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6526FF1"/>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2" w15:restartNumberingAfterBreak="0">
    <w:nsid w:val="21B30B42"/>
    <w:multiLevelType w:val="hybridMultilevel"/>
    <w:tmpl w:val="427A97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3D6017"/>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4" w15:restartNumberingAfterBreak="0">
    <w:nsid w:val="266350B8"/>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5" w15:restartNumberingAfterBreak="0">
    <w:nsid w:val="27134E07"/>
    <w:multiLevelType w:val="hybridMultilevel"/>
    <w:tmpl w:val="2D36F4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7454683"/>
    <w:multiLevelType w:val="hybridMultilevel"/>
    <w:tmpl w:val="C98CA908"/>
    <w:lvl w:ilvl="0" w:tplc="40090001">
      <w:start w:val="1"/>
      <w:numFmt w:val="bullet"/>
      <w:lvlText w:val=""/>
      <w:lvlJc w:val="left"/>
      <w:pPr>
        <w:ind w:left="2589" w:hanging="360"/>
      </w:pPr>
      <w:rPr>
        <w:rFonts w:ascii="Symbol" w:hAnsi="Symbol" w:hint="default"/>
      </w:rPr>
    </w:lvl>
    <w:lvl w:ilvl="1" w:tplc="40090003">
      <w:start w:val="1"/>
      <w:numFmt w:val="bullet"/>
      <w:lvlText w:val="o"/>
      <w:lvlJc w:val="left"/>
      <w:pPr>
        <w:ind w:left="3309" w:hanging="360"/>
      </w:pPr>
      <w:rPr>
        <w:rFonts w:ascii="Courier New" w:hAnsi="Courier New" w:cs="Courier New" w:hint="default"/>
      </w:rPr>
    </w:lvl>
    <w:lvl w:ilvl="2" w:tplc="40090005" w:tentative="1">
      <w:start w:val="1"/>
      <w:numFmt w:val="bullet"/>
      <w:lvlText w:val=""/>
      <w:lvlJc w:val="left"/>
      <w:pPr>
        <w:ind w:left="4029" w:hanging="360"/>
      </w:pPr>
      <w:rPr>
        <w:rFonts w:ascii="Wingdings" w:hAnsi="Wingdings" w:hint="default"/>
      </w:rPr>
    </w:lvl>
    <w:lvl w:ilvl="3" w:tplc="40090001" w:tentative="1">
      <w:start w:val="1"/>
      <w:numFmt w:val="bullet"/>
      <w:lvlText w:val=""/>
      <w:lvlJc w:val="left"/>
      <w:pPr>
        <w:ind w:left="4749" w:hanging="360"/>
      </w:pPr>
      <w:rPr>
        <w:rFonts w:ascii="Symbol" w:hAnsi="Symbol" w:hint="default"/>
      </w:rPr>
    </w:lvl>
    <w:lvl w:ilvl="4" w:tplc="40090003" w:tentative="1">
      <w:start w:val="1"/>
      <w:numFmt w:val="bullet"/>
      <w:lvlText w:val="o"/>
      <w:lvlJc w:val="left"/>
      <w:pPr>
        <w:ind w:left="5469" w:hanging="360"/>
      </w:pPr>
      <w:rPr>
        <w:rFonts w:ascii="Courier New" w:hAnsi="Courier New" w:cs="Courier New" w:hint="default"/>
      </w:rPr>
    </w:lvl>
    <w:lvl w:ilvl="5" w:tplc="40090005" w:tentative="1">
      <w:start w:val="1"/>
      <w:numFmt w:val="bullet"/>
      <w:lvlText w:val=""/>
      <w:lvlJc w:val="left"/>
      <w:pPr>
        <w:ind w:left="6189" w:hanging="360"/>
      </w:pPr>
      <w:rPr>
        <w:rFonts w:ascii="Wingdings" w:hAnsi="Wingdings" w:hint="default"/>
      </w:rPr>
    </w:lvl>
    <w:lvl w:ilvl="6" w:tplc="40090001" w:tentative="1">
      <w:start w:val="1"/>
      <w:numFmt w:val="bullet"/>
      <w:lvlText w:val=""/>
      <w:lvlJc w:val="left"/>
      <w:pPr>
        <w:ind w:left="6909" w:hanging="360"/>
      </w:pPr>
      <w:rPr>
        <w:rFonts w:ascii="Symbol" w:hAnsi="Symbol" w:hint="default"/>
      </w:rPr>
    </w:lvl>
    <w:lvl w:ilvl="7" w:tplc="40090003" w:tentative="1">
      <w:start w:val="1"/>
      <w:numFmt w:val="bullet"/>
      <w:lvlText w:val="o"/>
      <w:lvlJc w:val="left"/>
      <w:pPr>
        <w:ind w:left="7629" w:hanging="360"/>
      </w:pPr>
      <w:rPr>
        <w:rFonts w:ascii="Courier New" w:hAnsi="Courier New" w:cs="Courier New" w:hint="default"/>
      </w:rPr>
    </w:lvl>
    <w:lvl w:ilvl="8" w:tplc="40090005" w:tentative="1">
      <w:start w:val="1"/>
      <w:numFmt w:val="bullet"/>
      <w:lvlText w:val=""/>
      <w:lvlJc w:val="left"/>
      <w:pPr>
        <w:ind w:left="8349" w:hanging="360"/>
      </w:pPr>
      <w:rPr>
        <w:rFonts w:ascii="Wingdings" w:hAnsi="Wingdings" w:hint="default"/>
      </w:rPr>
    </w:lvl>
  </w:abstractNum>
  <w:abstractNum w:abstractNumId="17" w15:restartNumberingAfterBreak="0">
    <w:nsid w:val="3393499E"/>
    <w:multiLevelType w:val="hybridMultilevel"/>
    <w:tmpl w:val="10A6EF7E"/>
    <w:lvl w:ilvl="0" w:tplc="40090001">
      <w:start w:val="1"/>
      <w:numFmt w:val="bullet"/>
      <w:lvlText w:val=""/>
      <w:lvlJc w:val="left"/>
      <w:pPr>
        <w:ind w:left="1824" w:hanging="360"/>
      </w:pPr>
      <w:rPr>
        <w:rFonts w:ascii="Symbol" w:hAnsi="Symbol" w:hint="default"/>
      </w:rPr>
    </w:lvl>
    <w:lvl w:ilvl="1" w:tplc="40090003">
      <w:start w:val="1"/>
      <w:numFmt w:val="bullet"/>
      <w:lvlText w:val="o"/>
      <w:lvlJc w:val="left"/>
      <w:pPr>
        <w:ind w:left="2544" w:hanging="360"/>
      </w:pPr>
      <w:rPr>
        <w:rFonts w:ascii="Courier New" w:hAnsi="Courier New" w:cs="Courier New" w:hint="default"/>
      </w:rPr>
    </w:lvl>
    <w:lvl w:ilvl="2" w:tplc="40090005" w:tentative="1">
      <w:start w:val="1"/>
      <w:numFmt w:val="bullet"/>
      <w:lvlText w:val=""/>
      <w:lvlJc w:val="left"/>
      <w:pPr>
        <w:ind w:left="3264" w:hanging="360"/>
      </w:pPr>
      <w:rPr>
        <w:rFonts w:ascii="Wingdings" w:hAnsi="Wingdings" w:hint="default"/>
      </w:rPr>
    </w:lvl>
    <w:lvl w:ilvl="3" w:tplc="40090001" w:tentative="1">
      <w:start w:val="1"/>
      <w:numFmt w:val="bullet"/>
      <w:lvlText w:val=""/>
      <w:lvlJc w:val="left"/>
      <w:pPr>
        <w:ind w:left="3984" w:hanging="360"/>
      </w:pPr>
      <w:rPr>
        <w:rFonts w:ascii="Symbol" w:hAnsi="Symbol" w:hint="default"/>
      </w:rPr>
    </w:lvl>
    <w:lvl w:ilvl="4" w:tplc="40090003" w:tentative="1">
      <w:start w:val="1"/>
      <w:numFmt w:val="bullet"/>
      <w:lvlText w:val="o"/>
      <w:lvlJc w:val="left"/>
      <w:pPr>
        <w:ind w:left="4704" w:hanging="360"/>
      </w:pPr>
      <w:rPr>
        <w:rFonts w:ascii="Courier New" w:hAnsi="Courier New" w:cs="Courier New" w:hint="default"/>
      </w:rPr>
    </w:lvl>
    <w:lvl w:ilvl="5" w:tplc="40090005" w:tentative="1">
      <w:start w:val="1"/>
      <w:numFmt w:val="bullet"/>
      <w:lvlText w:val=""/>
      <w:lvlJc w:val="left"/>
      <w:pPr>
        <w:ind w:left="5424" w:hanging="360"/>
      </w:pPr>
      <w:rPr>
        <w:rFonts w:ascii="Wingdings" w:hAnsi="Wingdings" w:hint="default"/>
      </w:rPr>
    </w:lvl>
    <w:lvl w:ilvl="6" w:tplc="40090001" w:tentative="1">
      <w:start w:val="1"/>
      <w:numFmt w:val="bullet"/>
      <w:lvlText w:val=""/>
      <w:lvlJc w:val="left"/>
      <w:pPr>
        <w:ind w:left="6144" w:hanging="360"/>
      </w:pPr>
      <w:rPr>
        <w:rFonts w:ascii="Symbol" w:hAnsi="Symbol" w:hint="default"/>
      </w:rPr>
    </w:lvl>
    <w:lvl w:ilvl="7" w:tplc="40090003" w:tentative="1">
      <w:start w:val="1"/>
      <w:numFmt w:val="bullet"/>
      <w:lvlText w:val="o"/>
      <w:lvlJc w:val="left"/>
      <w:pPr>
        <w:ind w:left="6864" w:hanging="360"/>
      </w:pPr>
      <w:rPr>
        <w:rFonts w:ascii="Courier New" w:hAnsi="Courier New" w:cs="Courier New" w:hint="default"/>
      </w:rPr>
    </w:lvl>
    <w:lvl w:ilvl="8" w:tplc="40090005" w:tentative="1">
      <w:start w:val="1"/>
      <w:numFmt w:val="bullet"/>
      <w:lvlText w:val=""/>
      <w:lvlJc w:val="left"/>
      <w:pPr>
        <w:ind w:left="7584" w:hanging="360"/>
      </w:pPr>
      <w:rPr>
        <w:rFonts w:ascii="Wingdings" w:hAnsi="Wingdings" w:hint="default"/>
      </w:rPr>
    </w:lvl>
  </w:abstractNum>
  <w:abstractNum w:abstractNumId="18" w15:restartNumberingAfterBreak="0">
    <w:nsid w:val="38030C44"/>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9" w15:restartNumberingAfterBreak="0">
    <w:nsid w:val="431411BD"/>
    <w:multiLevelType w:val="hybridMultilevel"/>
    <w:tmpl w:val="88A2434C"/>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20" w15:restartNumberingAfterBreak="0">
    <w:nsid w:val="4CE2475B"/>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1" w15:restartNumberingAfterBreak="0">
    <w:nsid w:val="4D0047E7"/>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50C30925"/>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23" w15:restartNumberingAfterBreak="0">
    <w:nsid w:val="51877E4B"/>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24" w15:restartNumberingAfterBreak="0">
    <w:nsid w:val="53F06508"/>
    <w:multiLevelType w:val="hybridMultilevel"/>
    <w:tmpl w:val="7C4CFCE0"/>
    <w:lvl w:ilvl="0" w:tplc="40090011">
      <w:start w:val="1"/>
      <w:numFmt w:val="decimal"/>
      <w:lvlText w:val="%1)"/>
      <w:lvlJc w:val="left"/>
      <w:pPr>
        <w:ind w:left="2592" w:hanging="360"/>
      </w:pPr>
    </w:lvl>
    <w:lvl w:ilvl="1" w:tplc="40090019" w:tentative="1">
      <w:start w:val="1"/>
      <w:numFmt w:val="lowerLetter"/>
      <w:lvlText w:val="%2."/>
      <w:lvlJc w:val="left"/>
      <w:pPr>
        <w:ind w:left="3312" w:hanging="360"/>
      </w:pPr>
    </w:lvl>
    <w:lvl w:ilvl="2" w:tplc="4009001B" w:tentative="1">
      <w:start w:val="1"/>
      <w:numFmt w:val="lowerRoman"/>
      <w:lvlText w:val="%3."/>
      <w:lvlJc w:val="right"/>
      <w:pPr>
        <w:ind w:left="4032" w:hanging="180"/>
      </w:pPr>
    </w:lvl>
    <w:lvl w:ilvl="3" w:tplc="4009000F" w:tentative="1">
      <w:start w:val="1"/>
      <w:numFmt w:val="decimal"/>
      <w:lvlText w:val="%4."/>
      <w:lvlJc w:val="left"/>
      <w:pPr>
        <w:ind w:left="4752" w:hanging="360"/>
      </w:pPr>
    </w:lvl>
    <w:lvl w:ilvl="4" w:tplc="40090019" w:tentative="1">
      <w:start w:val="1"/>
      <w:numFmt w:val="lowerLetter"/>
      <w:lvlText w:val="%5."/>
      <w:lvlJc w:val="left"/>
      <w:pPr>
        <w:ind w:left="5472" w:hanging="360"/>
      </w:pPr>
    </w:lvl>
    <w:lvl w:ilvl="5" w:tplc="4009001B" w:tentative="1">
      <w:start w:val="1"/>
      <w:numFmt w:val="lowerRoman"/>
      <w:lvlText w:val="%6."/>
      <w:lvlJc w:val="right"/>
      <w:pPr>
        <w:ind w:left="6192" w:hanging="180"/>
      </w:pPr>
    </w:lvl>
    <w:lvl w:ilvl="6" w:tplc="4009000F" w:tentative="1">
      <w:start w:val="1"/>
      <w:numFmt w:val="decimal"/>
      <w:lvlText w:val="%7."/>
      <w:lvlJc w:val="left"/>
      <w:pPr>
        <w:ind w:left="6912" w:hanging="360"/>
      </w:pPr>
    </w:lvl>
    <w:lvl w:ilvl="7" w:tplc="40090019" w:tentative="1">
      <w:start w:val="1"/>
      <w:numFmt w:val="lowerLetter"/>
      <w:lvlText w:val="%8."/>
      <w:lvlJc w:val="left"/>
      <w:pPr>
        <w:ind w:left="7632" w:hanging="360"/>
      </w:pPr>
    </w:lvl>
    <w:lvl w:ilvl="8" w:tplc="4009001B" w:tentative="1">
      <w:start w:val="1"/>
      <w:numFmt w:val="lowerRoman"/>
      <w:lvlText w:val="%9."/>
      <w:lvlJc w:val="right"/>
      <w:pPr>
        <w:ind w:left="8352" w:hanging="180"/>
      </w:pPr>
    </w:lvl>
  </w:abstractNum>
  <w:abstractNum w:abstractNumId="25" w15:restartNumberingAfterBreak="0">
    <w:nsid w:val="540C095F"/>
    <w:multiLevelType w:val="hybridMultilevel"/>
    <w:tmpl w:val="EBEE9E1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6511B4B"/>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C64193"/>
    <w:multiLevelType w:val="hybridMultilevel"/>
    <w:tmpl w:val="B9047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91F3DFC"/>
    <w:multiLevelType w:val="multilevel"/>
    <w:tmpl w:val="322069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5A151527"/>
    <w:multiLevelType w:val="hybridMultilevel"/>
    <w:tmpl w:val="42788B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5C2A0211"/>
    <w:multiLevelType w:val="hybridMultilevel"/>
    <w:tmpl w:val="E62E2BE0"/>
    <w:lvl w:ilvl="0" w:tplc="40090011">
      <w:start w:val="1"/>
      <w:numFmt w:val="decimal"/>
      <w:lvlText w:val="%1)"/>
      <w:lvlJc w:val="left"/>
      <w:pPr>
        <w:ind w:left="1152" w:hanging="360"/>
      </w:pPr>
    </w:lvl>
    <w:lvl w:ilvl="1" w:tplc="40090019">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31" w15:restartNumberingAfterBreak="0">
    <w:nsid w:val="620B00BE"/>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32" w15:restartNumberingAfterBreak="0">
    <w:nsid w:val="62BD359F"/>
    <w:multiLevelType w:val="hybridMultilevel"/>
    <w:tmpl w:val="79808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C7516A7"/>
    <w:multiLevelType w:val="multilevel"/>
    <w:tmpl w:val="99582D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72D53054"/>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5" w15:restartNumberingAfterBreak="0">
    <w:nsid w:val="7A421636"/>
    <w:multiLevelType w:val="hybridMultilevel"/>
    <w:tmpl w:val="9AAE9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1256884">
    <w:abstractNumId w:val="9"/>
  </w:num>
  <w:num w:numId="2" w16cid:durableId="2119833253">
    <w:abstractNumId w:val="17"/>
  </w:num>
  <w:num w:numId="3" w16cid:durableId="1986005398">
    <w:abstractNumId w:val="11"/>
  </w:num>
  <w:num w:numId="4" w16cid:durableId="4346374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9657930">
    <w:abstractNumId w:val="29"/>
  </w:num>
  <w:num w:numId="6" w16cid:durableId="952127718">
    <w:abstractNumId w:val="23"/>
  </w:num>
  <w:num w:numId="7" w16cid:durableId="688871541">
    <w:abstractNumId w:val="30"/>
  </w:num>
  <w:num w:numId="8" w16cid:durableId="643508282">
    <w:abstractNumId w:val="19"/>
  </w:num>
  <w:num w:numId="9" w16cid:durableId="179248125">
    <w:abstractNumId w:val="2"/>
  </w:num>
  <w:num w:numId="10" w16cid:durableId="1401634397">
    <w:abstractNumId w:val="24"/>
  </w:num>
  <w:num w:numId="11" w16cid:durableId="1152795347">
    <w:abstractNumId w:val="4"/>
  </w:num>
  <w:num w:numId="12" w16cid:durableId="732311982">
    <w:abstractNumId w:val="1"/>
  </w:num>
  <w:num w:numId="13" w16cid:durableId="2144423319">
    <w:abstractNumId w:val="20"/>
  </w:num>
  <w:num w:numId="14" w16cid:durableId="576670135">
    <w:abstractNumId w:val="18"/>
  </w:num>
  <w:num w:numId="15" w16cid:durableId="681933949">
    <w:abstractNumId w:val="5"/>
  </w:num>
  <w:num w:numId="16" w16cid:durableId="1525628089">
    <w:abstractNumId w:val="9"/>
  </w:num>
  <w:num w:numId="17" w16cid:durableId="625433064">
    <w:abstractNumId w:val="9"/>
  </w:num>
  <w:num w:numId="18" w16cid:durableId="19114956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136270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64257105">
    <w:abstractNumId w:val="9"/>
  </w:num>
  <w:num w:numId="21" w16cid:durableId="779640862">
    <w:abstractNumId w:val="31"/>
  </w:num>
  <w:num w:numId="22" w16cid:durableId="1998534045">
    <w:abstractNumId w:val="13"/>
  </w:num>
  <w:num w:numId="23" w16cid:durableId="1343239811">
    <w:abstractNumId w:val="22"/>
  </w:num>
  <w:num w:numId="24" w16cid:durableId="1799910954">
    <w:abstractNumId w:val="14"/>
  </w:num>
  <w:num w:numId="25" w16cid:durableId="14386041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09139079">
    <w:abstractNumId w:val="34"/>
  </w:num>
  <w:num w:numId="27" w16cid:durableId="6154069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74334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87169366">
    <w:abstractNumId w:val="8"/>
  </w:num>
  <w:num w:numId="30" w16cid:durableId="1747416444">
    <w:abstractNumId w:val="21"/>
  </w:num>
  <w:num w:numId="31" w16cid:durableId="1404571440">
    <w:abstractNumId w:val="16"/>
  </w:num>
  <w:num w:numId="32" w16cid:durableId="2000110238">
    <w:abstractNumId w:val="9"/>
  </w:num>
  <w:num w:numId="33" w16cid:durableId="1001356059">
    <w:abstractNumId w:val="28"/>
  </w:num>
  <w:num w:numId="34" w16cid:durableId="1396196277">
    <w:abstractNumId w:val="10"/>
  </w:num>
  <w:num w:numId="35" w16cid:durableId="18108897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26364908">
    <w:abstractNumId w:val="33"/>
  </w:num>
  <w:num w:numId="37" w16cid:durableId="1928807113">
    <w:abstractNumId w:val="0"/>
  </w:num>
  <w:num w:numId="38" w16cid:durableId="510683550">
    <w:abstractNumId w:val="26"/>
  </w:num>
  <w:num w:numId="39" w16cid:durableId="364260374">
    <w:abstractNumId w:val="3"/>
  </w:num>
  <w:num w:numId="40" w16cid:durableId="1601832176">
    <w:abstractNumId w:val="12"/>
  </w:num>
  <w:num w:numId="41" w16cid:durableId="1393576243">
    <w:abstractNumId w:val="35"/>
  </w:num>
  <w:num w:numId="42" w16cid:durableId="1605261960">
    <w:abstractNumId w:val="25"/>
  </w:num>
  <w:num w:numId="43" w16cid:durableId="846210254">
    <w:abstractNumId w:val="15"/>
  </w:num>
  <w:num w:numId="44" w16cid:durableId="706757079">
    <w:abstractNumId w:val="7"/>
  </w:num>
  <w:num w:numId="45" w16cid:durableId="1024021084">
    <w:abstractNumId w:val="32"/>
  </w:num>
  <w:num w:numId="46" w16cid:durableId="1939829899">
    <w:abstractNumId w:val="27"/>
  </w:num>
  <w:num w:numId="47" w16cid:durableId="1872495939">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31A"/>
    <w:rsid w:val="00006E71"/>
    <w:rsid w:val="00007CEA"/>
    <w:rsid w:val="00010536"/>
    <w:rsid w:val="00013528"/>
    <w:rsid w:val="000153B6"/>
    <w:rsid w:val="000331F4"/>
    <w:rsid w:val="00033E23"/>
    <w:rsid w:val="0003727E"/>
    <w:rsid w:val="00040AE2"/>
    <w:rsid w:val="0005066D"/>
    <w:rsid w:val="00050A10"/>
    <w:rsid w:val="00051F9E"/>
    <w:rsid w:val="00065E2C"/>
    <w:rsid w:val="00084000"/>
    <w:rsid w:val="000861FF"/>
    <w:rsid w:val="000906C0"/>
    <w:rsid w:val="0009124C"/>
    <w:rsid w:val="00092932"/>
    <w:rsid w:val="000A18D5"/>
    <w:rsid w:val="000A1F7A"/>
    <w:rsid w:val="000A7235"/>
    <w:rsid w:val="000A7290"/>
    <w:rsid w:val="000B4398"/>
    <w:rsid w:val="000C02C9"/>
    <w:rsid w:val="000D2F11"/>
    <w:rsid w:val="000D36D5"/>
    <w:rsid w:val="000D782B"/>
    <w:rsid w:val="000E192A"/>
    <w:rsid w:val="000F7DD4"/>
    <w:rsid w:val="0010043C"/>
    <w:rsid w:val="00103C75"/>
    <w:rsid w:val="00106C46"/>
    <w:rsid w:val="00117860"/>
    <w:rsid w:val="00122550"/>
    <w:rsid w:val="00122EA3"/>
    <w:rsid w:val="001268F9"/>
    <w:rsid w:val="0013000A"/>
    <w:rsid w:val="00130216"/>
    <w:rsid w:val="00130247"/>
    <w:rsid w:val="001305C6"/>
    <w:rsid w:val="00130A7C"/>
    <w:rsid w:val="00131EF3"/>
    <w:rsid w:val="00133677"/>
    <w:rsid w:val="001503FF"/>
    <w:rsid w:val="001603EA"/>
    <w:rsid w:val="001731B1"/>
    <w:rsid w:val="00174CE5"/>
    <w:rsid w:val="001756F8"/>
    <w:rsid w:val="00180D7C"/>
    <w:rsid w:val="00182668"/>
    <w:rsid w:val="00183D24"/>
    <w:rsid w:val="001869CB"/>
    <w:rsid w:val="00190740"/>
    <w:rsid w:val="0019502C"/>
    <w:rsid w:val="001A3699"/>
    <w:rsid w:val="001A5578"/>
    <w:rsid w:val="001A7C6C"/>
    <w:rsid w:val="001C038B"/>
    <w:rsid w:val="001D655B"/>
    <w:rsid w:val="001D6A7E"/>
    <w:rsid w:val="001D7A6B"/>
    <w:rsid w:val="001E777E"/>
    <w:rsid w:val="00200904"/>
    <w:rsid w:val="00202D86"/>
    <w:rsid w:val="00215262"/>
    <w:rsid w:val="0022692D"/>
    <w:rsid w:val="00226DDE"/>
    <w:rsid w:val="00227022"/>
    <w:rsid w:val="00235D29"/>
    <w:rsid w:val="002375AB"/>
    <w:rsid w:val="002408CD"/>
    <w:rsid w:val="00241303"/>
    <w:rsid w:val="00244C43"/>
    <w:rsid w:val="00245717"/>
    <w:rsid w:val="00246BA5"/>
    <w:rsid w:val="00246F77"/>
    <w:rsid w:val="00250386"/>
    <w:rsid w:val="0025148A"/>
    <w:rsid w:val="00253D3D"/>
    <w:rsid w:val="00255871"/>
    <w:rsid w:val="002565E1"/>
    <w:rsid w:val="002648CB"/>
    <w:rsid w:val="00265543"/>
    <w:rsid w:val="00273550"/>
    <w:rsid w:val="00275EA1"/>
    <w:rsid w:val="00280A5F"/>
    <w:rsid w:val="00281ED2"/>
    <w:rsid w:val="00285A43"/>
    <w:rsid w:val="002938CA"/>
    <w:rsid w:val="00294868"/>
    <w:rsid w:val="002A4330"/>
    <w:rsid w:val="002B125B"/>
    <w:rsid w:val="002B6A48"/>
    <w:rsid w:val="002D0EA3"/>
    <w:rsid w:val="002D4FFB"/>
    <w:rsid w:val="002F373E"/>
    <w:rsid w:val="00302ECF"/>
    <w:rsid w:val="0030454A"/>
    <w:rsid w:val="00311EEB"/>
    <w:rsid w:val="003179F8"/>
    <w:rsid w:val="003261AB"/>
    <w:rsid w:val="00327FC4"/>
    <w:rsid w:val="00337E88"/>
    <w:rsid w:val="00343CFC"/>
    <w:rsid w:val="00346EEF"/>
    <w:rsid w:val="00357FA0"/>
    <w:rsid w:val="003634D3"/>
    <w:rsid w:val="00363A7E"/>
    <w:rsid w:val="0037098A"/>
    <w:rsid w:val="00376CAC"/>
    <w:rsid w:val="0037788C"/>
    <w:rsid w:val="00377D49"/>
    <w:rsid w:val="00387000"/>
    <w:rsid w:val="00391741"/>
    <w:rsid w:val="003945F2"/>
    <w:rsid w:val="00395A9A"/>
    <w:rsid w:val="00395B23"/>
    <w:rsid w:val="003A235C"/>
    <w:rsid w:val="003A2B3F"/>
    <w:rsid w:val="003A4981"/>
    <w:rsid w:val="003C065B"/>
    <w:rsid w:val="003C4076"/>
    <w:rsid w:val="003D0B70"/>
    <w:rsid w:val="003D2559"/>
    <w:rsid w:val="003D393B"/>
    <w:rsid w:val="003E5BEB"/>
    <w:rsid w:val="00400639"/>
    <w:rsid w:val="00401D0F"/>
    <w:rsid w:val="0041450E"/>
    <w:rsid w:val="00434AFD"/>
    <w:rsid w:val="00436046"/>
    <w:rsid w:val="00446536"/>
    <w:rsid w:val="004509A4"/>
    <w:rsid w:val="00455198"/>
    <w:rsid w:val="00462690"/>
    <w:rsid w:val="00463769"/>
    <w:rsid w:val="004711F6"/>
    <w:rsid w:val="00472F02"/>
    <w:rsid w:val="00483B15"/>
    <w:rsid w:val="004B26E9"/>
    <w:rsid w:val="004B7924"/>
    <w:rsid w:val="004E39E9"/>
    <w:rsid w:val="004F3BC7"/>
    <w:rsid w:val="004F5C59"/>
    <w:rsid w:val="0050185F"/>
    <w:rsid w:val="00503CB2"/>
    <w:rsid w:val="005055ED"/>
    <w:rsid w:val="00520E45"/>
    <w:rsid w:val="00521A2F"/>
    <w:rsid w:val="00525815"/>
    <w:rsid w:val="00537391"/>
    <w:rsid w:val="00540C9C"/>
    <w:rsid w:val="00540D28"/>
    <w:rsid w:val="005458A0"/>
    <w:rsid w:val="00546AA9"/>
    <w:rsid w:val="00546B06"/>
    <w:rsid w:val="00547F0B"/>
    <w:rsid w:val="00550190"/>
    <w:rsid w:val="00552FE9"/>
    <w:rsid w:val="005532C2"/>
    <w:rsid w:val="00555275"/>
    <w:rsid w:val="00561D82"/>
    <w:rsid w:val="0056288A"/>
    <w:rsid w:val="0057306D"/>
    <w:rsid w:val="00573C7E"/>
    <w:rsid w:val="00573DFC"/>
    <w:rsid w:val="00587455"/>
    <w:rsid w:val="005A6236"/>
    <w:rsid w:val="005A74CA"/>
    <w:rsid w:val="005B24CF"/>
    <w:rsid w:val="005B2595"/>
    <w:rsid w:val="005B71BD"/>
    <w:rsid w:val="005C03A9"/>
    <w:rsid w:val="005C3247"/>
    <w:rsid w:val="005E2EA4"/>
    <w:rsid w:val="005F1E5C"/>
    <w:rsid w:val="006061F1"/>
    <w:rsid w:val="0061005D"/>
    <w:rsid w:val="0061690A"/>
    <w:rsid w:val="00617867"/>
    <w:rsid w:val="00623E77"/>
    <w:rsid w:val="00626CC8"/>
    <w:rsid w:val="00633BD6"/>
    <w:rsid w:val="006438B6"/>
    <w:rsid w:val="00643A1C"/>
    <w:rsid w:val="00644CE7"/>
    <w:rsid w:val="00645BEA"/>
    <w:rsid w:val="00646527"/>
    <w:rsid w:val="00647A16"/>
    <w:rsid w:val="00653601"/>
    <w:rsid w:val="00654DD5"/>
    <w:rsid w:val="00670807"/>
    <w:rsid w:val="00671FE9"/>
    <w:rsid w:val="00675EB0"/>
    <w:rsid w:val="00682104"/>
    <w:rsid w:val="00682A40"/>
    <w:rsid w:val="006855EC"/>
    <w:rsid w:val="00687061"/>
    <w:rsid w:val="00693C0E"/>
    <w:rsid w:val="006A0323"/>
    <w:rsid w:val="006A2050"/>
    <w:rsid w:val="006C496F"/>
    <w:rsid w:val="006C5684"/>
    <w:rsid w:val="006C7D07"/>
    <w:rsid w:val="006D47BF"/>
    <w:rsid w:val="006E0428"/>
    <w:rsid w:val="006E212E"/>
    <w:rsid w:val="006E24E9"/>
    <w:rsid w:val="006E4F40"/>
    <w:rsid w:val="00702A6B"/>
    <w:rsid w:val="00704DAA"/>
    <w:rsid w:val="0070561D"/>
    <w:rsid w:val="0071083B"/>
    <w:rsid w:val="00710BF7"/>
    <w:rsid w:val="0071415A"/>
    <w:rsid w:val="007169A9"/>
    <w:rsid w:val="007271CA"/>
    <w:rsid w:val="007310FB"/>
    <w:rsid w:val="00731530"/>
    <w:rsid w:val="00733C9A"/>
    <w:rsid w:val="00744354"/>
    <w:rsid w:val="00744F16"/>
    <w:rsid w:val="00750019"/>
    <w:rsid w:val="007516F9"/>
    <w:rsid w:val="00755035"/>
    <w:rsid w:val="00755657"/>
    <w:rsid w:val="00756E07"/>
    <w:rsid w:val="00762666"/>
    <w:rsid w:val="007661EC"/>
    <w:rsid w:val="00771FD6"/>
    <w:rsid w:val="007800EC"/>
    <w:rsid w:val="00784433"/>
    <w:rsid w:val="00786D60"/>
    <w:rsid w:val="007968B1"/>
    <w:rsid w:val="007969AC"/>
    <w:rsid w:val="007A30B6"/>
    <w:rsid w:val="007A6BAF"/>
    <w:rsid w:val="007A6DC9"/>
    <w:rsid w:val="007B3A31"/>
    <w:rsid w:val="007B74CB"/>
    <w:rsid w:val="007C248D"/>
    <w:rsid w:val="007C33F6"/>
    <w:rsid w:val="007F0B79"/>
    <w:rsid w:val="008056B7"/>
    <w:rsid w:val="00805BC0"/>
    <w:rsid w:val="00813808"/>
    <w:rsid w:val="008144E9"/>
    <w:rsid w:val="00814A5F"/>
    <w:rsid w:val="008161DC"/>
    <w:rsid w:val="008226DC"/>
    <w:rsid w:val="008269F0"/>
    <w:rsid w:val="00832D94"/>
    <w:rsid w:val="00833977"/>
    <w:rsid w:val="00836943"/>
    <w:rsid w:val="00840D07"/>
    <w:rsid w:val="00843611"/>
    <w:rsid w:val="00850229"/>
    <w:rsid w:val="008573BC"/>
    <w:rsid w:val="00860E3B"/>
    <w:rsid w:val="00861D4D"/>
    <w:rsid w:val="00865883"/>
    <w:rsid w:val="008724E8"/>
    <w:rsid w:val="008848D6"/>
    <w:rsid w:val="00891DBC"/>
    <w:rsid w:val="00893CF7"/>
    <w:rsid w:val="008A276E"/>
    <w:rsid w:val="008A7F7F"/>
    <w:rsid w:val="008B17F8"/>
    <w:rsid w:val="008B7040"/>
    <w:rsid w:val="008C0BDA"/>
    <w:rsid w:val="008C59B3"/>
    <w:rsid w:val="008D0795"/>
    <w:rsid w:val="008D6046"/>
    <w:rsid w:val="008E0608"/>
    <w:rsid w:val="008E45C4"/>
    <w:rsid w:val="008E637D"/>
    <w:rsid w:val="008E67E2"/>
    <w:rsid w:val="008E7B17"/>
    <w:rsid w:val="008F5AC1"/>
    <w:rsid w:val="00901988"/>
    <w:rsid w:val="00901FAF"/>
    <w:rsid w:val="00903DD3"/>
    <w:rsid w:val="0091521C"/>
    <w:rsid w:val="009228F6"/>
    <w:rsid w:val="0093042E"/>
    <w:rsid w:val="00932AC5"/>
    <w:rsid w:val="00937B84"/>
    <w:rsid w:val="0094082E"/>
    <w:rsid w:val="009413D0"/>
    <w:rsid w:val="0094478A"/>
    <w:rsid w:val="009451EB"/>
    <w:rsid w:val="00946055"/>
    <w:rsid w:val="00947D05"/>
    <w:rsid w:val="00952103"/>
    <w:rsid w:val="00956814"/>
    <w:rsid w:val="00962D93"/>
    <w:rsid w:val="009710F0"/>
    <w:rsid w:val="00971166"/>
    <w:rsid w:val="009765C3"/>
    <w:rsid w:val="00976EF0"/>
    <w:rsid w:val="00977192"/>
    <w:rsid w:val="009879DB"/>
    <w:rsid w:val="009923DF"/>
    <w:rsid w:val="00994713"/>
    <w:rsid w:val="009C1A6C"/>
    <w:rsid w:val="009C5891"/>
    <w:rsid w:val="009D01B7"/>
    <w:rsid w:val="009D48D4"/>
    <w:rsid w:val="009E06D0"/>
    <w:rsid w:val="009E19DB"/>
    <w:rsid w:val="009E51DF"/>
    <w:rsid w:val="009E6812"/>
    <w:rsid w:val="009F276E"/>
    <w:rsid w:val="00A01322"/>
    <w:rsid w:val="00A11A91"/>
    <w:rsid w:val="00A1252F"/>
    <w:rsid w:val="00A15A7E"/>
    <w:rsid w:val="00A245E8"/>
    <w:rsid w:val="00A27D17"/>
    <w:rsid w:val="00A40BA1"/>
    <w:rsid w:val="00A47877"/>
    <w:rsid w:val="00A61992"/>
    <w:rsid w:val="00A62857"/>
    <w:rsid w:val="00A73172"/>
    <w:rsid w:val="00A7607F"/>
    <w:rsid w:val="00A77C6D"/>
    <w:rsid w:val="00A93DDB"/>
    <w:rsid w:val="00A95153"/>
    <w:rsid w:val="00AA0218"/>
    <w:rsid w:val="00AA3979"/>
    <w:rsid w:val="00AA5AEE"/>
    <w:rsid w:val="00AA6C15"/>
    <w:rsid w:val="00AA7D35"/>
    <w:rsid w:val="00AB477E"/>
    <w:rsid w:val="00AB4870"/>
    <w:rsid w:val="00AB5E38"/>
    <w:rsid w:val="00AD5A73"/>
    <w:rsid w:val="00AE0696"/>
    <w:rsid w:val="00AE37D0"/>
    <w:rsid w:val="00AE4E22"/>
    <w:rsid w:val="00AF0091"/>
    <w:rsid w:val="00AF64DA"/>
    <w:rsid w:val="00B020DC"/>
    <w:rsid w:val="00B030BB"/>
    <w:rsid w:val="00B2107D"/>
    <w:rsid w:val="00B23607"/>
    <w:rsid w:val="00B35F69"/>
    <w:rsid w:val="00B36485"/>
    <w:rsid w:val="00B367C4"/>
    <w:rsid w:val="00B452E5"/>
    <w:rsid w:val="00B47C7C"/>
    <w:rsid w:val="00B55E63"/>
    <w:rsid w:val="00B657F5"/>
    <w:rsid w:val="00B71B4A"/>
    <w:rsid w:val="00B72BC2"/>
    <w:rsid w:val="00B74051"/>
    <w:rsid w:val="00B7736D"/>
    <w:rsid w:val="00B87AE0"/>
    <w:rsid w:val="00B92488"/>
    <w:rsid w:val="00B94E82"/>
    <w:rsid w:val="00B9788A"/>
    <w:rsid w:val="00BA0596"/>
    <w:rsid w:val="00BA57C5"/>
    <w:rsid w:val="00BA5984"/>
    <w:rsid w:val="00BB000F"/>
    <w:rsid w:val="00BB003A"/>
    <w:rsid w:val="00BB1AFA"/>
    <w:rsid w:val="00BB42D0"/>
    <w:rsid w:val="00BB52C1"/>
    <w:rsid w:val="00BC4794"/>
    <w:rsid w:val="00BC6E8A"/>
    <w:rsid w:val="00BD2422"/>
    <w:rsid w:val="00BE02CA"/>
    <w:rsid w:val="00BE0511"/>
    <w:rsid w:val="00BF58F6"/>
    <w:rsid w:val="00C10188"/>
    <w:rsid w:val="00C109CF"/>
    <w:rsid w:val="00C10E2A"/>
    <w:rsid w:val="00C15D73"/>
    <w:rsid w:val="00C22C69"/>
    <w:rsid w:val="00C411FF"/>
    <w:rsid w:val="00C424B3"/>
    <w:rsid w:val="00C45BF0"/>
    <w:rsid w:val="00C537AD"/>
    <w:rsid w:val="00C57835"/>
    <w:rsid w:val="00C6379E"/>
    <w:rsid w:val="00C65529"/>
    <w:rsid w:val="00CA1D4A"/>
    <w:rsid w:val="00CB0DC3"/>
    <w:rsid w:val="00CB769B"/>
    <w:rsid w:val="00CB78C5"/>
    <w:rsid w:val="00CC7A8E"/>
    <w:rsid w:val="00CD78BD"/>
    <w:rsid w:val="00CE1BA3"/>
    <w:rsid w:val="00CE27D9"/>
    <w:rsid w:val="00CE4F0A"/>
    <w:rsid w:val="00CE5753"/>
    <w:rsid w:val="00CE7DE2"/>
    <w:rsid w:val="00CF1E57"/>
    <w:rsid w:val="00CF21DA"/>
    <w:rsid w:val="00D03173"/>
    <w:rsid w:val="00D04E7D"/>
    <w:rsid w:val="00D107FF"/>
    <w:rsid w:val="00D11313"/>
    <w:rsid w:val="00D1384D"/>
    <w:rsid w:val="00D243BE"/>
    <w:rsid w:val="00D26EE7"/>
    <w:rsid w:val="00D32581"/>
    <w:rsid w:val="00D32867"/>
    <w:rsid w:val="00D35C8C"/>
    <w:rsid w:val="00D42F49"/>
    <w:rsid w:val="00D4726C"/>
    <w:rsid w:val="00D51929"/>
    <w:rsid w:val="00D55734"/>
    <w:rsid w:val="00D6531A"/>
    <w:rsid w:val="00D772B9"/>
    <w:rsid w:val="00D8438B"/>
    <w:rsid w:val="00D87E63"/>
    <w:rsid w:val="00D93314"/>
    <w:rsid w:val="00D93AF1"/>
    <w:rsid w:val="00D94944"/>
    <w:rsid w:val="00DA1603"/>
    <w:rsid w:val="00DA4E1F"/>
    <w:rsid w:val="00DB5C14"/>
    <w:rsid w:val="00DB77E8"/>
    <w:rsid w:val="00DC310F"/>
    <w:rsid w:val="00DC5611"/>
    <w:rsid w:val="00DC63F4"/>
    <w:rsid w:val="00DC75B8"/>
    <w:rsid w:val="00DD116F"/>
    <w:rsid w:val="00DD741A"/>
    <w:rsid w:val="00DE20B5"/>
    <w:rsid w:val="00DE42AC"/>
    <w:rsid w:val="00DF2F38"/>
    <w:rsid w:val="00DF57DB"/>
    <w:rsid w:val="00E00041"/>
    <w:rsid w:val="00E016A2"/>
    <w:rsid w:val="00E01B62"/>
    <w:rsid w:val="00E03149"/>
    <w:rsid w:val="00E05C36"/>
    <w:rsid w:val="00E16C24"/>
    <w:rsid w:val="00E2313C"/>
    <w:rsid w:val="00E32869"/>
    <w:rsid w:val="00E41615"/>
    <w:rsid w:val="00E44F4A"/>
    <w:rsid w:val="00E460AF"/>
    <w:rsid w:val="00E5541A"/>
    <w:rsid w:val="00E665C3"/>
    <w:rsid w:val="00E674B0"/>
    <w:rsid w:val="00E676E6"/>
    <w:rsid w:val="00E74BC5"/>
    <w:rsid w:val="00E8222F"/>
    <w:rsid w:val="00E823A1"/>
    <w:rsid w:val="00E83B72"/>
    <w:rsid w:val="00E957DA"/>
    <w:rsid w:val="00EA66F7"/>
    <w:rsid w:val="00EA785F"/>
    <w:rsid w:val="00EB3409"/>
    <w:rsid w:val="00EC0B4E"/>
    <w:rsid w:val="00EC5518"/>
    <w:rsid w:val="00EC6D9F"/>
    <w:rsid w:val="00EC72AB"/>
    <w:rsid w:val="00ED33D9"/>
    <w:rsid w:val="00ED5326"/>
    <w:rsid w:val="00EE1567"/>
    <w:rsid w:val="00EE4276"/>
    <w:rsid w:val="00EE63C2"/>
    <w:rsid w:val="00EF35E8"/>
    <w:rsid w:val="00EF3CA0"/>
    <w:rsid w:val="00F033E9"/>
    <w:rsid w:val="00F034A2"/>
    <w:rsid w:val="00F043F3"/>
    <w:rsid w:val="00F20A71"/>
    <w:rsid w:val="00F20BAC"/>
    <w:rsid w:val="00F23CB6"/>
    <w:rsid w:val="00F304AC"/>
    <w:rsid w:val="00F318A3"/>
    <w:rsid w:val="00F318F1"/>
    <w:rsid w:val="00F3614D"/>
    <w:rsid w:val="00F44D68"/>
    <w:rsid w:val="00F45B98"/>
    <w:rsid w:val="00F57D34"/>
    <w:rsid w:val="00F60430"/>
    <w:rsid w:val="00F63796"/>
    <w:rsid w:val="00F73C49"/>
    <w:rsid w:val="00F80974"/>
    <w:rsid w:val="00F90AE7"/>
    <w:rsid w:val="00F965D3"/>
    <w:rsid w:val="00FC122D"/>
    <w:rsid w:val="00FC5193"/>
    <w:rsid w:val="00FD018C"/>
    <w:rsid w:val="00FD4F97"/>
    <w:rsid w:val="00FE0E78"/>
    <w:rsid w:val="00FE1F73"/>
    <w:rsid w:val="00FE23E8"/>
    <w:rsid w:val="00FF51EC"/>
    <w:rsid w:val="00FF5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01EA1E"/>
  <w15:docId w15:val="{A8303FD9-39E1-430B-ADED-15B32883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85"/>
    <w:rPr>
      <w:rFonts w:ascii="Calibri Light" w:hAnsi="Calibri Light"/>
      <w:lang w:val="en-US"/>
    </w:rPr>
  </w:style>
  <w:style w:type="paragraph" w:styleId="Heading1">
    <w:name w:val="heading 1"/>
    <w:basedOn w:val="Normal"/>
    <w:next w:val="Normal"/>
    <w:link w:val="Heading1Char"/>
    <w:uiPriority w:val="9"/>
    <w:qFormat/>
    <w:rsid w:val="00B71B4A"/>
    <w:pPr>
      <w:keepNext/>
      <w:keepLines/>
      <w:numPr>
        <w:numId w:val="37"/>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4E1F"/>
    <w:pPr>
      <w:keepNext/>
      <w:keepLines/>
      <w:numPr>
        <w:ilvl w:val="1"/>
        <w:numId w:val="37"/>
      </w:numPr>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71B4A"/>
    <w:pPr>
      <w:keepNext/>
      <w:keepLines/>
      <w:numPr>
        <w:ilvl w:val="2"/>
        <w:numId w:val="37"/>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A7235"/>
    <w:pPr>
      <w:keepNext/>
      <w:keepLines/>
      <w:numPr>
        <w:ilvl w:val="3"/>
        <w:numId w:val="3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56E07"/>
    <w:pPr>
      <w:keepNext/>
      <w:keepLines/>
      <w:numPr>
        <w:ilvl w:val="4"/>
        <w:numId w:val="37"/>
      </w:numPr>
      <w:spacing w:before="40" w:after="0" w:line="27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190740"/>
    <w:pPr>
      <w:keepNext/>
      <w:keepLines/>
      <w:numPr>
        <w:ilvl w:val="5"/>
        <w:numId w:val="3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BF58F6"/>
    <w:pPr>
      <w:keepNext/>
      <w:keepLines/>
      <w:numPr>
        <w:ilvl w:val="6"/>
        <w:numId w:val="3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58F6"/>
    <w:pPr>
      <w:keepNext/>
      <w:keepLines/>
      <w:numPr>
        <w:ilvl w:val="7"/>
        <w:numId w:val="3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58F6"/>
    <w:pPr>
      <w:keepNext/>
      <w:keepLines/>
      <w:numPr>
        <w:ilvl w:val="8"/>
        <w:numId w:val="3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4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A4E1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71B4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0A723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56E07"/>
    <w:rPr>
      <w:rFonts w:asciiTheme="majorHAnsi" w:eastAsiaTheme="majorEastAsia" w:hAnsiTheme="majorHAnsi" w:cstheme="majorBidi"/>
      <w:color w:val="2E74B5" w:themeColor="accent1" w:themeShade="BF"/>
      <w:lang w:val="en-US"/>
    </w:rPr>
  </w:style>
  <w:style w:type="paragraph" w:styleId="NoSpacing">
    <w:name w:val="No Spacing"/>
    <w:link w:val="NoSpacingChar"/>
    <w:uiPriority w:val="1"/>
    <w:qFormat/>
    <w:rsid w:val="00756E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56E07"/>
    <w:rPr>
      <w:rFonts w:eastAsiaTheme="minorEastAsia"/>
      <w:lang w:val="en-US"/>
    </w:rPr>
  </w:style>
  <w:style w:type="character" w:styleId="Hyperlink">
    <w:name w:val="Hyperlink"/>
    <w:uiPriority w:val="99"/>
    <w:rsid w:val="00756E07"/>
    <w:rPr>
      <w:rFonts w:cs="Futura"/>
      <w:color w:val="000000"/>
    </w:rPr>
  </w:style>
  <w:style w:type="paragraph" w:styleId="TOCHeading">
    <w:name w:val="TOC Heading"/>
    <w:basedOn w:val="Heading1"/>
    <w:next w:val="Normal"/>
    <w:uiPriority w:val="39"/>
    <w:unhideWhenUsed/>
    <w:qFormat/>
    <w:rsid w:val="00756E07"/>
    <w:pPr>
      <w:numPr>
        <w:numId w:val="0"/>
      </w:numPr>
      <w:spacing w:before="480" w:line="276" w:lineRule="auto"/>
      <w:outlineLvl w:val="9"/>
    </w:pPr>
    <w:rPr>
      <w:b/>
      <w:bCs/>
      <w:sz w:val="28"/>
      <w:szCs w:val="28"/>
    </w:rPr>
  </w:style>
  <w:style w:type="paragraph" w:styleId="TOC1">
    <w:name w:val="toc 1"/>
    <w:basedOn w:val="Normal"/>
    <w:next w:val="Normal"/>
    <w:autoRedefine/>
    <w:uiPriority w:val="39"/>
    <w:unhideWhenUsed/>
    <w:qFormat/>
    <w:rsid w:val="0041450E"/>
    <w:pPr>
      <w:tabs>
        <w:tab w:val="left" w:pos="440"/>
        <w:tab w:val="right" w:leader="dot" w:pos="9016"/>
      </w:tabs>
      <w:spacing w:after="100" w:line="276" w:lineRule="auto"/>
    </w:pPr>
    <w:rPr>
      <w:rFonts w:eastAsiaTheme="minorEastAsia"/>
    </w:rPr>
  </w:style>
  <w:style w:type="paragraph" w:styleId="TOC2">
    <w:name w:val="toc 2"/>
    <w:basedOn w:val="Normal"/>
    <w:next w:val="Normal"/>
    <w:autoRedefine/>
    <w:uiPriority w:val="39"/>
    <w:unhideWhenUsed/>
    <w:qFormat/>
    <w:rsid w:val="00756E07"/>
    <w:pPr>
      <w:spacing w:after="100" w:line="276" w:lineRule="auto"/>
      <w:ind w:left="220"/>
    </w:pPr>
    <w:rPr>
      <w:rFonts w:eastAsiaTheme="minorEastAsia"/>
    </w:rPr>
  </w:style>
  <w:style w:type="paragraph" w:styleId="TOC3">
    <w:name w:val="toc 3"/>
    <w:basedOn w:val="Normal"/>
    <w:next w:val="Normal"/>
    <w:autoRedefine/>
    <w:uiPriority w:val="39"/>
    <w:unhideWhenUsed/>
    <w:qFormat/>
    <w:rsid w:val="00756E07"/>
    <w:pPr>
      <w:spacing w:after="100" w:line="276" w:lineRule="auto"/>
      <w:ind w:left="440"/>
    </w:pPr>
    <w:rPr>
      <w:rFonts w:eastAsiaTheme="minorEastAsia"/>
    </w:rPr>
  </w:style>
  <w:style w:type="table" w:styleId="TableGrid">
    <w:name w:val="Table Grid"/>
    <w:basedOn w:val="TableNormal"/>
    <w:uiPriority w:val="59"/>
    <w:rsid w:val="00756E07"/>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756E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E0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56E07"/>
    <w:pPr>
      <w:numPr>
        <w:ilvl w:val="1"/>
      </w:numPr>
      <w:spacing w:line="27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56E07"/>
    <w:rPr>
      <w:rFonts w:ascii="Calibri Light" w:eastAsiaTheme="minorEastAsia" w:hAnsi="Calibri Light"/>
      <w:color w:val="5A5A5A" w:themeColor="text1" w:themeTint="A5"/>
      <w:spacing w:val="15"/>
      <w:lang w:val="en-US"/>
    </w:rPr>
  </w:style>
  <w:style w:type="paragraph" w:styleId="Header">
    <w:name w:val="header"/>
    <w:basedOn w:val="Normal"/>
    <w:link w:val="HeaderChar"/>
    <w:uiPriority w:val="99"/>
    <w:unhideWhenUsed/>
    <w:rsid w:val="00756E07"/>
    <w:pPr>
      <w:tabs>
        <w:tab w:val="center" w:pos="4513"/>
        <w:tab w:val="right" w:pos="9026"/>
      </w:tabs>
      <w:spacing w:after="0" w:line="240" w:lineRule="auto"/>
    </w:pPr>
    <w:rPr>
      <w:rFonts w:eastAsiaTheme="minorEastAsia"/>
    </w:rPr>
  </w:style>
  <w:style w:type="character" w:customStyle="1" w:styleId="HeaderChar">
    <w:name w:val="Header Char"/>
    <w:basedOn w:val="DefaultParagraphFont"/>
    <w:link w:val="Header"/>
    <w:uiPriority w:val="99"/>
    <w:rsid w:val="00756E07"/>
    <w:rPr>
      <w:rFonts w:ascii="Calibri Light" w:eastAsiaTheme="minorEastAsia" w:hAnsi="Calibri Light"/>
      <w:lang w:val="en-US"/>
    </w:rPr>
  </w:style>
  <w:style w:type="paragraph" w:styleId="Footer">
    <w:name w:val="footer"/>
    <w:basedOn w:val="Normal"/>
    <w:link w:val="FooterChar"/>
    <w:uiPriority w:val="99"/>
    <w:unhideWhenUsed/>
    <w:rsid w:val="00756E07"/>
    <w:pPr>
      <w:tabs>
        <w:tab w:val="center" w:pos="4513"/>
        <w:tab w:val="right" w:pos="9026"/>
      </w:tabs>
      <w:spacing w:after="0" w:line="240" w:lineRule="auto"/>
    </w:pPr>
    <w:rPr>
      <w:rFonts w:eastAsiaTheme="minorEastAsia"/>
    </w:rPr>
  </w:style>
  <w:style w:type="character" w:customStyle="1" w:styleId="FooterChar">
    <w:name w:val="Footer Char"/>
    <w:basedOn w:val="DefaultParagraphFont"/>
    <w:link w:val="Footer"/>
    <w:uiPriority w:val="99"/>
    <w:rsid w:val="00756E07"/>
    <w:rPr>
      <w:rFonts w:ascii="Calibri Light" w:eastAsiaTheme="minorEastAsia" w:hAnsi="Calibri Light"/>
      <w:lang w:val="en-US"/>
    </w:rPr>
  </w:style>
  <w:style w:type="paragraph" w:customStyle="1" w:styleId="Body">
    <w:name w:val="Body"/>
    <w:basedOn w:val="Normal"/>
    <w:link w:val="BodyChar"/>
    <w:qFormat/>
    <w:rsid w:val="00756E07"/>
    <w:pPr>
      <w:spacing w:after="200" w:line="276" w:lineRule="auto"/>
      <w:ind w:left="360"/>
    </w:pPr>
    <w:rPr>
      <w:rFonts w:asciiTheme="majorHAnsi" w:eastAsiaTheme="minorEastAsia" w:hAnsiTheme="majorHAnsi"/>
    </w:rPr>
  </w:style>
  <w:style w:type="character" w:customStyle="1" w:styleId="BodyChar">
    <w:name w:val="Body Char"/>
    <w:basedOn w:val="DefaultParagraphFont"/>
    <w:link w:val="Body"/>
    <w:rsid w:val="00756E07"/>
    <w:rPr>
      <w:rFonts w:asciiTheme="majorHAnsi" w:eastAsiaTheme="minorEastAsia" w:hAnsiTheme="majorHAnsi"/>
      <w:lang w:val="en-US"/>
    </w:rPr>
  </w:style>
  <w:style w:type="paragraph" w:styleId="ListParagraph">
    <w:name w:val="List Paragraph"/>
    <w:aliases w:val="List Bulletized,B1 paragraph"/>
    <w:basedOn w:val="Normal"/>
    <w:link w:val="ListParagraphChar"/>
    <w:uiPriority w:val="34"/>
    <w:qFormat/>
    <w:rsid w:val="00756E07"/>
    <w:pPr>
      <w:spacing w:after="200" w:line="276" w:lineRule="auto"/>
      <w:ind w:left="720"/>
      <w:contextualSpacing/>
    </w:pPr>
    <w:rPr>
      <w:rFonts w:eastAsiaTheme="minorEastAsia"/>
    </w:rPr>
  </w:style>
  <w:style w:type="character" w:customStyle="1" w:styleId="ListParagraphChar">
    <w:name w:val="List Paragraph Char"/>
    <w:aliases w:val="List Bulletized Char,B1 paragraph Char"/>
    <w:basedOn w:val="DefaultParagraphFont"/>
    <w:link w:val="ListParagraph"/>
    <w:uiPriority w:val="34"/>
    <w:locked/>
    <w:rsid w:val="00756E07"/>
    <w:rPr>
      <w:rFonts w:ascii="Calibri Light" w:eastAsiaTheme="minorEastAsia" w:hAnsi="Calibri Light"/>
      <w:lang w:val="en-US"/>
    </w:rPr>
  </w:style>
  <w:style w:type="character" w:styleId="BookTitle">
    <w:name w:val="Book Title"/>
    <w:basedOn w:val="DefaultParagraphFont"/>
    <w:uiPriority w:val="33"/>
    <w:qFormat/>
    <w:rsid w:val="00756E07"/>
    <w:rPr>
      <w:b/>
      <w:bCs/>
      <w:i/>
      <w:iCs/>
      <w:spacing w:val="5"/>
    </w:rPr>
  </w:style>
  <w:style w:type="paragraph" w:customStyle="1" w:styleId="Standard">
    <w:name w:val="Standard"/>
    <w:rsid w:val="00756E07"/>
    <w:pPr>
      <w:suppressAutoHyphens/>
      <w:autoSpaceDN w:val="0"/>
      <w:spacing w:after="0" w:line="240" w:lineRule="auto"/>
      <w:textAlignment w:val="baseline"/>
    </w:pPr>
    <w:rPr>
      <w:rFonts w:ascii="Arial" w:eastAsia="Times New Roman" w:hAnsi="Arial" w:cs="Times New Roman"/>
      <w:kern w:val="3"/>
      <w:szCs w:val="24"/>
      <w:lang w:val="pl-PL" w:eastAsia="ar-SA"/>
    </w:rPr>
  </w:style>
  <w:style w:type="paragraph" w:styleId="IntenseQuote">
    <w:name w:val="Intense Quote"/>
    <w:basedOn w:val="Normal"/>
    <w:next w:val="Normal"/>
    <w:link w:val="IntenseQuoteChar"/>
    <w:uiPriority w:val="30"/>
    <w:qFormat/>
    <w:rsid w:val="00756E07"/>
    <w:pPr>
      <w:pBdr>
        <w:top w:val="single" w:sz="4" w:space="10" w:color="5B9BD5" w:themeColor="accent1"/>
        <w:bottom w:val="single" w:sz="4" w:space="10" w:color="5B9BD5" w:themeColor="accent1"/>
      </w:pBdr>
      <w:spacing w:before="360" w:after="360" w:line="276" w:lineRule="auto"/>
      <w:ind w:left="864" w:right="864"/>
      <w:jc w:val="center"/>
    </w:pPr>
    <w:rPr>
      <w:rFonts w:eastAsiaTheme="minorEastAsia"/>
      <w:i/>
      <w:iCs/>
      <w:color w:val="5B9BD5" w:themeColor="accent1"/>
    </w:rPr>
  </w:style>
  <w:style w:type="character" w:customStyle="1" w:styleId="IntenseQuoteChar">
    <w:name w:val="Intense Quote Char"/>
    <w:basedOn w:val="DefaultParagraphFont"/>
    <w:link w:val="IntenseQuote"/>
    <w:uiPriority w:val="30"/>
    <w:rsid w:val="00756E07"/>
    <w:rPr>
      <w:rFonts w:ascii="Calibri Light" w:eastAsiaTheme="minorEastAsia" w:hAnsi="Calibri Light"/>
      <w:i/>
      <w:iCs/>
      <w:color w:val="5B9BD5" w:themeColor="accent1"/>
      <w:lang w:val="en-US"/>
    </w:rPr>
  </w:style>
  <w:style w:type="character" w:styleId="Strong">
    <w:name w:val="Strong"/>
    <w:basedOn w:val="DefaultParagraphFont"/>
    <w:uiPriority w:val="22"/>
    <w:qFormat/>
    <w:rsid w:val="00756E07"/>
    <w:rPr>
      <w:b/>
      <w:bCs/>
    </w:rPr>
  </w:style>
  <w:style w:type="character" w:customStyle="1" w:styleId="Heading6Char">
    <w:name w:val="Heading 6 Char"/>
    <w:basedOn w:val="DefaultParagraphFont"/>
    <w:link w:val="Heading6"/>
    <w:uiPriority w:val="9"/>
    <w:rsid w:val="00190740"/>
    <w:rPr>
      <w:rFonts w:asciiTheme="majorHAnsi" w:eastAsiaTheme="majorEastAsia" w:hAnsiTheme="majorHAnsi" w:cstheme="majorBidi"/>
      <w:color w:val="1F4D78" w:themeColor="accent1" w:themeShade="7F"/>
    </w:rPr>
  </w:style>
  <w:style w:type="table" w:customStyle="1" w:styleId="GridTable5Dark-Accent11">
    <w:name w:val="Grid Table 5 Dark - Accent 11"/>
    <w:basedOn w:val="TableNormal"/>
    <w:uiPriority w:val="50"/>
    <w:rsid w:val="00860E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4-Accent51">
    <w:name w:val="Grid Table 4 - Accent 51"/>
    <w:basedOn w:val="TableNormal"/>
    <w:uiPriority w:val="49"/>
    <w:rsid w:val="00860E3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ommentReference">
    <w:name w:val="annotation reference"/>
    <w:basedOn w:val="DefaultParagraphFont"/>
    <w:uiPriority w:val="99"/>
    <w:semiHidden/>
    <w:unhideWhenUsed/>
    <w:rsid w:val="00AF0091"/>
    <w:rPr>
      <w:sz w:val="16"/>
      <w:szCs w:val="16"/>
    </w:rPr>
  </w:style>
  <w:style w:type="paragraph" w:styleId="CommentText">
    <w:name w:val="annotation text"/>
    <w:basedOn w:val="Normal"/>
    <w:link w:val="CommentTextChar"/>
    <w:uiPriority w:val="99"/>
    <w:semiHidden/>
    <w:unhideWhenUsed/>
    <w:rsid w:val="00AF0091"/>
    <w:pPr>
      <w:spacing w:line="240" w:lineRule="auto"/>
    </w:pPr>
    <w:rPr>
      <w:sz w:val="20"/>
      <w:szCs w:val="20"/>
    </w:rPr>
  </w:style>
  <w:style w:type="character" w:customStyle="1" w:styleId="CommentTextChar">
    <w:name w:val="Comment Text Char"/>
    <w:basedOn w:val="DefaultParagraphFont"/>
    <w:link w:val="CommentText"/>
    <w:uiPriority w:val="99"/>
    <w:semiHidden/>
    <w:rsid w:val="00AF0091"/>
    <w:rPr>
      <w:sz w:val="20"/>
      <w:szCs w:val="20"/>
    </w:rPr>
  </w:style>
  <w:style w:type="paragraph" w:styleId="CommentSubject">
    <w:name w:val="annotation subject"/>
    <w:basedOn w:val="CommentText"/>
    <w:next w:val="CommentText"/>
    <w:link w:val="CommentSubjectChar"/>
    <w:uiPriority w:val="99"/>
    <w:semiHidden/>
    <w:unhideWhenUsed/>
    <w:rsid w:val="00AF0091"/>
    <w:rPr>
      <w:b/>
      <w:bCs/>
    </w:rPr>
  </w:style>
  <w:style w:type="character" w:customStyle="1" w:styleId="CommentSubjectChar">
    <w:name w:val="Comment Subject Char"/>
    <w:basedOn w:val="CommentTextChar"/>
    <w:link w:val="CommentSubject"/>
    <w:uiPriority w:val="99"/>
    <w:semiHidden/>
    <w:rsid w:val="00AF0091"/>
    <w:rPr>
      <w:b/>
      <w:bCs/>
      <w:sz w:val="20"/>
      <w:szCs w:val="20"/>
    </w:rPr>
  </w:style>
  <w:style w:type="paragraph" w:styleId="BalloonText">
    <w:name w:val="Balloon Text"/>
    <w:basedOn w:val="Normal"/>
    <w:link w:val="BalloonTextChar"/>
    <w:uiPriority w:val="99"/>
    <w:semiHidden/>
    <w:unhideWhenUsed/>
    <w:rsid w:val="00AF00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091"/>
    <w:rPr>
      <w:rFonts w:ascii="Segoe UI" w:hAnsi="Segoe UI" w:cs="Segoe UI"/>
      <w:sz w:val="18"/>
      <w:szCs w:val="18"/>
    </w:rPr>
  </w:style>
  <w:style w:type="paragraph" w:styleId="Revision">
    <w:name w:val="Revision"/>
    <w:hidden/>
    <w:uiPriority w:val="99"/>
    <w:semiHidden/>
    <w:rsid w:val="0019502C"/>
    <w:pPr>
      <w:spacing w:after="0" w:line="240" w:lineRule="auto"/>
    </w:pPr>
  </w:style>
  <w:style w:type="character" w:customStyle="1" w:styleId="Heading7Char">
    <w:name w:val="Heading 7 Char"/>
    <w:basedOn w:val="DefaultParagraphFont"/>
    <w:link w:val="Heading7"/>
    <w:uiPriority w:val="9"/>
    <w:semiHidden/>
    <w:rsid w:val="00BF58F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F58F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58F6"/>
    <w:rPr>
      <w:rFonts w:asciiTheme="majorHAnsi" w:eastAsiaTheme="majorEastAsia" w:hAnsiTheme="majorHAnsi" w:cstheme="majorBidi"/>
      <w:i/>
      <w:iCs/>
      <w:color w:val="272727" w:themeColor="text1" w:themeTint="D8"/>
      <w:sz w:val="21"/>
      <w:szCs w:val="21"/>
    </w:rPr>
  </w:style>
  <w:style w:type="paragraph" w:customStyle="1" w:styleId="Recommend">
    <w:name w:val="Recommend"/>
    <w:basedOn w:val="IntenseQuote"/>
    <w:link w:val="RecommendChar"/>
    <w:qFormat/>
    <w:rsid w:val="00A77C6D"/>
    <w:pPr>
      <w:shd w:val="pct5" w:color="auto" w:fill="auto"/>
      <w:spacing w:before="120" w:after="120" w:line="240" w:lineRule="auto"/>
      <w:ind w:left="0" w:right="567"/>
      <w:jc w:val="left"/>
    </w:pPr>
    <w:rPr>
      <w:i w:val="0"/>
      <w:color w:val="auto"/>
    </w:rPr>
  </w:style>
  <w:style w:type="character" w:customStyle="1" w:styleId="RecommendChar">
    <w:name w:val="Recommend Char"/>
    <w:basedOn w:val="DefaultParagraphFont"/>
    <w:link w:val="Recommend"/>
    <w:rsid w:val="00A77C6D"/>
    <w:rPr>
      <w:rFonts w:ascii="Calibri Light" w:eastAsiaTheme="minorEastAsia" w:hAnsi="Calibri Light"/>
      <w:iCs/>
      <w:shd w:val="pct5" w:color="auto" w:fill="auto"/>
      <w:lang w:val="en-US"/>
    </w:rPr>
  </w:style>
  <w:style w:type="table" w:styleId="GridTable5Dark-Accent3">
    <w:name w:val="Grid Table 5 Dark Accent 3"/>
    <w:basedOn w:val="TableNormal"/>
    <w:uiPriority w:val="50"/>
    <w:rsid w:val="001D6A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654DD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7C33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6560">
      <w:bodyDiv w:val="1"/>
      <w:marLeft w:val="0"/>
      <w:marRight w:val="0"/>
      <w:marTop w:val="0"/>
      <w:marBottom w:val="0"/>
      <w:divBdr>
        <w:top w:val="none" w:sz="0" w:space="0" w:color="auto"/>
        <w:left w:val="none" w:sz="0" w:space="0" w:color="auto"/>
        <w:bottom w:val="none" w:sz="0" w:space="0" w:color="auto"/>
        <w:right w:val="none" w:sz="0" w:space="0" w:color="auto"/>
      </w:divBdr>
    </w:div>
    <w:div w:id="46879820">
      <w:bodyDiv w:val="1"/>
      <w:marLeft w:val="0"/>
      <w:marRight w:val="0"/>
      <w:marTop w:val="0"/>
      <w:marBottom w:val="0"/>
      <w:divBdr>
        <w:top w:val="none" w:sz="0" w:space="0" w:color="auto"/>
        <w:left w:val="none" w:sz="0" w:space="0" w:color="auto"/>
        <w:bottom w:val="none" w:sz="0" w:space="0" w:color="auto"/>
        <w:right w:val="none" w:sz="0" w:space="0" w:color="auto"/>
      </w:divBdr>
    </w:div>
    <w:div w:id="52389072">
      <w:bodyDiv w:val="1"/>
      <w:marLeft w:val="0"/>
      <w:marRight w:val="0"/>
      <w:marTop w:val="0"/>
      <w:marBottom w:val="0"/>
      <w:divBdr>
        <w:top w:val="none" w:sz="0" w:space="0" w:color="auto"/>
        <w:left w:val="none" w:sz="0" w:space="0" w:color="auto"/>
        <w:bottom w:val="none" w:sz="0" w:space="0" w:color="auto"/>
        <w:right w:val="none" w:sz="0" w:space="0" w:color="auto"/>
      </w:divBdr>
    </w:div>
    <w:div w:id="132413185">
      <w:bodyDiv w:val="1"/>
      <w:marLeft w:val="0"/>
      <w:marRight w:val="0"/>
      <w:marTop w:val="0"/>
      <w:marBottom w:val="0"/>
      <w:divBdr>
        <w:top w:val="none" w:sz="0" w:space="0" w:color="auto"/>
        <w:left w:val="none" w:sz="0" w:space="0" w:color="auto"/>
        <w:bottom w:val="none" w:sz="0" w:space="0" w:color="auto"/>
        <w:right w:val="none" w:sz="0" w:space="0" w:color="auto"/>
      </w:divBdr>
    </w:div>
    <w:div w:id="137039066">
      <w:bodyDiv w:val="1"/>
      <w:marLeft w:val="0"/>
      <w:marRight w:val="0"/>
      <w:marTop w:val="0"/>
      <w:marBottom w:val="0"/>
      <w:divBdr>
        <w:top w:val="none" w:sz="0" w:space="0" w:color="auto"/>
        <w:left w:val="none" w:sz="0" w:space="0" w:color="auto"/>
        <w:bottom w:val="none" w:sz="0" w:space="0" w:color="auto"/>
        <w:right w:val="none" w:sz="0" w:space="0" w:color="auto"/>
      </w:divBdr>
    </w:div>
    <w:div w:id="140512122">
      <w:bodyDiv w:val="1"/>
      <w:marLeft w:val="0"/>
      <w:marRight w:val="0"/>
      <w:marTop w:val="0"/>
      <w:marBottom w:val="0"/>
      <w:divBdr>
        <w:top w:val="none" w:sz="0" w:space="0" w:color="auto"/>
        <w:left w:val="none" w:sz="0" w:space="0" w:color="auto"/>
        <w:bottom w:val="none" w:sz="0" w:space="0" w:color="auto"/>
        <w:right w:val="none" w:sz="0" w:space="0" w:color="auto"/>
      </w:divBdr>
    </w:div>
    <w:div w:id="155921602">
      <w:bodyDiv w:val="1"/>
      <w:marLeft w:val="0"/>
      <w:marRight w:val="0"/>
      <w:marTop w:val="0"/>
      <w:marBottom w:val="0"/>
      <w:divBdr>
        <w:top w:val="none" w:sz="0" w:space="0" w:color="auto"/>
        <w:left w:val="none" w:sz="0" w:space="0" w:color="auto"/>
        <w:bottom w:val="none" w:sz="0" w:space="0" w:color="auto"/>
        <w:right w:val="none" w:sz="0" w:space="0" w:color="auto"/>
      </w:divBdr>
    </w:div>
    <w:div w:id="214513997">
      <w:bodyDiv w:val="1"/>
      <w:marLeft w:val="0"/>
      <w:marRight w:val="0"/>
      <w:marTop w:val="0"/>
      <w:marBottom w:val="0"/>
      <w:divBdr>
        <w:top w:val="none" w:sz="0" w:space="0" w:color="auto"/>
        <w:left w:val="none" w:sz="0" w:space="0" w:color="auto"/>
        <w:bottom w:val="none" w:sz="0" w:space="0" w:color="auto"/>
        <w:right w:val="none" w:sz="0" w:space="0" w:color="auto"/>
      </w:divBdr>
    </w:div>
    <w:div w:id="244072245">
      <w:bodyDiv w:val="1"/>
      <w:marLeft w:val="0"/>
      <w:marRight w:val="0"/>
      <w:marTop w:val="0"/>
      <w:marBottom w:val="0"/>
      <w:divBdr>
        <w:top w:val="none" w:sz="0" w:space="0" w:color="auto"/>
        <w:left w:val="none" w:sz="0" w:space="0" w:color="auto"/>
        <w:bottom w:val="none" w:sz="0" w:space="0" w:color="auto"/>
        <w:right w:val="none" w:sz="0" w:space="0" w:color="auto"/>
      </w:divBdr>
    </w:div>
    <w:div w:id="331377973">
      <w:bodyDiv w:val="1"/>
      <w:marLeft w:val="0"/>
      <w:marRight w:val="0"/>
      <w:marTop w:val="0"/>
      <w:marBottom w:val="0"/>
      <w:divBdr>
        <w:top w:val="none" w:sz="0" w:space="0" w:color="auto"/>
        <w:left w:val="none" w:sz="0" w:space="0" w:color="auto"/>
        <w:bottom w:val="none" w:sz="0" w:space="0" w:color="auto"/>
        <w:right w:val="none" w:sz="0" w:space="0" w:color="auto"/>
      </w:divBdr>
    </w:div>
    <w:div w:id="333529086">
      <w:bodyDiv w:val="1"/>
      <w:marLeft w:val="0"/>
      <w:marRight w:val="0"/>
      <w:marTop w:val="0"/>
      <w:marBottom w:val="0"/>
      <w:divBdr>
        <w:top w:val="none" w:sz="0" w:space="0" w:color="auto"/>
        <w:left w:val="none" w:sz="0" w:space="0" w:color="auto"/>
        <w:bottom w:val="none" w:sz="0" w:space="0" w:color="auto"/>
        <w:right w:val="none" w:sz="0" w:space="0" w:color="auto"/>
      </w:divBdr>
    </w:div>
    <w:div w:id="362874544">
      <w:bodyDiv w:val="1"/>
      <w:marLeft w:val="0"/>
      <w:marRight w:val="0"/>
      <w:marTop w:val="0"/>
      <w:marBottom w:val="0"/>
      <w:divBdr>
        <w:top w:val="none" w:sz="0" w:space="0" w:color="auto"/>
        <w:left w:val="none" w:sz="0" w:space="0" w:color="auto"/>
        <w:bottom w:val="none" w:sz="0" w:space="0" w:color="auto"/>
        <w:right w:val="none" w:sz="0" w:space="0" w:color="auto"/>
      </w:divBdr>
    </w:div>
    <w:div w:id="442379047">
      <w:bodyDiv w:val="1"/>
      <w:marLeft w:val="0"/>
      <w:marRight w:val="0"/>
      <w:marTop w:val="0"/>
      <w:marBottom w:val="0"/>
      <w:divBdr>
        <w:top w:val="none" w:sz="0" w:space="0" w:color="auto"/>
        <w:left w:val="none" w:sz="0" w:space="0" w:color="auto"/>
        <w:bottom w:val="none" w:sz="0" w:space="0" w:color="auto"/>
        <w:right w:val="none" w:sz="0" w:space="0" w:color="auto"/>
      </w:divBdr>
    </w:div>
    <w:div w:id="551771822">
      <w:bodyDiv w:val="1"/>
      <w:marLeft w:val="0"/>
      <w:marRight w:val="0"/>
      <w:marTop w:val="0"/>
      <w:marBottom w:val="0"/>
      <w:divBdr>
        <w:top w:val="none" w:sz="0" w:space="0" w:color="auto"/>
        <w:left w:val="none" w:sz="0" w:space="0" w:color="auto"/>
        <w:bottom w:val="none" w:sz="0" w:space="0" w:color="auto"/>
        <w:right w:val="none" w:sz="0" w:space="0" w:color="auto"/>
      </w:divBdr>
    </w:div>
    <w:div w:id="607081187">
      <w:bodyDiv w:val="1"/>
      <w:marLeft w:val="0"/>
      <w:marRight w:val="0"/>
      <w:marTop w:val="0"/>
      <w:marBottom w:val="0"/>
      <w:divBdr>
        <w:top w:val="none" w:sz="0" w:space="0" w:color="auto"/>
        <w:left w:val="none" w:sz="0" w:space="0" w:color="auto"/>
        <w:bottom w:val="none" w:sz="0" w:space="0" w:color="auto"/>
        <w:right w:val="none" w:sz="0" w:space="0" w:color="auto"/>
      </w:divBdr>
    </w:div>
    <w:div w:id="781001596">
      <w:bodyDiv w:val="1"/>
      <w:marLeft w:val="0"/>
      <w:marRight w:val="0"/>
      <w:marTop w:val="0"/>
      <w:marBottom w:val="0"/>
      <w:divBdr>
        <w:top w:val="none" w:sz="0" w:space="0" w:color="auto"/>
        <w:left w:val="none" w:sz="0" w:space="0" w:color="auto"/>
        <w:bottom w:val="none" w:sz="0" w:space="0" w:color="auto"/>
        <w:right w:val="none" w:sz="0" w:space="0" w:color="auto"/>
      </w:divBdr>
    </w:div>
    <w:div w:id="803432070">
      <w:bodyDiv w:val="1"/>
      <w:marLeft w:val="0"/>
      <w:marRight w:val="0"/>
      <w:marTop w:val="0"/>
      <w:marBottom w:val="0"/>
      <w:divBdr>
        <w:top w:val="none" w:sz="0" w:space="0" w:color="auto"/>
        <w:left w:val="none" w:sz="0" w:space="0" w:color="auto"/>
        <w:bottom w:val="none" w:sz="0" w:space="0" w:color="auto"/>
        <w:right w:val="none" w:sz="0" w:space="0" w:color="auto"/>
      </w:divBdr>
    </w:div>
    <w:div w:id="804198546">
      <w:bodyDiv w:val="1"/>
      <w:marLeft w:val="0"/>
      <w:marRight w:val="0"/>
      <w:marTop w:val="0"/>
      <w:marBottom w:val="0"/>
      <w:divBdr>
        <w:top w:val="none" w:sz="0" w:space="0" w:color="auto"/>
        <w:left w:val="none" w:sz="0" w:space="0" w:color="auto"/>
        <w:bottom w:val="none" w:sz="0" w:space="0" w:color="auto"/>
        <w:right w:val="none" w:sz="0" w:space="0" w:color="auto"/>
      </w:divBdr>
    </w:div>
    <w:div w:id="832377909">
      <w:bodyDiv w:val="1"/>
      <w:marLeft w:val="0"/>
      <w:marRight w:val="0"/>
      <w:marTop w:val="0"/>
      <w:marBottom w:val="0"/>
      <w:divBdr>
        <w:top w:val="none" w:sz="0" w:space="0" w:color="auto"/>
        <w:left w:val="none" w:sz="0" w:space="0" w:color="auto"/>
        <w:bottom w:val="none" w:sz="0" w:space="0" w:color="auto"/>
        <w:right w:val="none" w:sz="0" w:space="0" w:color="auto"/>
      </w:divBdr>
    </w:div>
    <w:div w:id="853155511">
      <w:bodyDiv w:val="1"/>
      <w:marLeft w:val="0"/>
      <w:marRight w:val="0"/>
      <w:marTop w:val="0"/>
      <w:marBottom w:val="0"/>
      <w:divBdr>
        <w:top w:val="none" w:sz="0" w:space="0" w:color="auto"/>
        <w:left w:val="none" w:sz="0" w:space="0" w:color="auto"/>
        <w:bottom w:val="none" w:sz="0" w:space="0" w:color="auto"/>
        <w:right w:val="none" w:sz="0" w:space="0" w:color="auto"/>
      </w:divBdr>
    </w:div>
    <w:div w:id="895359445">
      <w:bodyDiv w:val="1"/>
      <w:marLeft w:val="0"/>
      <w:marRight w:val="0"/>
      <w:marTop w:val="0"/>
      <w:marBottom w:val="0"/>
      <w:divBdr>
        <w:top w:val="none" w:sz="0" w:space="0" w:color="auto"/>
        <w:left w:val="none" w:sz="0" w:space="0" w:color="auto"/>
        <w:bottom w:val="none" w:sz="0" w:space="0" w:color="auto"/>
        <w:right w:val="none" w:sz="0" w:space="0" w:color="auto"/>
      </w:divBdr>
    </w:div>
    <w:div w:id="965349394">
      <w:bodyDiv w:val="1"/>
      <w:marLeft w:val="0"/>
      <w:marRight w:val="0"/>
      <w:marTop w:val="0"/>
      <w:marBottom w:val="0"/>
      <w:divBdr>
        <w:top w:val="none" w:sz="0" w:space="0" w:color="auto"/>
        <w:left w:val="none" w:sz="0" w:space="0" w:color="auto"/>
        <w:bottom w:val="none" w:sz="0" w:space="0" w:color="auto"/>
        <w:right w:val="none" w:sz="0" w:space="0" w:color="auto"/>
      </w:divBdr>
    </w:div>
    <w:div w:id="966205287">
      <w:bodyDiv w:val="1"/>
      <w:marLeft w:val="0"/>
      <w:marRight w:val="0"/>
      <w:marTop w:val="0"/>
      <w:marBottom w:val="0"/>
      <w:divBdr>
        <w:top w:val="none" w:sz="0" w:space="0" w:color="auto"/>
        <w:left w:val="none" w:sz="0" w:space="0" w:color="auto"/>
        <w:bottom w:val="none" w:sz="0" w:space="0" w:color="auto"/>
        <w:right w:val="none" w:sz="0" w:space="0" w:color="auto"/>
      </w:divBdr>
    </w:div>
    <w:div w:id="997001877">
      <w:bodyDiv w:val="1"/>
      <w:marLeft w:val="0"/>
      <w:marRight w:val="0"/>
      <w:marTop w:val="0"/>
      <w:marBottom w:val="0"/>
      <w:divBdr>
        <w:top w:val="none" w:sz="0" w:space="0" w:color="auto"/>
        <w:left w:val="none" w:sz="0" w:space="0" w:color="auto"/>
        <w:bottom w:val="none" w:sz="0" w:space="0" w:color="auto"/>
        <w:right w:val="none" w:sz="0" w:space="0" w:color="auto"/>
      </w:divBdr>
    </w:div>
    <w:div w:id="1005867648">
      <w:bodyDiv w:val="1"/>
      <w:marLeft w:val="0"/>
      <w:marRight w:val="0"/>
      <w:marTop w:val="0"/>
      <w:marBottom w:val="0"/>
      <w:divBdr>
        <w:top w:val="none" w:sz="0" w:space="0" w:color="auto"/>
        <w:left w:val="none" w:sz="0" w:space="0" w:color="auto"/>
        <w:bottom w:val="none" w:sz="0" w:space="0" w:color="auto"/>
        <w:right w:val="none" w:sz="0" w:space="0" w:color="auto"/>
      </w:divBdr>
    </w:div>
    <w:div w:id="1061906640">
      <w:bodyDiv w:val="1"/>
      <w:marLeft w:val="0"/>
      <w:marRight w:val="0"/>
      <w:marTop w:val="0"/>
      <w:marBottom w:val="0"/>
      <w:divBdr>
        <w:top w:val="none" w:sz="0" w:space="0" w:color="auto"/>
        <w:left w:val="none" w:sz="0" w:space="0" w:color="auto"/>
        <w:bottom w:val="none" w:sz="0" w:space="0" w:color="auto"/>
        <w:right w:val="none" w:sz="0" w:space="0" w:color="auto"/>
      </w:divBdr>
    </w:div>
    <w:div w:id="1086616191">
      <w:bodyDiv w:val="1"/>
      <w:marLeft w:val="0"/>
      <w:marRight w:val="0"/>
      <w:marTop w:val="0"/>
      <w:marBottom w:val="0"/>
      <w:divBdr>
        <w:top w:val="none" w:sz="0" w:space="0" w:color="auto"/>
        <w:left w:val="none" w:sz="0" w:space="0" w:color="auto"/>
        <w:bottom w:val="none" w:sz="0" w:space="0" w:color="auto"/>
        <w:right w:val="none" w:sz="0" w:space="0" w:color="auto"/>
      </w:divBdr>
    </w:div>
    <w:div w:id="1100220142">
      <w:bodyDiv w:val="1"/>
      <w:marLeft w:val="0"/>
      <w:marRight w:val="0"/>
      <w:marTop w:val="0"/>
      <w:marBottom w:val="0"/>
      <w:divBdr>
        <w:top w:val="none" w:sz="0" w:space="0" w:color="auto"/>
        <w:left w:val="none" w:sz="0" w:space="0" w:color="auto"/>
        <w:bottom w:val="none" w:sz="0" w:space="0" w:color="auto"/>
        <w:right w:val="none" w:sz="0" w:space="0" w:color="auto"/>
      </w:divBdr>
    </w:div>
    <w:div w:id="1105033963">
      <w:bodyDiv w:val="1"/>
      <w:marLeft w:val="0"/>
      <w:marRight w:val="0"/>
      <w:marTop w:val="0"/>
      <w:marBottom w:val="0"/>
      <w:divBdr>
        <w:top w:val="none" w:sz="0" w:space="0" w:color="auto"/>
        <w:left w:val="none" w:sz="0" w:space="0" w:color="auto"/>
        <w:bottom w:val="none" w:sz="0" w:space="0" w:color="auto"/>
        <w:right w:val="none" w:sz="0" w:space="0" w:color="auto"/>
      </w:divBdr>
      <w:divsChild>
        <w:div w:id="2132433247">
          <w:marLeft w:val="0"/>
          <w:marRight w:val="0"/>
          <w:marTop w:val="450"/>
          <w:marBottom w:val="0"/>
          <w:divBdr>
            <w:top w:val="none" w:sz="0" w:space="0" w:color="auto"/>
            <w:left w:val="none" w:sz="0" w:space="0" w:color="auto"/>
            <w:bottom w:val="none" w:sz="0" w:space="0" w:color="auto"/>
            <w:right w:val="none" w:sz="0" w:space="0" w:color="auto"/>
          </w:divBdr>
          <w:divsChild>
            <w:div w:id="1838576841">
              <w:marLeft w:val="0"/>
              <w:marRight w:val="0"/>
              <w:marTop w:val="0"/>
              <w:marBottom w:val="0"/>
              <w:divBdr>
                <w:top w:val="none" w:sz="0" w:space="0" w:color="auto"/>
                <w:left w:val="none" w:sz="0" w:space="0" w:color="auto"/>
                <w:bottom w:val="none" w:sz="0" w:space="0" w:color="auto"/>
                <w:right w:val="none" w:sz="0" w:space="0" w:color="auto"/>
              </w:divBdr>
              <w:divsChild>
                <w:div w:id="2070496667">
                  <w:marLeft w:val="0"/>
                  <w:marRight w:val="0"/>
                  <w:marTop w:val="0"/>
                  <w:marBottom w:val="0"/>
                  <w:divBdr>
                    <w:top w:val="none" w:sz="0" w:space="0" w:color="auto"/>
                    <w:left w:val="none" w:sz="0" w:space="0" w:color="auto"/>
                    <w:bottom w:val="none" w:sz="0" w:space="0" w:color="auto"/>
                    <w:right w:val="none" w:sz="0" w:space="0" w:color="auto"/>
                  </w:divBdr>
                  <w:divsChild>
                    <w:div w:id="1500805070">
                      <w:marLeft w:val="0"/>
                      <w:marRight w:val="0"/>
                      <w:marTop w:val="225"/>
                      <w:marBottom w:val="225"/>
                      <w:divBdr>
                        <w:top w:val="none" w:sz="0" w:space="0" w:color="auto"/>
                        <w:left w:val="none" w:sz="0" w:space="0" w:color="auto"/>
                        <w:bottom w:val="none" w:sz="0" w:space="0" w:color="auto"/>
                        <w:right w:val="none" w:sz="0" w:space="0" w:color="auto"/>
                      </w:divBdr>
                    </w:div>
                    <w:div w:id="1019820984">
                      <w:marLeft w:val="0"/>
                      <w:marRight w:val="0"/>
                      <w:marTop w:val="225"/>
                      <w:marBottom w:val="0"/>
                      <w:divBdr>
                        <w:top w:val="none" w:sz="0" w:space="0" w:color="auto"/>
                        <w:left w:val="none" w:sz="0" w:space="0" w:color="auto"/>
                        <w:bottom w:val="none" w:sz="0" w:space="0" w:color="auto"/>
                        <w:right w:val="none" w:sz="0" w:space="0" w:color="auto"/>
                      </w:divBdr>
                    </w:div>
                    <w:div w:id="234827685">
                      <w:marLeft w:val="0"/>
                      <w:marRight w:val="0"/>
                      <w:marTop w:val="225"/>
                      <w:marBottom w:val="0"/>
                      <w:divBdr>
                        <w:top w:val="none" w:sz="0" w:space="0" w:color="auto"/>
                        <w:left w:val="none" w:sz="0" w:space="0" w:color="auto"/>
                        <w:bottom w:val="none" w:sz="0" w:space="0" w:color="auto"/>
                        <w:right w:val="none" w:sz="0" w:space="0" w:color="auto"/>
                      </w:divBdr>
                    </w:div>
                    <w:div w:id="1758359379">
                      <w:marLeft w:val="0"/>
                      <w:marRight w:val="0"/>
                      <w:marTop w:val="225"/>
                      <w:marBottom w:val="225"/>
                      <w:divBdr>
                        <w:top w:val="none" w:sz="0" w:space="0" w:color="auto"/>
                        <w:left w:val="none" w:sz="0" w:space="0" w:color="auto"/>
                        <w:bottom w:val="none" w:sz="0" w:space="0" w:color="auto"/>
                        <w:right w:val="none" w:sz="0" w:space="0" w:color="auto"/>
                      </w:divBdr>
                    </w:div>
                    <w:div w:id="1861385848">
                      <w:marLeft w:val="0"/>
                      <w:marRight w:val="0"/>
                      <w:marTop w:val="225"/>
                      <w:marBottom w:val="225"/>
                      <w:divBdr>
                        <w:top w:val="none" w:sz="0" w:space="0" w:color="auto"/>
                        <w:left w:val="none" w:sz="0" w:space="0" w:color="auto"/>
                        <w:bottom w:val="none" w:sz="0" w:space="0" w:color="auto"/>
                        <w:right w:val="none" w:sz="0" w:space="0" w:color="auto"/>
                      </w:divBdr>
                    </w:div>
                    <w:div w:id="2040273739">
                      <w:marLeft w:val="0"/>
                      <w:marRight w:val="0"/>
                      <w:marTop w:val="225"/>
                      <w:marBottom w:val="225"/>
                      <w:divBdr>
                        <w:top w:val="none" w:sz="0" w:space="0" w:color="auto"/>
                        <w:left w:val="none" w:sz="0" w:space="0" w:color="auto"/>
                        <w:bottom w:val="none" w:sz="0" w:space="0" w:color="auto"/>
                        <w:right w:val="none" w:sz="0" w:space="0" w:color="auto"/>
                      </w:divBdr>
                    </w:div>
                    <w:div w:id="300615233">
                      <w:marLeft w:val="0"/>
                      <w:marRight w:val="0"/>
                      <w:marTop w:val="225"/>
                      <w:marBottom w:val="225"/>
                      <w:divBdr>
                        <w:top w:val="none" w:sz="0" w:space="0" w:color="auto"/>
                        <w:left w:val="none" w:sz="0" w:space="0" w:color="auto"/>
                        <w:bottom w:val="none" w:sz="0" w:space="0" w:color="auto"/>
                        <w:right w:val="none" w:sz="0" w:space="0" w:color="auto"/>
                      </w:divBdr>
                    </w:div>
                    <w:div w:id="2051949779">
                      <w:marLeft w:val="0"/>
                      <w:marRight w:val="0"/>
                      <w:marTop w:val="225"/>
                      <w:marBottom w:val="225"/>
                      <w:divBdr>
                        <w:top w:val="none" w:sz="0" w:space="0" w:color="auto"/>
                        <w:left w:val="none" w:sz="0" w:space="0" w:color="auto"/>
                        <w:bottom w:val="none" w:sz="0" w:space="0" w:color="auto"/>
                        <w:right w:val="none" w:sz="0" w:space="0" w:color="auto"/>
                      </w:divBdr>
                    </w:div>
                    <w:div w:id="1607344610">
                      <w:marLeft w:val="0"/>
                      <w:marRight w:val="0"/>
                      <w:marTop w:val="225"/>
                      <w:marBottom w:val="225"/>
                      <w:divBdr>
                        <w:top w:val="none" w:sz="0" w:space="0" w:color="auto"/>
                        <w:left w:val="none" w:sz="0" w:space="0" w:color="auto"/>
                        <w:bottom w:val="none" w:sz="0" w:space="0" w:color="auto"/>
                        <w:right w:val="none" w:sz="0" w:space="0" w:color="auto"/>
                      </w:divBdr>
                    </w:div>
                    <w:div w:id="168598307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217784495">
          <w:marLeft w:val="0"/>
          <w:marRight w:val="0"/>
          <w:marTop w:val="0"/>
          <w:marBottom w:val="0"/>
          <w:divBdr>
            <w:top w:val="none" w:sz="0" w:space="0" w:color="auto"/>
            <w:left w:val="none" w:sz="0" w:space="0" w:color="auto"/>
            <w:bottom w:val="none" w:sz="0" w:space="0" w:color="auto"/>
            <w:right w:val="none" w:sz="0" w:space="0" w:color="auto"/>
          </w:divBdr>
          <w:divsChild>
            <w:div w:id="1931427945">
              <w:marLeft w:val="0"/>
              <w:marRight w:val="0"/>
              <w:marTop w:val="0"/>
              <w:marBottom w:val="0"/>
              <w:divBdr>
                <w:top w:val="none" w:sz="0" w:space="0" w:color="auto"/>
                <w:left w:val="none" w:sz="0" w:space="0" w:color="auto"/>
                <w:bottom w:val="none" w:sz="0" w:space="0" w:color="auto"/>
                <w:right w:val="none" w:sz="0" w:space="0" w:color="auto"/>
              </w:divBdr>
              <w:divsChild>
                <w:div w:id="1037123361">
                  <w:marLeft w:val="0"/>
                  <w:marRight w:val="0"/>
                  <w:marTop w:val="0"/>
                  <w:marBottom w:val="0"/>
                  <w:divBdr>
                    <w:top w:val="none" w:sz="0" w:space="0" w:color="auto"/>
                    <w:left w:val="none" w:sz="0" w:space="0" w:color="auto"/>
                    <w:bottom w:val="none" w:sz="0" w:space="0" w:color="auto"/>
                    <w:right w:val="none" w:sz="0" w:space="0" w:color="auto"/>
                  </w:divBdr>
                  <w:divsChild>
                    <w:div w:id="85885642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406679752">
          <w:marLeft w:val="0"/>
          <w:marRight w:val="0"/>
          <w:marTop w:val="0"/>
          <w:marBottom w:val="0"/>
          <w:divBdr>
            <w:top w:val="none" w:sz="0" w:space="0" w:color="auto"/>
            <w:left w:val="none" w:sz="0" w:space="0" w:color="auto"/>
            <w:bottom w:val="none" w:sz="0" w:space="0" w:color="auto"/>
            <w:right w:val="none" w:sz="0" w:space="0" w:color="auto"/>
          </w:divBdr>
          <w:divsChild>
            <w:div w:id="665674804">
              <w:marLeft w:val="0"/>
              <w:marRight w:val="0"/>
              <w:marTop w:val="0"/>
              <w:marBottom w:val="0"/>
              <w:divBdr>
                <w:top w:val="none" w:sz="0" w:space="0" w:color="auto"/>
                <w:left w:val="none" w:sz="0" w:space="0" w:color="auto"/>
                <w:bottom w:val="none" w:sz="0" w:space="0" w:color="auto"/>
                <w:right w:val="none" w:sz="0" w:space="0" w:color="auto"/>
              </w:divBdr>
              <w:divsChild>
                <w:div w:id="1585070776">
                  <w:marLeft w:val="0"/>
                  <w:marRight w:val="0"/>
                  <w:marTop w:val="0"/>
                  <w:marBottom w:val="0"/>
                  <w:divBdr>
                    <w:top w:val="none" w:sz="0" w:space="0" w:color="auto"/>
                    <w:left w:val="none" w:sz="0" w:space="0" w:color="auto"/>
                    <w:bottom w:val="none" w:sz="0" w:space="0" w:color="auto"/>
                    <w:right w:val="none" w:sz="0" w:space="0" w:color="auto"/>
                  </w:divBdr>
                  <w:divsChild>
                    <w:div w:id="165448447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059669710">
          <w:marLeft w:val="0"/>
          <w:marRight w:val="0"/>
          <w:marTop w:val="0"/>
          <w:marBottom w:val="0"/>
          <w:divBdr>
            <w:top w:val="none" w:sz="0" w:space="0" w:color="auto"/>
            <w:left w:val="none" w:sz="0" w:space="0" w:color="auto"/>
            <w:bottom w:val="none" w:sz="0" w:space="0" w:color="auto"/>
            <w:right w:val="none" w:sz="0" w:space="0" w:color="auto"/>
          </w:divBdr>
          <w:divsChild>
            <w:div w:id="1524980801">
              <w:marLeft w:val="0"/>
              <w:marRight w:val="0"/>
              <w:marTop w:val="0"/>
              <w:marBottom w:val="0"/>
              <w:divBdr>
                <w:top w:val="none" w:sz="0" w:space="0" w:color="auto"/>
                <w:left w:val="none" w:sz="0" w:space="0" w:color="auto"/>
                <w:bottom w:val="none" w:sz="0" w:space="0" w:color="auto"/>
                <w:right w:val="none" w:sz="0" w:space="0" w:color="auto"/>
              </w:divBdr>
              <w:divsChild>
                <w:div w:id="546725263">
                  <w:marLeft w:val="0"/>
                  <w:marRight w:val="0"/>
                  <w:marTop w:val="0"/>
                  <w:marBottom w:val="0"/>
                  <w:divBdr>
                    <w:top w:val="none" w:sz="0" w:space="0" w:color="auto"/>
                    <w:left w:val="none" w:sz="0" w:space="0" w:color="auto"/>
                    <w:bottom w:val="none" w:sz="0" w:space="0" w:color="auto"/>
                    <w:right w:val="none" w:sz="0" w:space="0" w:color="auto"/>
                  </w:divBdr>
                  <w:divsChild>
                    <w:div w:id="459764915">
                      <w:marLeft w:val="0"/>
                      <w:marRight w:val="0"/>
                      <w:marTop w:val="225"/>
                      <w:marBottom w:val="225"/>
                      <w:divBdr>
                        <w:top w:val="none" w:sz="0" w:space="0" w:color="auto"/>
                        <w:left w:val="none" w:sz="0" w:space="0" w:color="auto"/>
                        <w:bottom w:val="none" w:sz="0" w:space="0" w:color="auto"/>
                        <w:right w:val="none" w:sz="0" w:space="0" w:color="auto"/>
                      </w:divBdr>
                    </w:div>
                    <w:div w:id="746267379">
                      <w:marLeft w:val="0"/>
                      <w:marRight w:val="0"/>
                      <w:marTop w:val="225"/>
                      <w:marBottom w:val="225"/>
                      <w:divBdr>
                        <w:top w:val="none" w:sz="0" w:space="0" w:color="auto"/>
                        <w:left w:val="none" w:sz="0" w:space="0" w:color="auto"/>
                        <w:bottom w:val="none" w:sz="0" w:space="0" w:color="auto"/>
                        <w:right w:val="none" w:sz="0" w:space="0" w:color="auto"/>
                      </w:divBdr>
                    </w:div>
                    <w:div w:id="170937903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764228443">
          <w:marLeft w:val="0"/>
          <w:marRight w:val="0"/>
          <w:marTop w:val="0"/>
          <w:marBottom w:val="0"/>
          <w:divBdr>
            <w:top w:val="none" w:sz="0" w:space="0" w:color="auto"/>
            <w:left w:val="none" w:sz="0" w:space="0" w:color="auto"/>
            <w:bottom w:val="none" w:sz="0" w:space="0" w:color="auto"/>
            <w:right w:val="none" w:sz="0" w:space="0" w:color="auto"/>
          </w:divBdr>
          <w:divsChild>
            <w:div w:id="963996270">
              <w:marLeft w:val="0"/>
              <w:marRight w:val="0"/>
              <w:marTop w:val="0"/>
              <w:marBottom w:val="0"/>
              <w:divBdr>
                <w:top w:val="none" w:sz="0" w:space="0" w:color="auto"/>
                <w:left w:val="none" w:sz="0" w:space="0" w:color="auto"/>
                <w:bottom w:val="none" w:sz="0" w:space="0" w:color="auto"/>
                <w:right w:val="none" w:sz="0" w:space="0" w:color="auto"/>
              </w:divBdr>
              <w:divsChild>
                <w:div w:id="482161692">
                  <w:marLeft w:val="0"/>
                  <w:marRight w:val="0"/>
                  <w:marTop w:val="0"/>
                  <w:marBottom w:val="0"/>
                  <w:divBdr>
                    <w:top w:val="none" w:sz="0" w:space="0" w:color="auto"/>
                    <w:left w:val="none" w:sz="0" w:space="0" w:color="auto"/>
                    <w:bottom w:val="none" w:sz="0" w:space="0" w:color="auto"/>
                    <w:right w:val="none" w:sz="0" w:space="0" w:color="auto"/>
                  </w:divBdr>
                  <w:divsChild>
                    <w:div w:id="1615404575">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952323607">
          <w:marLeft w:val="0"/>
          <w:marRight w:val="0"/>
          <w:marTop w:val="0"/>
          <w:marBottom w:val="0"/>
          <w:divBdr>
            <w:top w:val="none" w:sz="0" w:space="0" w:color="auto"/>
            <w:left w:val="none" w:sz="0" w:space="0" w:color="auto"/>
            <w:bottom w:val="none" w:sz="0" w:space="0" w:color="auto"/>
            <w:right w:val="none" w:sz="0" w:space="0" w:color="auto"/>
          </w:divBdr>
          <w:divsChild>
            <w:div w:id="1749156016">
              <w:marLeft w:val="0"/>
              <w:marRight w:val="0"/>
              <w:marTop w:val="0"/>
              <w:marBottom w:val="0"/>
              <w:divBdr>
                <w:top w:val="none" w:sz="0" w:space="0" w:color="auto"/>
                <w:left w:val="none" w:sz="0" w:space="0" w:color="auto"/>
                <w:bottom w:val="none" w:sz="0" w:space="0" w:color="auto"/>
                <w:right w:val="none" w:sz="0" w:space="0" w:color="auto"/>
              </w:divBdr>
              <w:divsChild>
                <w:div w:id="1609385528">
                  <w:marLeft w:val="0"/>
                  <w:marRight w:val="0"/>
                  <w:marTop w:val="0"/>
                  <w:marBottom w:val="0"/>
                  <w:divBdr>
                    <w:top w:val="none" w:sz="0" w:space="0" w:color="auto"/>
                    <w:left w:val="none" w:sz="0" w:space="0" w:color="auto"/>
                    <w:bottom w:val="none" w:sz="0" w:space="0" w:color="auto"/>
                    <w:right w:val="none" w:sz="0" w:space="0" w:color="auto"/>
                  </w:divBdr>
                  <w:divsChild>
                    <w:div w:id="106360175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863203631">
          <w:marLeft w:val="0"/>
          <w:marRight w:val="0"/>
          <w:marTop w:val="0"/>
          <w:marBottom w:val="0"/>
          <w:divBdr>
            <w:top w:val="none" w:sz="0" w:space="0" w:color="auto"/>
            <w:left w:val="none" w:sz="0" w:space="0" w:color="auto"/>
            <w:bottom w:val="none" w:sz="0" w:space="0" w:color="auto"/>
            <w:right w:val="none" w:sz="0" w:space="0" w:color="auto"/>
          </w:divBdr>
          <w:divsChild>
            <w:div w:id="1715614294">
              <w:marLeft w:val="0"/>
              <w:marRight w:val="0"/>
              <w:marTop w:val="0"/>
              <w:marBottom w:val="0"/>
              <w:divBdr>
                <w:top w:val="none" w:sz="0" w:space="0" w:color="auto"/>
                <w:left w:val="none" w:sz="0" w:space="0" w:color="auto"/>
                <w:bottom w:val="none" w:sz="0" w:space="0" w:color="auto"/>
                <w:right w:val="none" w:sz="0" w:space="0" w:color="auto"/>
              </w:divBdr>
              <w:divsChild>
                <w:div w:id="537593926">
                  <w:marLeft w:val="0"/>
                  <w:marRight w:val="0"/>
                  <w:marTop w:val="0"/>
                  <w:marBottom w:val="0"/>
                  <w:divBdr>
                    <w:top w:val="none" w:sz="0" w:space="0" w:color="auto"/>
                    <w:left w:val="none" w:sz="0" w:space="0" w:color="auto"/>
                    <w:bottom w:val="none" w:sz="0" w:space="0" w:color="auto"/>
                    <w:right w:val="none" w:sz="0" w:space="0" w:color="auto"/>
                  </w:divBdr>
                  <w:divsChild>
                    <w:div w:id="119048416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931428689">
          <w:marLeft w:val="0"/>
          <w:marRight w:val="0"/>
          <w:marTop w:val="0"/>
          <w:marBottom w:val="0"/>
          <w:divBdr>
            <w:top w:val="none" w:sz="0" w:space="0" w:color="auto"/>
            <w:left w:val="none" w:sz="0" w:space="0" w:color="auto"/>
            <w:bottom w:val="none" w:sz="0" w:space="0" w:color="auto"/>
            <w:right w:val="none" w:sz="0" w:space="0" w:color="auto"/>
          </w:divBdr>
          <w:divsChild>
            <w:div w:id="1685128409">
              <w:marLeft w:val="0"/>
              <w:marRight w:val="0"/>
              <w:marTop w:val="0"/>
              <w:marBottom w:val="0"/>
              <w:divBdr>
                <w:top w:val="none" w:sz="0" w:space="0" w:color="auto"/>
                <w:left w:val="none" w:sz="0" w:space="0" w:color="auto"/>
                <w:bottom w:val="none" w:sz="0" w:space="0" w:color="auto"/>
                <w:right w:val="none" w:sz="0" w:space="0" w:color="auto"/>
              </w:divBdr>
              <w:divsChild>
                <w:div w:id="2132476854">
                  <w:marLeft w:val="0"/>
                  <w:marRight w:val="0"/>
                  <w:marTop w:val="0"/>
                  <w:marBottom w:val="0"/>
                  <w:divBdr>
                    <w:top w:val="none" w:sz="0" w:space="0" w:color="auto"/>
                    <w:left w:val="none" w:sz="0" w:space="0" w:color="auto"/>
                    <w:bottom w:val="none" w:sz="0" w:space="0" w:color="auto"/>
                    <w:right w:val="none" w:sz="0" w:space="0" w:color="auto"/>
                  </w:divBdr>
                  <w:divsChild>
                    <w:div w:id="137214756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446343522">
          <w:marLeft w:val="0"/>
          <w:marRight w:val="0"/>
          <w:marTop w:val="0"/>
          <w:marBottom w:val="0"/>
          <w:divBdr>
            <w:top w:val="none" w:sz="0" w:space="0" w:color="auto"/>
            <w:left w:val="none" w:sz="0" w:space="0" w:color="auto"/>
            <w:bottom w:val="none" w:sz="0" w:space="0" w:color="auto"/>
            <w:right w:val="none" w:sz="0" w:space="0" w:color="auto"/>
          </w:divBdr>
          <w:divsChild>
            <w:div w:id="590628357">
              <w:marLeft w:val="0"/>
              <w:marRight w:val="0"/>
              <w:marTop w:val="0"/>
              <w:marBottom w:val="0"/>
              <w:divBdr>
                <w:top w:val="none" w:sz="0" w:space="0" w:color="auto"/>
                <w:left w:val="none" w:sz="0" w:space="0" w:color="auto"/>
                <w:bottom w:val="none" w:sz="0" w:space="0" w:color="auto"/>
                <w:right w:val="none" w:sz="0" w:space="0" w:color="auto"/>
              </w:divBdr>
              <w:divsChild>
                <w:div w:id="2047827719">
                  <w:marLeft w:val="0"/>
                  <w:marRight w:val="0"/>
                  <w:marTop w:val="0"/>
                  <w:marBottom w:val="0"/>
                  <w:divBdr>
                    <w:top w:val="none" w:sz="0" w:space="0" w:color="auto"/>
                    <w:left w:val="none" w:sz="0" w:space="0" w:color="auto"/>
                    <w:bottom w:val="none" w:sz="0" w:space="0" w:color="auto"/>
                    <w:right w:val="none" w:sz="0" w:space="0" w:color="auto"/>
                  </w:divBdr>
                  <w:divsChild>
                    <w:div w:id="93867437">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57624691">
          <w:marLeft w:val="0"/>
          <w:marRight w:val="0"/>
          <w:marTop w:val="0"/>
          <w:marBottom w:val="450"/>
          <w:divBdr>
            <w:top w:val="none" w:sz="0" w:space="0" w:color="auto"/>
            <w:left w:val="none" w:sz="0" w:space="0" w:color="auto"/>
            <w:bottom w:val="none" w:sz="0" w:space="0" w:color="auto"/>
            <w:right w:val="none" w:sz="0" w:space="0" w:color="auto"/>
          </w:divBdr>
          <w:divsChild>
            <w:div w:id="986323139">
              <w:marLeft w:val="0"/>
              <w:marRight w:val="0"/>
              <w:marTop w:val="0"/>
              <w:marBottom w:val="0"/>
              <w:divBdr>
                <w:top w:val="none" w:sz="0" w:space="0" w:color="auto"/>
                <w:left w:val="none" w:sz="0" w:space="0" w:color="auto"/>
                <w:bottom w:val="none" w:sz="0" w:space="0" w:color="auto"/>
                <w:right w:val="none" w:sz="0" w:space="0" w:color="auto"/>
              </w:divBdr>
              <w:divsChild>
                <w:div w:id="1855683067">
                  <w:marLeft w:val="0"/>
                  <w:marRight w:val="0"/>
                  <w:marTop w:val="0"/>
                  <w:marBottom w:val="0"/>
                  <w:divBdr>
                    <w:top w:val="none" w:sz="0" w:space="0" w:color="auto"/>
                    <w:left w:val="none" w:sz="0" w:space="0" w:color="auto"/>
                    <w:bottom w:val="none" w:sz="0" w:space="0" w:color="auto"/>
                    <w:right w:val="none" w:sz="0" w:space="0" w:color="auto"/>
                  </w:divBdr>
                  <w:divsChild>
                    <w:div w:id="45102329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1107624902">
      <w:bodyDiv w:val="1"/>
      <w:marLeft w:val="0"/>
      <w:marRight w:val="0"/>
      <w:marTop w:val="0"/>
      <w:marBottom w:val="0"/>
      <w:divBdr>
        <w:top w:val="none" w:sz="0" w:space="0" w:color="auto"/>
        <w:left w:val="none" w:sz="0" w:space="0" w:color="auto"/>
        <w:bottom w:val="none" w:sz="0" w:space="0" w:color="auto"/>
        <w:right w:val="none" w:sz="0" w:space="0" w:color="auto"/>
      </w:divBdr>
    </w:div>
    <w:div w:id="1245994901">
      <w:bodyDiv w:val="1"/>
      <w:marLeft w:val="0"/>
      <w:marRight w:val="0"/>
      <w:marTop w:val="0"/>
      <w:marBottom w:val="0"/>
      <w:divBdr>
        <w:top w:val="none" w:sz="0" w:space="0" w:color="auto"/>
        <w:left w:val="none" w:sz="0" w:space="0" w:color="auto"/>
        <w:bottom w:val="none" w:sz="0" w:space="0" w:color="auto"/>
        <w:right w:val="none" w:sz="0" w:space="0" w:color="auto"/>
      </w:divBdr>
    </w:div>
    <w:div w:id="1266693327">
      <w:bodyDiv w:val="1"/>
      <w:marLeft w:val="0"/>
      <w:marRight w:val="0"/>
      <w:marTop w:val="0"/>
      <w:marBottom w:val="0"/>
      <w:divBdr>
        <w:top w:val="none" w:sz="0" w:space="0" w:color="auto"/>
        <w:left w:val="none" w:sz="0" w:space="0" w:color="auto"/>
        <w:bottom w:val="none" w:sz="0" w:space="0" w:color="auto"/>
        <w:right w:val="none" w:sz="0" w:space="0" w:color="auto"/>
      </w:divBdr>
    </w:div>
    <w:div w:id="1322389077">
      <w:bodyDiv w:val="1"/>
      <w:marLeft w:val="0"/>
      <w:marRight w:val="0"/>
      <w:marTop w:val="0"/>
      <w:marBottom w:val="0"/>
      <w:divBdr>
        <w:top w:val="none" w:sz="0" w:space="0" w:color="auto"/>
        <w:left w:val="none" w:sz="0" w:space="0" w:color="auto"/>
        <w:bottom w:val="none" w:sz="0" w:space="0" w:color="auto"/>
        <w:right w:val="none" w:sz="0" w:space="0" w:color="auto"/>
      </w:divBdr>
    </w:div>
    <w:div w:id="1406875728">
      <w:bodyDiv w:val="1"/>
      <w:marLeft w:val="0"/>
      <w:marRight w:val="0"/>
      <w:marTop w:val="0"/>
      <w:marBottom w:val="0"/>
      <w:divBdr>
        <w:top w:val="none" w:sz="0" w:space="0" w:color="auto"/>
        <w:left w:val="none" w:sz="0" w:space="0" w:color="auto"/>
        <w:bottom w:val="none" w:sz="0" w:space="0" w:color="auto"/>
        <w:right w:val="none" w:sz="0" w:space="0" w:color="auto"/>
      </w:divBdr>
    </w:div>
    <w:div w:id="1416173289">
      <w:bodyDiv w:val="1"/>
      <w:marLeft w:val="0"/>
      <w:marRight w:val="0"/>
      <w:marTop w:val="0"/>
      <w:marBottom w:val="0"/>
      <w:divBdr>
        <w:top w:val="none" w:sz="0" w:space="0" w:color="auto"/>
        <w:left w:val="none" w:sz="0" w:space="0" w:color="auto"/>
        <w:bottom w:val="none" w:sz="0" w:space="0" w:color="auto"/>
        <w:right w:val="none" w:sz="0" w:space="0" w:color="auto"/>
      </w:divBdr>
    </w:div>
    <w:div w:id="1435977716">
      <w:bodyDiv w:val="1"/>
      <w:marLeft w:val="0"/>
      <w:marRight w:val="0"/>
      <w:marTop w:val="0"/>
      <w:marBottom w:val="0"/>
      <w:divBdr>
        <w:top w:val="none" w:sz="0" w:space="0" w:color="auto"/>
        <w:left w:val="none" w:sz="0" w:space="0" w:color="auto"/>
        <w:bottom w:val="none" w:sz="0" w:space="0" w:color="auto"/>
        <w:right w:val="none" w:sz="0" w:space="0" w:color="auto"/>
      </w:divBdr>
    </w:div>
    <w:div w:id="1524056463">
      <w:bodyDiv w:val="1"/>
      <w:marLeft w:val="0"/>
      <w:marRight w:val="0"/>
      <w:marTop w:val="0"/>
      <w:marBottom w:val="0"/>
      <w:divBdr>
        <w:top w:val="none" w:sz="0" w:space="0" w:color="auto"/>
        <w:left w:val="none" w:sz="0" w:space="0" w:color="auto"/>
        <w:bottom w:val="none" w:sz="0" w:space="0" w:color="auto"/>
        <w:right w:val="none" w:sz="0" w:space="0" w:color="auto"/>
      </w:divBdr>
    </w:div>
    <w:div w:id="1533573564">
      <w:bodyDiv w:val="1"/>
      <w:marLeft w:val="0"/>
      <w:marRight w:val="0"/>
      <w:marTop w:val="0"/>
      <w:marBottom w:val="0"/>
      <w:divBdr>
        <w:top w:val="none" w:sz="0" w:space="0" w:color="auto"/>
        <w:left w:val="none" w:sz="0" w:space="0" w:color="auto"/>
        <w:bottom w:val="none" w:sz="0" w:space="0" w:color="auto"/>
        <w:right w:val="none" w:sz="0" w:space="0" w:color="auto"/>
      </w:divBdr>
    </w:div>
    <w:div w:id="1535313676">
      <w:bodyDiv w:val="1"/>
      <w:marLeft w:val="0"/>
      <w:marRight w:val="0"/>
      <w:marTop w:val="0"/>
      <w:marBottom w:val="0"/>
      <w:divBdr>
        <w:top w:val="none" w:sz="0" w:space="0" w:color="auto"/>
        <w:left w:val="none" w:sz="0" w:space="0" w:color="auto"/>
        <w:bottom w:val="none" w:sz="0" w:space="0" w:color="auto"/>
        <w:right w:val="none" w:sz="0" w:space="0" w:color="auto"/>
      </w:divBdr>
    </w:div>
    <w:div w:id="1706178412">
      <w:bodyDiv w:val="1"/>
      <w:marLeft w:val="0"/>
      <w:marRight w:val="0"/>
      <w:marTop w:val="0"/>
      <w:marBottom w:val="0"/>
      <w:divBdr>
        <w:top w:val="none" w:sz="0" w:space="0" w:color="auto"/>
        <w:left w:val="none" w:sz="0" w:space="0" w:color="auto"/>
        <w:bottom w:val="none" w:sz="0" w:space="0" w:color="auto"/>
        <w:right w:val="none" w:sz="0" w:space="0" w:color="auto"/>
      </w:divBdr>
    </w:div>
    <w:div w:id="1856264396">
      <w:bodyDiv w:val="1"/>
      <w:marLeft w:val="0"/>
      <w:marRight w:val="0"/>
      <w:marTop w:val="0"/>
      <w:marBottom w:val="0"/>
      <w:divBdr>
        <w:top w:val="none" w:sz="0" w:space="0" w:color="auto"/>
        <w:left w:val="none" w:sz="0" w:space="0" w:color="auto"/>
        <w:bottom w:val="none" w:sz="0" w:space="0" w:color="auto"/>
        <w:right w:val="none" w:sz="0" w:space="0" w:color="auto"/>
      </w:divBdr>
    </w:div>
    <w:div w:id="1858886465">
      <w:bodyDiv w:val="1"/>
      <w:marLeft w:val="0"/>
      <w:marRight w:val="0"/>
      <w:marTop w:val="0"/>
      <w:marBottom w:val="0"/>
      <w:divBdr>
        <w:top w:val="none" w:sz="0" w:space="0" w:color="auto"/>
        <w:left w:val="none" w:sz="0" w:space="0" w:color="auto"/>
        <w:bottom w:val="none" w:sz="0" w:space="0" w:color="auto"/>
        <w:right w:val="none" w:sz="0" w:space="0" w:color="auto"/>
      </w:divBdr>
    </w:div>
    <w:div w:id="1920282674">
      <w:bodyDiv w:val="1"/>
      <w:marLeft w:val="0"/>
      <w:marRight w:val="0"/>
      <w:marTop w:val="0"/>
      <w:marBottom w:val="0"/>
      <w:divBdr>
        <w:top w:val="none" w:sz="0" w:space="0" w:color="auto"/>
        <w:left w:val="none" w:sz="0" w:space="0" w:color="auto"/>
        <w:bottom w:val="none" w:sz="0" w:space="0" w:color="auto"/>
        <w:right w:val="none" w:sz="0" w:space="0" w:color="auto"/>
      </w:divBdr>
    </w:div>
    <w:div w:id="1963464357">
      <w:bodyDiv w:val="1"/>
      <w:marLeft w:val="0"/>
      <w:marRight w:val="0"/>
      <w:marTop w:val="0"/>
      <w:marBottom w:val="0"/>
      <w:divBdr>
        <w:top w:val="none" w:sz="0" w:space="0" w:color="auto"/>
        <w:left w:val="none" w:sz="0" w:space="0" w:color="auto"/>
        <w:bottom w:val="none" w:sz="0" w:space="0" w:color="auto"/>
        <w:right w:val="none" w:sz="0" w:space="0" w:color="auto"/>
      </w:divBdr>
    </w:div>
    <w:div w:id="1968464907">
      <w:bodyDiv w:val="1"/>
      <w:marLeft w:val="0"/>
      <w:marRight w:val="0"/>
      <w:marTop w:val="0"/>
      <w:marBottom w:val="0"/>
      <w:divBdr>
        <w:top w:val="none" w:sz="0" w:space="0" w:color="auto"/>
        <w:left w:val="none" w:sz="0" w:space="0" w:color="auto"/>
        <w:bottom w:val="none" w:sz="0" w:space="0" w:color="auto"/>
        <w:right w:val="none" w:sz="0" w:space="0" w:color="auto"/>
      </w:divBdr>
    </w:div>
    <w:div w:id="1972706581">
      <w:bodyDiv w:val="1"/>
      <w:marLeft w:val="0"/>
      <w:marRight w:val="0"/>
      <w:marTop w:val="0"/>
      <w:marBottom w:val="0"/>
      <w:divBdr>
        <w:top w:val="none" w:sz="0" w:space="0" w:color="auto"/>
        <w:left w:val="none" w:sz="0" w:space="0" w:color="auto"/>
        <w:bottom w:val="none" w:sz="0" w:space="0" w:color="auto"/>
        <w:right w:val="none" w:sz="0" w:space="0" w:color="auto"/>
      </w:divBdr>
    </w:div>
    <w:div w:id="1973752885">
      <w:bodyDiv w:val="1"/>
      <w:marLeft w:val="0"/>
      <w:marRight w:val="0"/>
      <w:marTop w:val="0"/>
      <w:marBottom w:val="0"/>
      <w:divBdr>
        <w:top w:val="none" w:sz="0" w:space="0" w:color="auto"/>
        <w:left w:val="none" w:sz="0" w:space="0" w:color="auto"/>
        <w:bottom w:val="none" w:sz="0" w:space="0" w:color="auto"/>
        <w:right w:val="none" w:sz="0" w:space="0" w:color="auto"/>
      </w:divBdr>
    </w:div>
    <w:div w:id="1982346783">
      <w:bodyDiv w:val="1"/>
      <w:marLeft w:val="0"/>
      <w:marRight w:val="0"/>
      <w:marTop w:val="0"/>
      <w:marBottom w:val="0"/>
      <w:divBdr>
        <w:top w:val="none" w:sz="0" w:space="0" w:color="auto"/>
        <w:left w:val="none" w:sz="0" w:space="0" w:color="auto"/>
        <w:bottom w:val="none" w:sz="0" w:space="0" w:color="auto"/>
        <w:right w:val="none" w:sz="0" w:space="0" w:color="auto"/>
      </w:divBdr>
    </w:div>
    <w:div w:id="2017069403">
      <w:bodyDiv w:val="1"/>
      <w:marLeft w:val="0"/>
      <w:marRight w:val="0"/>
      <w:marTop w:val="0"/>
      <w:marBottom w:val="0"/>
      <w:divBdr>
        <w:top w:val="none" w:sz="0" w:space="0" w:color="auto"/>
        <w:left w:val="none" w:sz="0" w:space="0" w:color="auto"/>
        <w:bottom w:val="none" w:sz="0" w:space="0" w:color="auto"/>
        <w:right w:val="none" w:sz="0" w:space="0" w:color="auto"/>
      </w:divBdr>
    </w:div>
    <w:div w:id="2037658328">
      <w:bodyDiv w:val="1"/>
      <w:marLeft w:val="0"/>
      <w:marRight w:val="0"/>
      <w:marTop w:val="0"/>
      <w:marBottom w:val="0"/>
      <w:divBdr>
        <w:top w:val="none" w:sz="0" w:space="0" w:color="auto"/>
        <w:left w:val="none" w:sz="0" w:space="0" w:color="auto"/>
        <w:bottom w:val="none" w:sz="0" w:space="0" w:color="auto"/>
        <w:right w:val="none" w:sz="0" w:space="0" w:color="auto"/>
      </w:divBdr>
    </w:div>
    <w:div w:id="208236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Clients\Nagarro\Templates\Solution%20Approach%20Template%20v%20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523F0-A457-4E04-B153-36B368C86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Solution Approach Template v 0.2.dotx</Template>
  <TotalTime>369</TotalTime>
  <Pages>28</Pages>
  <Words>7770</Words>
  <Characters>44292</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YCompany – eClaims</vt:lpstr>
    </vt:vector>
  </TitlesOfParts>
  <Company>Nagarro Software Pvt. Ltd.</Company>
  <LinksUpToDate>false</LinksUpToDate>
  <CharactersWithSpaces>51959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YCompany – eClaims</dc:title>
  <dc:subject>DAR Document – Container Orchestrator (Amazon ECS vs Amazon EKS)</dc:subject>
  <dc:creator>Utsav Verma</dc:creator>
  <cp:keywords>eClaims; DAR; Amazon ECS; Amazon EKS; AWS Fargate; container orchestration</cp:keywords>
  <cp:lastModifiedBy>Utsav Verma</cp:lastModifiedBy>
  <cp:revision>173</cp:revision>
  <cp:lastPrinted>2014-05-22T16:26:00Z</cp:lastPrinted>
  <dcterms:created xsi:type="dcterms:W3CDTF">2018-03-21T10:29:00Z</dcterms:created>
  <dcterms:modified xsi:type="dcterms:W3CDTF">2026-10-29T19:17:00Z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7ffb40b16d93be26db4924291c327452430c5528df45a39441a2dac1d20155dd</vt:lpwstr>
  </property>
</Properties>
</file>