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BB481" w14:textId="0362D5C9" w:rsidR="00B34A7F" w:rsidRPr="00E03766" w:rsidRDefault="00B34A7F">
      <w:pPr>
        <w:rPr>
          <w:b/>
          <w:bCs/>
        </w:rPr>
      </w:pPr>
      <w:r w:rsidRPr="00E03766">
        <w:rPr>
          <w:b/>
          <w:bCs/>
        </w:rPr>
        <w:t>SURGE-</w:t>
      </w:r>
      <w:proofErr w:type="spellStart"/>
      <w:r w:rsidRPr="00E03766">
        <w:rPr>
          <w:b/>
          <w:bCs/>
        </w:rPr>
        <w:t>Ahead</w:t>
      </w:r>
      <w:proofErr w:type="spellEnd"/>
      <w:r w:rsidRPr="00E03766">
        <w:rPr>
          <w:b/>
          <w:bCs/>
        </w:rPr>
        <w:t xml:space="preserve"> DOKIE - Dokumente für Ethikantrag</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5954"/>
        <w:gridCol w:w="1843"/>
        <w:gridCol w:w="1275"/>
      </w:tblGrid>
      <w:tr w:rsidR="00A17EBB" w:rsidRPr="00A17EBB" w14:paraId="0C523DF9" w14:textId="77777777" w:rsidTr="00165100">
        <w:tc>
          <w:tcPr>
            <w:tcW w:w="562" w:type="dxa"/>
            <w:tcBorders>
              <w:top w:val="single" w:sz="4" w:space="0" w:color="auto"/>
              <w:left w:val="single" w:sz="4" w:space="0" w:color="auto"/>
              <w:bottom w:val="single" w:sz="4" w:space="0" w:color="auto"/>
              <w:right w:val="single" w:sz="4" w:space="0" w:color="auto"/>
            </w:tcBorders>
            <w:hideMark/>
          </w:tcPr>
          <w:p w14:paraId="5D555455" w14:textId="77777777" w:rsidR="00A17EBB" w:rsidRPr="00A17EBB" w:rsidRDefault="00A17EBB" w:rsidP="00FB5364">
            <w:pPr>
              <w:spacing w:after="0" w:line="240" w:lineRule="auto"/>
              <w:rPr>
                <w:rFonts w:cs="Arial"/>
                <w:sz w:val="20"/>
                <w:szCs w:val="20"/>
              </w:rPr>
            </w:pPr>
            <w:r w:rsidRPr="00A17EBB">
              <w:rPr>
                <w:rFonts w:cs="Arial"/>
                <w:sz w:val="20"/>
                <w:szCs w:val="20"/>
              </w:rPr>
              <w:t>Nr.</w:t>
            </w:r>
          </w:p>
        </w:tc>
        <w:tc>
          <w:tcPr>
            <w:tcW w:w="5954" w:type="dxa"/>
            <w:tcBorders>
              <w:top w:val="single" w:sz="4" w:space="0" w:color="auto"/>
              <w:left w:val="single" w:sz="4" w:space="0" w:color="auto"/>
              <w:bottom w:val="single" w:sz="4" w:space="0" w:color="auto"/>
              <w:right w:val="single" w:sz="4" w:space="0" w:color="auto"/>
            </w:tcBorders>
            <w:hideMark/>
          </w:tcPr>
          <w:p w14:paraId="2D911F71" w14:textId="77777777" w:rsidR="00A17EBB" w:rsidRPr="00A17EBB" w:rsidRDefault="00A17EBB" w:rsidP="00FB5364">
            <w:pPr>
              <w:spacing w:after="0" w:line="240" w:lineRule="auto"/>
              <w:rPr>
                <w:rFonts w:cs="Arial"/>
                <w:sz w:val="20"/>
                <w:szCs w:val="20"/>
              </w:rPr>
            </w:pPr>
            <w:r w:rsidRPr="00A17EBB">
              <w:rPr>
                <w:rFonts w:cs="Arial"/>
                <w:sz w:val="20"/>
                <w:szCs w:val="20"/>
              </w:rPr>
              <w:t>Dokument</w:t>
            </w:r>
          </w:p>
        </w:tc>
        <w:tc>
          <w:tcPr>
            <w:tcW w:w="1843" w:type="dxa"/>
            <w:tcBorders>
              <w:top w:val="single" w:sz="4" w:space="0" w:color="auto"/>
              <w:left w:val="single" w:sz="4" w:space="0" w:color="auto"/>
              <w:bottom w:val="single" w:sz="4" w:space="0" w:color="auto"/>
              <w:right w:val="single" w:sz="4" w:space="0" w:color="auto"/>
            </w:tcBorders>
            <w:hideMark/>
          </w:tcPr>
          <w:p w14:paraId="336FEE5F" w14:textId="77777777" w:rsidR="00A17EBB" w:rsidRPr="00A17EBB" w:rsidRDefault="00A17EBB" w:rsidP="00FB5364">
            <w:pPr>
              <w:spacing w:after="0" w:line="240" w:lineRule="auto"/>
              <w:rPr>
                <w:rFonts w:cs="Arial"/>
                <w:sz w:val="20"/>
                <w:szCs w:val="20"/>
              </w:rPr>
            </w:pPr>
            <w:r w:rsidRPr="00A17EBB">
              <w:rPr>
                <w:rFonts w:cs="Arial"/>
                <w:sz w:val="20"/>
                <w:szCs w:val="20"/>
              </w:rPr>
              <w:t>Status</w:t>
            </w:r>
          </w:p>
        </w:tc>
        <w:tc>
          <w:tcPr>
            <w:tcW w:w="1275" w:type="dxa"/>
            <w:tcBorders>
              <w:top w:val="single" w:sz="4" w:space="0" w:color="auto"/>
              <w:left w:val="single" w:sz="4" w:space="0" w:color="auto"/>
              <w:bottom w:val="single" w:sz="4" w:space="0" w:color="auto"/>
              <w:right w:val="single" w:sz="4" w:space="0" w:color="auto"/>
            </w:tcBorders>
            <w:hideMark/>
          </w:tcPr>
          <w:p w14:paraId="68186E74" w14:textId="77777777" w:rsidR="00A17EBB" w:rsidRPr="00A17EBB" w:rsidRDefault="00A17EBB" w:rsidP="00FB5364">
            <w:pPr>
              <w:spacing w:after="0" w:line="240" w:lineRule="auto"/>
              <w:rPr>
                <w:rFonts w:cs="Arial"/>
                <w:sz w:val="20"/>
                <w:szCs w:val="20"/>
              </w:rPr>
            </w:pPr>
            <w:r w:rsidRPr="00A17EBB">
              <w:rPr>
                <w:rFonts w:cs="Arial"/>
                <w:sz w:val="20"/>
                <w:szCs w:val="20"/>
              </w:rPr>
              <w:t>zust.</w:t>
            </w:r>
          </w:p>
        </w:tc>
      </w:tr>
      <w:tr w:rsidR="00A17EBB" w:rsidRPr="00A17EBB" w14:paraId="15AC5F69" w14:textId="77777777" w:rsidTr="00165100">
        <w:tc>
          <w:tcPr>
            <w:tcW w:w="562" w:type="dxa"/>
            <w:tcBorders>
              <w:top w:val="single" w:sz="4" w:space="0" w:color="auto"/>
              <w:left w:val="single" w:sz="4" w:space="0" w:color="auto"/>
              <w:bottom w:val="nil"/>
              <w:right w:val="single" w:sz="4" w:space="0" w:color="auto"/>
            </w:tcBorders>
            <w:hideMark/>
          </w:tcPr>
          <w:p w14:paraId="4A20272A" w14:textId="77777777" w:rsidR="00A17EBB" w:rsidRPr="00A17EBB" w:rsidRDefault="00A17EBB" w:rsidP="00FB5364">
            <w:pPr>
              <w:spacing w:after="0" w:line="240" w:lineRule="auto"/>
              <w:rPr>
                <w:rFonts w:cs="Arial"/>
                <w:sz w:val="20"/>
                <w:szCs w:val="20"/>
              </w:rPr>
            </w:pPr>
            <w:bookmarkStart w:id="0" w:name="_Hlk71546709"/>
            <w:bookmarkStart w:id="1" w:name="_Hlk71548242"/>
            <w:r w:rsidRPr="00A17EBB">
              <w:rPr>
                <w:rFonts w:cs="Arial"/>
                <w:sz w:val="20"/>
                <w:szCs w:val="20"/>
              </w:rPr>
              <w:t>1.</w:t>
            </w:r>
          </w:p>
        </w:tc>
        <w:tc>
          <w:tcPr>
            <w:tcW w:w="5954" w:type="dxa"/>
            <w:tcBorders>
              <w:top w:val="single" w:sz="4" w:space="0" w:color="auto"/>
              <w:left w:val="single" w:sz="4" w:space="0" w:color="auto"/>
              <w:bottom w:val="nil"/>
              <w:right w:val="single" w:sz="4" w:space="0" w:color="auto"/>
            </w:tcBorders>
            <w:hideMark/>
          </w:tcPr>
          <w:p w14:paraId="4E8B4874" w14:textId="77777777" w:rsidR="00A17EBB" w:rsidRPr="00A17EBB" w:rsidRDefault="00A17EBB" w:rsidP="00FB5364">
            <w:pPr>
              <w:spacing w:after="0" w:line="240" w:lineRule="auto"/>
              <w:rPr>
                <w:rFonts w:cs="Arial"/>
                <w:sz w:val="20"/>
                <w:szCs w:val="20"/>
              </w:rPr>
            </w:pPr>
            <w:r w:rsidRPr="00A17EBB">
              <w:rPr>
                <w:rFonts w:cs="Arial"/>
                <w:sz w:val="20"/>
                <w:szCs w:val="20"/>
              </w:rPr>
              <w:t>Prüfplan, Anhang XV, Kap. II 3. MDR</w:t>
            </w:r>
          </w:p>
        </w:tc>
        <w:tc>
          <w:tcPr>
            <w:tcW w:w="1843" w:type="dxa"/>
            <w:tcBorders>
              <w:top w:val="single" w:sz="4" w:space="0" w:color="auto"/>
              <w:left w:val="single" w:sz="4" w:space="0" w:color="auto"/>
              <w:bottom w:val="nil"/>
              <w:right w:val="single" w:sz="4" w:space="0" w:color="auto"/>
            </w:tcBorders>
            <w:hideMark/>
          </w:tcPr>
          <w:p w14:paraId="50676DF2" w14:textId="77777777" w:rsidR="00A17EBB" w:rsidRPr="00A17EBB" w:rsidRDefault="00A17EBB" w:rsidP="00FB5364">
            <w:pPr>
              <w:spacing w:after="0" w:line="240" w:lineRule="auto"/>
              <w:rPr>
                <w:rFonts w:cs="Arial"/>
                <w:sz w:val="20"/>
                <w:szCs w:val="20"/>
              </w:rPr>
            </w:pPr>
            <w:r w:rsidRPr="00A17EBB">
              <w:rPr>
                <w:rFonts w:cs="Arial"/>
                <w:sz w:val="20"/>
                <w:szCs w:val="20"/>
              </w:rPr>
              <w:t>fortgeschritten</w:t>
            </w:r>
          </w:p>
        </w:tc>
        <w:tc>
          <w:tcPr>
            <w:tcW w:w="1275" w:type="dxa"/>
            <w:tcBorders>
              <w:top w:val="single" w:sz="4" w:space="0" w:color="auto"/>
              <w:left w:val="single" w:sz="4" w:space="0" w:color="auto"/>
              <w:bottom w:val="nil"/>
              <w:right w:val="single" w:sz="4" w:space="0" w:color="auto"/>
            </w:tcBorders>
            <w:hideMark/>
          </w:tcPr>
          <w:p w14:paraId="2AF1B4A8" w14:textId="77777777" w:rsidR="00A17EBB" w:rsidRPr="00A17EBB" w:rsidRDefault="00A17EBB" w:rsidP="00FB5364">
            <w:pPr>
              <w:spacing w:after="0" w:line="240" w:lineRule="auto"/>
              <w:rPr>
                <w:rFonts w:cs="Arial"/>
                <w:sz w:val="20"/>
                <w:szCs w:val="20"/>
              </w:rPr>
            </w:pPr>
            <w:r w:rsidRPr="00A17EBB">
              <w:rPr>
                <w:rFonts w:cs="Arial"/>
                <w:sz w:val="20"/>
                <w:szCs w:val="20"/>
              </w:rPr>
              <w:t>SB, CL</w:t>
            </w:r>
          </w:p>
        </w:tc>
      </w:tr>
      <w:tr w:rsidR="00A17EBB" w:rsidRPr="00A17EBB" w14:paraId="6916990C"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17AF4BF3" w14:textId="77777777" w:rsidR="00A17EBB" w:rsidRPr="00A17EBB" w:rsidRDefault="00A17EBB" w:rsidP="00FB5364">
            <w:pPr>
              <w:spacing w:after="0" w:line="240" w:lineRule="auto"/>
              <w:rPr>
                <w:rFonts w:cs="Arial"/>
                <w:sz w:val="20"/>
                <w:szCs w:val="20"/>
              </w:rPr>
            </w:pPr>
            <w:r w:rsidRPr="00A17EBB">
              <w:rPr>
                <w:rFonts w:cs="Arial"/>
                <w:sz w:val="20"/>
                <w:szCs w:val="20"/>
              </w:rPr>
              <w:t>2.</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3B015EDA" w14:textId="77777777" w:rsidR="00A17EBB" w:rsidRPr="00A17EBB" w:rsidRDefault="00A17EBB" w:rsidP="00FB5364">
            <w:pPr>
              <w:spacing w:after="0" w:line="240" w:lineRule="auto"/>
              <w:rPr>
                <w:rFonts w:cs="Arial"/>
                <w:sz w:val="20"/>
                <w:szCs w:val="20"/>
              </w:rPr>
            </w:pPr>
            <w:r w:rsidRPr="00A17EBB">
              <w:rPr>
                <w:rFonts w:cs="Arial"/>
                <w:sz w:val="20"/>
                <w:szCs w:val="20"/>
              </w:rPr>
              <w:t>Handbuch des klinischen Prüfers, Anhang XV, Kap. II 2. MDR</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3EA0A62A" w14:textId="77777777" w:rsidR="00A17EBB" w:rsidRPr="00A17EBB" w:rsidRDefault="00A17EBB" w:rsidP="00FB5364">
            <w:pPr>
              <w:spacing w:after="0" w:line="240" w:lineRule="auto"/>
              <w:rPr>
                <w:rFonts w:cs="Arial"/>
                <w:sz w:val="20"/>
                <w:szCs w:val="20"/>
              </w:rPr>
            </w:pPr>
            <w:r w:rsidRPr="00A17EBB">
              <w:rPr>
                <w:rFonts w:cs="Arial"/>
                <w:sz w:val="20"/>
                <w:szCs w:val="20"/>
              </w:rPr>
              <w:t>fehlt</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34137259" w14:textId="77777777" w:rsidR="00A17EBB" w:rsidRPr="00A17EBB" w:rsidRDefault="00A17EBB" w:rsidP="00FB5364">
            <w:pPr>
              <w:spacing w:after="0" w:line="240" w:lineRule="auto"/>
              <w:rPr>
                <w:rFonts w:cs="Arial"/>
                <w:sz w:val="20"/>
                <w:szCs w:val="20"/>
              </w:rPr>
            </w:pPr>
            <w:r w:rsidRPr="00A17EBB">
              <w:rPr>
                <w:rFonts w:cs="Arial"/>
                <w:sz w:val="20"/>
                <w:szCs w:val="20"/>
              </w:rPr>
              <w:t>ggf. KF</w:t>
            </w:r>
          </w:p>
        </w:tc>
      </w:tr>
      <w:tr w:rsidR="00A17EBB" w:rsidRPr="00A17EBB" w14:paraId="2D39DDFD" w14:textId="77777777" w:rsidTr="00165100">
        <w:tc>
          <w:tcPr>
            <w:tcW w:w="562" w:type="dxa"/>
            <w:tcBorders>
              <w:top w:val="single" w:sz="4" w:space="0" w:color="auto"/>
              <w:left w:val="single" w:sz="4" w:space="0" w:color="auto"/>
              <w:bottom w:val="single" w:sz="4" w:space="0" w:color="auto"/>
              <w:right w:val="single" w:sz="4" w:space="0" w:color="auto"/>
            </w:tcBorders>
            <w:hideMark/>
          </w:tcPr>
          <w:p w14:paraId="22FA3D99" w14:textId="77777777" w:rsidR="00A17EBB" w:rsidRPr="00A17EBB" w:rsidRDefault="00A17EBB" w:rsidP="00FB5364">
            <w:pPr>
              <w:spacing w:after="0" w:line="240" w:lineRule="auto"/>
              <w:rPr>
                <w:rFonts w:cs="Arial"/>
                <w:sz w:val="20"/>
                <w:szCs w:val="20"/>
              </w:rPr>
            </w:pPr>
            <w:r w:rsidRPr="00A17EBB">
              <w:rPr>
                <w:rFonts w:cs="Arial"/>
                <w:sz w:val="20"/>
                <w:szCs w:val="20"/>
              </w:rPr>
              <w:t>3.</w:t>
            </w:r>
          </w:p>
        </w:tc>
        <w:tc>
          <w:tcPr>
            <w:tcW w:w="5954" w:type="dxa"/>
            <w:tcBorders>
              <w:top w:val="single" w:sz="4" w:space="0" w:color="auto"/>
              <w:left w:val="single" w:sz="4" w:space="0" w:color="auto"/>
              <w:bottom w:val="single" w:sz="4" w:space="0" w:color="auto"/>
              <w:right w:val="single" w:sz="4" w:space="0" w:color="auto"/>
            </w:tcBorders>
            <w:hideMark/>
          </w:tcPr>
          <w:p w14:paraId="7519E10F" w14:textId="77777777" w:rsidR="00A17EBB" w:rsidRPr="00A17EBB" w:rsidRDefault="00A17EBB" w:rsidP="00FB5364">
            <w:pPr>
              <w:spacing w:after="0" w:line="240" w:lineRule="auto"/>
              <w:rPr>
                <w:rFonts w:cs="Arial"/>
                <w:sz w:val="20"/>
                <w:szCs w:val="20"/>
              </w:rPr>
            </w:pPr>
            <w:r w:rsidRPr="00A17EBB">
              <w:rPr>
                <w:rFonts w:cs="Arial"/>
                <w:sz w:val="20"/>
                <w:szCs w:val="20"/>
              </w:rPr>
              <w:t>Synopse des Prüfplans in Deutsch, Anhang XV Kap. II 1.11. MDR</w:t>
            </w:r>
          </w:p>
          <w:p w14:paraId="7CDBEB6A" w14:textId="77777777" w:rsidR="00A17EBB" w:rsidRPr="00A17EBB" w:rsidRDefault="00A17EBB" w:rsidP="00FB5364">
            <w:pPr>
              <w:spacing w:after="0" w:line="240" w:lineRule="auto"/>
              <w:rPr>
                <w:rFonts w:cs="Arial"/>
                <w:sz w:val="20"/>
                <w:szCs w:val="20"/>
              </w:rPr>
            </w:pPr>
            <w:r w:rsidRPr="00A17EBB">
              <w:rPr>
                <w:rFonts w:cs="Arial"/>
                <w:sz w:val="20"/>
                <w:szCs w:val="20"/>
              </w:rPr>
              <w:t>Zusammenfassung des klinischen Prüfplans einschließlich des Ziels bzw. der Ziele der klinischen Prüfung, der Anzahl und des Geschlechts der Prüfungsteilnehmer, der Kriterien für die Auswahl der Prüfungsteilnehmer, der Angabe, ob es Prüfungsteilnehmer unter 18 Jahren gibt, der Konzeption der Prüfung wie zum Beispiel die Angabe, ob es sich um eine kontrollierte und /oder randomisierte Studie handelt, und der geplanten Anfangs- und Abschlussdaten für die klinische Prüfung.</w:t>
            </w:r>
          </w:p>
        </w:tc>
        <w:tc>
          <w:tcPr>
            <w:tcW w:w="1843" w:type="dxa"/>
            <w:tcBorders>
              <w:top w:val="single" w:sz="4" w:space="0" w:color="auto"/>
              <w:left w:val="single" w:sz="4" w:space="0" w:color="auto"/>
              <w:bottom w:val="single" w:sz="4" w:space="0" w:color="auto"/>
              <w:right w:val="single" w:sz="4" w:space="0" w:color="auto"/>
            </w:tcBorders>
            <w:hideMark/>
          </w:tcPr>
          <w:p w14:paraId="1BE3422A" w14:textId="77777777" w:rsidR="00A17EBB" w:rsidRPr="00A17EBB" w:rsidRDefault="00A17EBB" w:rsidP="00FB5364">
            <w:pPr>
              <w:spacing w:after="0" w:line="240" w:lineRule="auto"/>
              <w:rPr>
                <w:rFonts w:cs="Arial"/>
                <w:sz w:val="20"/>
                <w:szCs w:val="20"/>
              </w:rPr>
            </w:pPr>
            <w:r w:rsidRPr="00A17EBB">
              <w:rPr>
                <w:rFonts w:cs="Arial"/>
                <w:sz w:val="20"/>
                <w:szCs w:val="20"/>
              </w:rPr>
              <w:t>Entwurf vorhanden</w:t>
            </w:r>
          </w:p>
        </w:tc>
        <w:tc>
          <w:tcPr>
            <w:tcW w:w="1275" w:type="dxa"/>
            <w:tcBorders>
              <w:top w:val="single" w:sz="4" w:space="0" w:color="auto"/>
              <w:left w:val="single" w:sz="4" w:space="0" w:color="auto"/>
              <w:bottom w:val="single" w:sz="4" w:space="0" w:color="auto"/>
              <w:right w:val="single" w:sz="4" w:space="0" w:color="auto"/>
            </w:tcBorders>
          </w:tcPr>
          <w:p w14:paraId="786DF416" w14:textId="77777777" w:rsidR="00A17EBB" w:rsidRPr="00A17EBB" w:rsidRDefault="00A17EBB" w:rsidP="00FB5364">
            <w:pPr>
              <w:spacing w:after="0" w:line="240" w:lineRule="auto"/>
              <w:rPr>
                <w:rFonts w:cs="Arial"/>
                <w:sz w:val="20"/>
                <w:szCs w:val="20"/>
              </w:rPr>
            </w:pPr>
          </w:p>
        </w:tc>
      </w:tr>
      <w:tr w:rsidR="00A17EBB" w:rsidRPr="00A17EBB" w14:paraId="76EBB798" w14:textId="77777777" w:rsidTr="00165100">
        <w:trPr>
          <w:trHeight w:val="1126"/>
        </w:trPr>
        <w:tc>
          <w:tcPr>
            <w:tcW w:w="562" w:type="dxa"/>
            <w:tcBorders>
              <w:top w:val="single" w:sz="4" w:space="0" w:color="auto"/>
              <w:left w:val="single" w:sz="4" w:space="0" w:color="auto"/>
              <w:bottom w:val="nil"/>
              <w:right w:val="single" w:sz="4" w:space="0" w:color="auto"/>
            </w:tcBorders>
            <w:hideMark/>
          </w:tcPr>
          <w:p w14:paraId="2005FF44" w14:textId="77777777" w:rsidR="00A17EBB" w:rsidRPr="00A17EBB" w:rsidRDefault="00A17EBB" w:rsidP="00FB5364">
            <w:pPr>
              <w:spacing w:after="0" w:line="240" w:lineRule="auto"/>
              <w:rPr>
                <w:rFonts w:cs="Arial"/>
                <w:sz w:val="20"/>
                <w:szCs w:val="20"/>
              </w:rPr>
            </w:pPr>
            <w:r w:rsidRPr="00A17EBB">
              <w:rPr>
                <w:rFonts w:cs="Arial"/>
                <w:sz w:val="20"/>
                <w:szCs w:val="20"/>
              </w:rPr>
              <w:t>4.</w:t>
            </w:r>
          </w:p>
        </w:tc>
        <w:tc>
          <w:tcPr>
            <w:tcW w:w="5954" w:type="dxa"/>
            <w:tcBorders>
              <w:top w:val="single" w:sz="4" w:space="0" w:color="auto"/>
              <w:left w:val="single" w:sz="4" w:space="0" w:color="auto"/>
              <w:bottom w:val="nil"/>
              <w:right w:val="single" w:sz="4" w:space="0" w:color="auto"/>
            </w:tcBorders>
            <w:hideMark/>
          </w:tcPr>
          <w:p w14:paraId="211E8AB4" w14:textId="77777777" w:rsidR="00A17EBB" w:rsidRPr="00A17EBB" w:rsidRDefault="00A17EBB" w:rsidP="00FB5364">
            <w:pPr>
              <w:spacing w:after="0" w:line="240" w:lineRule="auto"/>
              <w:rPr>
                <w:rFonts w:cs="Arial"/>
                <w:sz w:val="20"/>
                <w:szCs w:val="20"/>
              </w:rPr>
            </w:pPr>
            <w:r w:rsidRPr="00A17EBB">
              <w:rPr>
                <w:rFonts w:cs="Arial"/>
                <w:sz w:val="20"/>
                <w:szCs w:val="20"/>
              </w:rPr>
              <w:t xml:space="preserve">Beschreibung der Prozedur/Untersuchungsmethoden, Anhang XV Kap. II 2.8. MDR </w:t>
            </w:r>
          </w:p>
          <w:p w14:paraId="2BBBDB4E" w14:textId="77777777" w:rsidR="00A17EBB" w:rsidRPr="00A17EBB" w:rsidRDefault="00A17EBB" w:rsidP="00FB5364">
            <w:pPr>
              <w:spacing w:after="0" w:line="240" w:lineRule="auto"/>
              <w:rPr>
                <w:rFonts w:cs="Arial"/>
                <w:sz w:val="20"/>
                <w:szCs w:val="20"/>
              </w:rPr>
            </w:pPr>
            <w:r w:rsidRPr="00A17EBB">
              <w:rPr>
                <w:rFonts w:cs="Arial"/>
                <w:sz w:val="20"/>
                <w:szCs w:val="20"/>
              </w:rPr>
              <w:t>Eine detaillierte Beschreibung der im Laufe der klinischen Prüfung angewandten klinischen Verfahren und Diagnostiktests und insbesondere Angaben zu Abweichungen von der üblichen Praxis.</w:t>
            </w:r>
          </w:p>
        </w:tc>
        <w:tc>
          <w:tcPr>
            <w:tcW w:w="1843" w:type="dxa"/>
            <w:tcBorders>
              <w:top w:val="single" w:sz="4" w:space="0" w:color="auto"/>
              <w:left w:val="single" w:sz="4" w:space="0" w:color="auto"/>
              <w:bottom w:val="nil"/>
              <w:right w:val="single" w:sz="4" w:space="0" w:color="auto"/>
            </w:tcBorders>
            <w:hideMark/>
          </w:tcPr>
          <w:p w14:paraId="60D916DA" w14:textId="77777777" w:rsidR="00A17EBB" w:rsidRPr="00A17EBB" w:rsidRDefault="00A17EBB" w:rsidP="00FB5364">
            <w:pPr>
              <w:spacing w:after="0" w:line="240" w:lineRule="auto"/>
              <w:rPr>
                <w:rFonts w:cs="Arial"/>
                <w:sz w:val="20"/>
                <w:szCs w:val="20"/>
              </w:rPr>
            </w:pPr>
            <w:r w:rsidRPr="00A17EBB">
              <w:rPr>
                <w:rFonts w:cs="Arial"/>
                <w:sz w:val="20"/>
                <w:szCs w:val="20"/>
              </w:rPr>
              <w:t>fehlt (Manual Datenerhebung?)</w:t>
            </w:r>
          </w:p>
        </w:tc>
        <w:tc>
          <w:tcPr>
            <w:tcW w:w="1275" w:type="dxa"/>
            <w:tcBorders>
              <w:top w:val="single" w:sz="4" w:space="0" w:color="auto"/>
              <w:left w:val="single" w:sz="4" w:space="0" w:color="auto"/>
              <w:bottom w:val="nil"/>
              <w:right w:val="single" w:sz="4" w:space="0" w:color="auto"/>
            </w:tcBorders>
          </w:tcPr>
          <w:p w14:paraId="034E8908" w14:textId="77777777" w:rsidR="00A17EBB" w:rsidRPr="00A17EBB" w:rsidRDefault="00A17EBB" w:rsidP="00FB5364">
            <w:pPr>
              <w:spacing w:after="0" w:line="240" w:lineRule="auto"/>
              <w:rPr>
                <w:rFonts w:cs="Arial"/>
                <w:sz w:val="20"/>
                <w:szCs w:val="20"/>
              </w:rPr>
            </w:pPr>
          </w:p>
        </w:tc>
      </w:tr>
      <w:tr w:rsidR="00A17EBB" w:rsidRPr="00A17EBB" w14:paraId="41CA7366"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50FB528C" w14:textId="77777777" w:rsidR="00A17EBB" w:rsidRPr="00A17EBB" w:rsidRDefault="00A17EBB" w:rsidP="00FB5364">
            <w:pPr>
              <w:spacing w:after="0" w:line="240" w:lineRule="auto"/>
              <w:rPr>
                <w:rFonts w:cs="Arial"/>
                <w:sz w:val="20"/>
                <w:szCs w:val="20"/>
              </w:rPr>
            </w:pPr>
            <w:r w:rsidRPr="00A17EBB">
              <w:rPr>
                <w:rFonts w:cs="Arial"/>
                <w:sz w:val="20"/>
                <w:szCs w:val="20"/>
              </w:rPr>
              <w:t>5.</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549AB866" w14:textId="77777777" w:rsidR="00A17EBB" w:rsidRPr="00A17EBB" w:rsidRDefault="00A17EBB" w:rsidP="00FB5364">
            <w:pPr>
              <w:spacing w:after="0" w:line="240" w:lineRule="auto"/>
              <w:rPr>
                <w:rFonts w:cs="Arial"/>
                <w:sz w:val="20"/>
                <w:szCs w:val="20"/>
              </w:rPr>
            </w:pPr>
            <w:r w:rsidRPr="00A17EBB">
              <w:rPr>
                <w:rFonts w:cs="Arial"/>
                <w:sz w:val="20"/>
                <w:szCs w:val="20"/>
              </w:rPr>
              <w:t>Die vorklinische Bewertung, Anhang XV Kap. II 2.3. MDR</w:t>
            </w:r>
          </w:p>
          <w:p w14:paraId="4EA0FE57" w14:textId="77777777" w:rsidR="00A17EBB" w:rsidRPr="00A17EBB" w:rsidRDefault="00A17EBB" w:rsidP="00FB5364">
            <w:pPr>
              <w:spacing w:after="0" w:line="240" w:lineRule="auto"/>
              <w:rPr>
                <w:rFonts w:cs="Arial"/>
                <w:sz w:val="20"/>
                <w:szCs w:val="20"/>
              </w:rPr>
            </w:pPr>
            <w:r w:rsidRPr="00A17EBB">
              <w:rPr>
                <w:rFonts w:cs="Arial"/>
                <w:sz w:val="20"/>
                <w:szCs w:val="20"/>
              </w:rPr>
              <w:t>Vorklinische Bewertung auf der Grundlage von Daten aus einschlägigen vorklinischen Tests und Versuchen, insbesondere aus Konstruktionsberechnungen, In-Vitro-Tests, Ex-vivo-Tests, Tierversuchen, mechanischen oder elektrotechnischen Prüfungen, Zuverlässigkeitsprüfungen, Sterilisationsvalidierungen, Software-Verifizierungen und Validierungen, Leistungsversuchen, Bewertungen der Biokompatibilität und biologischen Sicherheit, sofern zutreffend.</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14A2EEB" w14:textId="77777777" w:rsidR="00A17EBB" w:rsidRPr="00A17EBB" w:rsidRDefault="00A17EBB" w:rsidP="00FB5364">
            <w:pPr>
              <w:spacing w:after="0" w:line="240" w:lineRule="auto"/>
              <w:rPr>
                <w:rFonts w:cs="Arial"/>
                <w:sz w:val="20"/>
                <w:szCs w:val="20"/>
              </w:rPr>
            </w:pPr>
            <w:r w:rsidRPr="00A17EBB">
              <w:rPr>
                <w:rFonts w:cs="Arial"/>
                <w:sz w:val="20"/>
                <w:szCs w:val="20"/>
              </w:rPr>
              <w:t>Entwurf vorhanden</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65F6A2A5" w14:textId="77777777" w:rsidR="00A17EBB" w:rsidRPr="00A17EBB" w:rsidRDefault="00A17EBB" w:rsidP="00FB5364">
            <w:pPr>
              <w:spacing w:after="0" w:line="240" w:lineRule="auto"/>
              <w:rPr>
                <w:rFonts w:cs="Arial"/>
                <w:sz w:val="20"/>
                <w:szCs w:val="20"/>
              </w:rPr>
            </w:pPr>
            <w:r w:rsidRPr="00A17EBB">
              <w:rPr>
                <w:rFonts w:cs="Arial"/>
                <w:sz w:val="20"/>
                <w:szCs w:val="20"/>
              </w:rPr>
              <w:t>KF</w:t>
            </w:r>
          </w:p>
        </w:tc>
      </w:tr>
      <w:tr w:rsidR="00A17EBB" w:rsidRPr="00A17EBB" w14:paraId="09C68C5D" w14:textId="77777777" w:rsidTr="00165100">
        <w:tc>
          <w:tcPr>
            <w:tcW w:w="562" w:type="dxa"/>
            <w:tcBorders>
              <w:top w:val="single" w:sz="4" w:space="0" w:color="auto"/>
              <w:left w:val="single" w:sz="4" w:space="0" w:color="auto"/>
              <w:bottom w:val="single" w:sz="4" w:space="0" w:color="auto"/>
              <w:right w:val="single" w:sz="4" w:space="0" w:color="auto"/>
            </w:tcBorders>
            <w:hideMark/>
          </w:tcPr>
          <w:p w14:paraId="0EB9F9A2" w14:textId="77777777" w:rsidR="00A17EBB" w:rsidRPr="00A17EBB" w:rsidRDefault="00A17EBB" w:rsidP="00FB5364">
            <w:pPr>
              <w:spacing w:after="0" w:line="240" w:lineRule="auto"/>
              <w:rPr>
                <w:rFonts w:cs="Arial"/>
                <w:sz w:val="20"/>
                <w:szCs w:val="20"/>
              </w:rPr>
            </w:pPr>
            <w:r w:rsidRPr="00A17EBB">
              <w:rPr>
                <w:rFonts w:cs="Arial"/>
                <w:sz w:val="20"/>
                <w:szCs w:val="20"/>
              </w:rPr>
              <w:t>6.</w:t>
            </w:r>
          </w:p>
        </w:tc>
        <w:tc>
          <w:tcPr>
            <w:tcW w:w="5954" w:type="dxa"/>
            <w:tcBorders>
              <w:top w:val="single" w:sz="4" w:space="0" w:color="auto"/>
              <w:left w:val="single" w:sz="4" w:space="0" w:color="auto"/>
              <w:bottom w:val="single" w:sz="4" w:space="0" w:color="auto"/>
              <w:right w:val="single" w:sz="4" w:space="0" w:color="auto"/>
            </w:tcBorders>
            <w:hideMark/>
          </w:tcPr>
          <w:p w14:paraId="0FAA6CB5" w14:textId="77777777" w:rsidR="00A17EBB" w:rsidRPr="00A17EBB" w:rsidRDefault="00A17EBB" w:rsidP="00FB5364">
            <w:pPr>
              <w:spacing w:after="0" w:line="240" w:lineRule="auto"/>
              <w:rPr>
                <w:rFonts w:cs="Arial"/>
                <w:sz w:val="20"/>
                <w:szCs w:val="20"/>
              </w:rPr>
            </w:pPr>
            <w:r w:rsidRPr="00A17EBB">
              <w:rPr>
                <w:rFonts w:cs="Arial"/>
                <w:sz w:val="20"/>
                <w:szCs w:val="20"/>
              </w:rPr>
              <w:t>Gebrauchsanweisung, Anhang XV Kap. II 2.2. MDR</w:t>
            </w:r>
          </w:p>
          <w:p w14:paraId="18191FB7" w14:textId="77777777" w:rsidR="00A17EBB" w:rsidRPr="00A17EBB" w:rsidRDefault="00A17EBB" w:rsidP="00FB5364">
            <w:pPr>
              <w:spacing w:after="0" w:line="240" w:lineRule="auto"/>
              <w:rPr>
                <w:rFonts w:cs="Arial"/>
                <w:sz w:val="20"/>
                <w:szCs w:val="20"/>
              </w:rPr>
            </w:pPr>
            <w:r w:rsidRPr="00A17EBB">
              <w:rPr>
                <w:rFonts w:cs="Arial"/>
                <w:sz w:val="20"/>
                <w:szCs w:val="20"/>
              </w:rPr>
              <w:t>Herstellerangaben zur Installation, Wartung, Einhaltung von Hygienenormen und Verwendung, einschließlich Lagerungs- und Handhabungsbestimmungen, und - soweit diese Informationen vorliegen - die auf der Kennzeichnung anzubringenden Informationen und die Gebrauchsanweisung, die zusammen mit dem Produkt beim Inverkehrbringen bereitzustellen ist. Des Weiteren Informationen über gegebenenfalls erforderliche einschlägige Schulungen.</w:t>
            </w:r>
          </w:p>
        </w:tc>
        <w:tc>
          <w:tcPr>
            <w:tcW w:w="1843" w:type="dxa"/>
            <w:tcBorders>
              <w:top w:val="single" w:sz="4" w:space="0" w:color="auto"/>
              <w:left w:val="single" w:sz="4" w:space="0" w:color="auto"/>
              <w:bottom w:val="single" w:sz="4" w:space="0" w:color="auto"/>
              <w:right w:val="single" w:sz="4" w:space="0" w:color="auto"/>
            </w:tcBorders>
            <w:hideMark/>
          </w:tcPr>
          <w:p w14:paraId="16E27FA8" w14:textId="77777777" w:rsidR="00A17EBB" w:rsidRPr="00A17EBB" w:rsidRDefault="00A17EBB" w:rsidP="00FB5364">
            <w:pPr>
              <w:spacing w:after="0" w:line="240" w:lineRule="auto"/>
              <w:rPr>
                <w:rFonts w:cs="Arial"/>
                <w:sz w:val="20"/>
                <w:szCs w:val="20"/>
              </w:rPr>
            </w:pPr>
            <w:r w:rsidRPr="00A17EBB">
              <w:rPr>
                <w:rFonts w:cs="Arial"/>
                <w:sz w:val="20"/>
                <w:szCs w:val="20"/>
              </w:rPr>
              <w:t>fehlt</w:t>
            </w:r>
          </w:p>
        </w:tc>
        <w:tc>
          <w:tcPr>
            <w:tcW w:w="1275" w:type="dxa"/>
            <w:tcBorders>
              <w:top w:val="single" w:sz="4" w:space="0" w:color="auto"/>
              <w:left w:val="single" w:sz="4" w:space="0" w:color="auto"/>
              <w:bottom w:val="single" w:sz="4" w:space="0" w:color="auto"/>
              <w:right w:val="single" w:sz="4" w:space="0" w:color="auto"/>
            </w:tcBorders>
            <w:hideMark/>
          </w:tcPr>
          <w:p w14:paraId="0A481126" w14:textId="77777777" w:rsidR="00A17EBB" w:rsidRPr="00A17EBB" w:rsidRDefault="00A17EBB" w:rsidP="00FB5364">
            <w:pPr>
              <w:spacing w:after="0" w:line="240" w:lineRule="auto"/>
              <w:rPr>
                <w:rFonts w:cs="Arial"/>
                <w:sz w:val="20"/>
                <w:szCs w:val="20"/>
              </w:rPr>
            </w:pPr>
            <w:proofErr w:type="spellStart"/>
            <w:r w:rsidRPr="00A17EBB">
              <w:rPr>
                <w:rFonts w:cs="Arial"/>
                <w:sz w:val="20"/>
                <w:szCs w:val="20"/>
              </w:rPr>
              <w:t>MedSysBio</w:t>
            </w:r>
            <w:proofErr w:type="spellEnd"/>
          </w:p>
        </w:tc>
      </w:tr>
      <w:tr w:rsidR="00A17EBB" w:rsidRPr="00A17EBB" w14:paraId="5B128513" w14:textId="77777777" w:rsidTr="00165100">
        <w:trPr>
          <w:trHeight w:val="1688"/>
        </w:trPr>
        <w:tc>
          <w:tcPr>
            <w:tcW w:w="562" w:type="dxa"/>
            <w:tcBorders>
              <w:top w:val="single" w:sz="4" w:space="0" w:color="auto"/>
              <w:left w:val="single" w:sz="4" w:space="0" w:color="auto"/>
              <w:bottom w:val="single" w:sz="4" w:space="0" w:color="auto"/>
              <w:right w:val="single" w:sz="4" w:space="0" w:color="auto"/>
            </w:tcBorders>
            <w:hideMark/>
          </w:tcPr>
          <w:p w14:paraId="2103900C" w14:textId="77777777" w:rsidR="00A17EBB" w:rsidRPr="00A17EBB" w:rsidRDefault="00A17EBB" w:rsidP="00FB5364">
            <w:pPr>
              <w:spacing w:after="0" w:line="240" w:lineRule="auto"/>
              <w:rPr>
                <w:rFonts w:cs="Arial"/>
                <w:sz w:val="20"/>
                <w:szCs w:val="20"/>
              </w:rPr>
            </w:pPr>
            <w:r w:rsidRPr="00A17EBB">
              <w:rPr>
                <w:rFonts w:cs="Arial"/>
                <w:sz w:val="20"/>
                <w:szCs w:val="20"/>
              </w:rPr>
              <w:t>7.</w:t>
            </w:r>
          </w:p>
        </w:tc>
        <w:tc>
          <w:tcPr>
            <w:tcW w:w="5954" w:type="dxa"/>
            <w:tcBorders>
              <w:top w:val="single" w:sz="4" w:space="0" w:color="auto"/>
              <w:left w:val="single" w:sz="4" w:space="0" w:color="auto"/>
              <w:bottom w:val="single" w:sz="4" w:space="0" w:color="auto"/>
              <w:right w:val="single" w:sz="4" w:space="0" w:color="auto"/>
            </w:tcBorders>
            <w:hideMark/>
          </w:tcPr>
          <w:p w14:paraId="20B9E20C" w14:textId="77777777" w:rsidR="00A17EBB" w:rsidRPr="00A17EBB" w:rsidRDefault="00A17EBB" w:rsidP="00FB5364">
            <w:pPr>
              <w:spacing w:after="0" w:line="240" w:lineRule="auto"/>
              <w:rPr>
                <w:rFonts w:cs="Arial"/>
                <w:sz w:val="20"/>
                <w:szCs w:val="20"/>
              </w:rPr>
            </w:pPr>
            <w:r w:rsidRPr="00A17EBB">
              <w:rPr>
                <w:rFonts w:cs="Arial"/>
                <w:sz w:val="20"/>
                <w:szCs w:val="20"/>
              </w:rPr>
              <w:t>Risikoanalyse und Bewertung, Anhang XV Kap. II 2.5. MDR</w:t>
            </w:r>
          </w:p>
          <w:p w14:paraId="162196FE" w14:textId="77777777" w:rsidR="00A17EBB" w:rsidRPr="00A17EBB" w:rsidRDefault="00A17EBB" w:rsidP="00FB5364">
            <w:pPr>
              <w:spacing w:after="0" w:line="240" w:lineRule="auto"/>
              <w:rPr>
                <w:rFonts w:cs="Arial"/>
                <w:sz w:val="20"/>
                <w:szCs w:val="20"/>
              </w:rPr>
            </w:pPr>
            <w:r w:rsidRPr="00A17EBB">
              <w:rPr>
                <w:rFonts w:cs="Arial"/>
                <w:sz w:val="20"/>
                <w:szCs w:val="20"/>
              </w:rPr>
              <w:t>Zusammenfassung der Nutzen-Risiko-Analyse und des Risikomanagements, einschließlich Informationen zu bekannten oder vorhersehbaren Risiken, etwaigen unerwünschten Nebenwirkungen, Kontraindikationen und Warnhinweisen.</w:t>
            </w:r>
          </w:p>
        </w:tc>
        <w:tc>
          <w:tcPr>
            <w:tcW w:w="1843" w:type="dxa"/>
            <w:tcBorders>
              <w:top w:val="single" w:sz="4" w:space="0" w:color="auto"/>
              <w:left w:val="single" w:sz="4" w:space="0" w:color="auto"/>
              <w:bottom w:val="single" w:sz="4" w:space="0" w:color="auto"/>
              <w:right w:val="single" w:sz="4" w:space="0" w:color="auto"/>
            </w:tcBorders>
            <w:hideMark/>
          </w:tcPr>
          <w:p w14:paraId="21AA3D55" w14:textId="77777777" w:rsidR="00A17EBB" w:rsidRPr="00A17EBB" w:rsidRDefault="00A17EBB" w:rsidP="00FB5364">
            <w:pPr>
              <w:spacing w:after="0" w:line="240" w:lineRule="auto"/>
              <w:rPr>
                <w:rFonts w:cs="Arial"/>
                <w:sz w:val="20"/>
                <w:szCs w:val="20"/>
              </w:rPr>
            </w:pPr>
            <w:r w:rsidRPr="00A17EBB">
              <w:rPr>
                <w:rFonts w:cs="Arial"/>
                <w:sz w:val="20"/>
                <w:szCs w:val="20"/>
              </w:rPr>
              <w:t>fortgeschritten</w:t>
            </w:r>
          </w:p>
        </w:tc>
        <w:tc>
          <w:tcPr>
            <w:tcW w:w="1275" w:type="dxa"/>
            <w:tcBorders>
              <w:top w:val="single" w:sz="4" w:space="0" w:color="auto"/>
              <w:left w:val="single" w:sz="4" w:space="0" w:color="auto"/>
              <w:bottom w:val="single" w:sz="4" w:space="0" w:color="auto"/>
              <w:right w:val="single" w:sz="4" w:space="0" w:color="auto"/>
            </w:tcBorders>
            <w:hideMark/>
          </w:tcPr>
          <w:p w14:paraId="1AFF9C0E" w14:textId="77777777" w:rsidR="00A17EBB" w:rsidRPr="00A17EBB" w:rsidRDefault="00A17EBB" w:rsidP="00FB5364">
            <w:pPr>
              <w:spacing w:after="0" w:line="240" w:lineRule="auto"/>
              <w:rPr>
                <w:rFonts w:cs="Arial"/>
                <w:sz w:val="20"/>
                <w:szCs w:val="20"/>
              </w:rPr>
            </w:pPr>
            <w:r w:rsidRPr="00A17EBB">
              <w:rPr>
                <w:rFonts w:cs="Arial"/>
                <w:sz w:val="20"/>
                <w:szCs w:val="20"/>
              </w:rPr>
              <w:t xml:space="preserve">CL, KF, </w:t>
            </w:r>
            <w:proofErr w:type="spellStart"/>
            <w:r w:rsidRPr="00A17EBB">
              <w:rPr>
                <w:rFonts w:cs="Arial"/>
                <w:sz w:val="20"/>
                <w:szCs w:val="20"/>
              </w:rPr>
              <w:t>MedSysBio</w:t>
            </w:r>
            <w:proofErr w:type="spellEnd"/>
          </w:p>
        </w:tc>
      </w:tr>
      <w:tr w:rsidR="00A17EBB" w:rsidRPr="00A17EBB" w14:paraId="3FEF281A"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70880862" w14:textId="77777777" w:rsidR="00A17EBB" w:rsidRPr="00A17EBB" w:rsidRDefault="00A17EBB" w:rsidP="00FB5364">
            <w:pPr>
              <w:spacing w:after="0" w:line="240" w:lineRule="auto"/>
              <w:rPr>
                <w:rFonts w:cs="Arial"/>
                <w:sz w:val="20"/>
                <w:szCs w:val="20"/>
              </w:rPr>
            </w:pPr>
            <w:r w:rsidRPr="00A17EBB">
              <w:rPr>
                <w:rFonts w:cs="Arial"/>
                <w:sz w:val="20"/>
                <w:szCs w:val="20"/>
              </w:rPr>
              <w:t>8.</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2DB699AE" w14:textId="77777777" w:rsidR="00A17EBB" w:rsidRPr="00A17EBB" w:rsidRDefault="00A17EBB" w:rsidP="00FB5364">
            <w:pPr>
              <w:spacing w:after="0" w:line="240" w:lineRule="auto"/>
              <w:rPr>
                <w:rFonts w:cs="Arial"/>
                <w:sz w:val="20"/>
                <w:szCs w:val="20"/>
              </w:rPr>
            </w:pPr>
            <w:r w:rsidRPr="00A17EBB">
              <w:rPr>
                <w:rFonts w:cs="Arial"/>
                <w:sz w:val="20"/>
                <w:szCs w:val="20"/>
              </w:rPr>
              <w:t>Versicherung grundlegende Sicherheits- und Leistungsanforderungen, Anhang XV Kap. II 4.1. MDR</w:t>
            </w:r>
          </w:p>
          <w:p w14:paraId="51326846" w14:textId="77777777" w:rsidR="00A17EBB" w:rsidRPr="00A17EBB" w:rsidRDefault="00A17EBB" w:rsidP="00FB5364">
            <w:pPr>
              <w:spacing w:after="0" w:line="240" w:lineRule="auto"/>
              <w:rPr>
                <w:rFonts w:cs="Arial"/>
                <w:sz w:val="20"/>
                <w:szCs w:val="20"/>
              </w:rPr>
            </w:pPr>
            <w:r w:rsidRPr="00A17EBB">
              <w:rPr>
                <w:rFonts w:cs="Arial"/>
                <w:sz w:val="20"/>
                <w:szCs w:val="20"/>
              </w:rPr>
              <w:t>Eine unterzeichnete Erklärung der natürlichen oder juristischen Person, die für die Herstellung des Prüfprodukts verantwortlich ist, dass das betreffende Produkt mit Ausnahme der Punkte, die Gegenstand der klinischen Prüfung sind, den grundlegenden Sicherheits- und Leistungsanforderungen entspricht und dass hinsichtlich dieser Punkte alle Vorsichtsmaßnahmen zum Schutz der Gesundheit und der Sicherheit des Prüfungsteilnehmers getroffen wurden.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D72AE3" w14:textId="77777777" w:rsidR="00A17EBB" w:rsidRPr="00A17EBB" w:rsidRDefault="00A17EBB" w:rsidP="00FB5364">
            <w:pPr>
              <w:spacing w:after="0" w:line="240" w:lineRule="auto"/>
              <w:rPr>
                <w:rFonts w:cs="Arial"/>
                <w:sz w:val="20"/>
                <w:szCs w:val="20"/>
              </w:rPr>
            </w:pPr>
            <w:r w:rsidRPr="00A17EBB">
              <w:rPr>
                <w:rFonts w:cs="Arial"/>
                <w:sz w:val="20"/>
                <w:szCs w:val="20"/>
              </w:rPr>
              <w:t>fehlt</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7A94F7B1" w14:textId="77777777" w:rsidR="00A17EBB" w:rsidRPr="00A17EBB" w:rsidRDefault="00A17EBB" w:rsidP="00FB5364">
            <w:pPr>
              <w:spacing w:after="0" w:line="240" w:lineRule="auto"/>
              <w:rPr>
                <w:rFonts w:cs="Arial"/>
                <w:sz w:val="20"/>
                <w:szCs w:val="20"/>
              </w:rPr>
            </w:pPr>
            <w:r w:rsidRPr="00A17EBB">
              <w:rPr>
                <w:rFonts w:cs="Arial"/>
                <w:sz w:val="20"/>
                <w:szCs w:val="20"/>
              </w:rPr>
              <w:t>MD?</w:t>
            </w:r>
          </w:p>
        </w:tc>
      </w:tr>
      <w:tr w:rsidR="00A17EBB" w:rsidRPr="00A17EBB" w14:paraId="26F3C97C"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54E24F60" w14:textId="77777777" w:rsidR="00A17EBB" w:rsidRPr="00A17EBB" w:rsidRDefault="00A17EBB" w:rsidP="00FB5364">
            <w:pPr>
              <w:spacing w:after="0" w:line="240" w:lineRule="auto"/>
              <w:rPr>
                <w:rFonts w:cs="Arial"/>
                <w:sz w:val="20"/>
                <w:szCs w:val="20"/>
              </w:rPr>
            </w:pPr>
            <w:r w:rsidRPr="00A17EBB">
              <w:rPr>
                <w:rFonts w:cs="Arial"/>
                <w:sz w:val="20"/>
                <w:szCs w:val="20"/>
              </w:rPr>
              <w:t>9.</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090BFF3A" w14:textId="77777777" w:rsidR="00A17EBB" w:rsidRPr="00A17EBB" w:rsidRDefault="00A17EBB" w:rsidP="00FB5364">
            <w:pPr>
              <w:spacing w:after="0" w:line="240" w:lineRule="auto"/>
              <w:rPr>
                <w:rFonts w:cs="Arial"/>
                <w:sz w:val="20"/>
                <w:szCs w:val="20"/>
              </w:rPr>
            </w:pPr>
            <w:r w:rsidRPr="00A17EBB">
              <w:rPr>
                <w:rFonts w:cs="Arial"/>
                <w:sz w:val="20"/>
                <w:szCs w:val="20"/>
              </w:rPr>
              <w:t>Plan zur Weiterbehandlung, Anhang XV Kap. II 3.16. MDR</w:t>
            </w:r>
          </w:p>
          <w:p w14:paraId="2C4B1662" w14:textId="77777777" w:rsidR="00A17EBB" w:rsidRPr="00A17EBB" w:rsidRDefault="00A17EBB" w:rsidP="00FB5364">
            <w:pPr>
              <w:spacing w:after="0" w:line="240" w:lineRule="auto"/>
              <w:rPr>
                <w:rFonts w:cs="Arial"/>
                <w:sz w:val="20"/>
                <w:szCs w:val="20"/>
              </w:rPr>
            </w:pPr>
            <w:r w:rsidRPr="00A17EBB">
              <w:rPr>
                <w:rFonts w:cs="Arial"/>
                <w:sz w:val="20"/>
                <w:szCs w:val="20"/>
              </w:rPr>
              <w:t xml:space="preserve">Eine Beschreibung der Vorkehrungen für die Betreuung der Prüfungsteilnehmer nach Beendigung ihrer Teilnahme an der klinischen Prüfung, sofern die Person eine solche zusätzliche Betreuung aufgrund der Teilnahme an der klinischen Prüfung </w:t>
            </w:r>
            <w:r w:rsidRPr="00A17EBB">
              <w:rPr>
                <w:rFonts w:cs="Arial"/>
                <w:sz w:val="20"/>
                <w:szCs w:val="20"/>
              </w:rPr>
              <w:lastRenderedPageBreak/>
              <w:t>benötigt und sofern diese sich von der unterscheidet, die bei dem betreffenden Krankheitszustand üblicherweise zu erwarten wäre.</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57A67DEC" w14:textId="77777777" w:rsidR="00A17EBB" w:rsidRPr="00A17EBB" w:rsidRDefault="00A17EBB" w:rsidP="00FB5364">
            <w:pPr>
              <w:spacing w:after="0" w:line="240" w:lineRule="auto"/>
              <w:rPr>
                <w:rFonts w:cs="Arial"/>
                <w:sz w:val="20"/>
                <w:szCs w:val="20"/>
              </w:rPr>
            </w:pPr>
            <w:r w:rsidRPr="00A17EBB">
              <w:rPr>
                <w:rFonts w:cs="Arial"/>
                <w:sz w:val="20"/>
                <w:szCs w:val="20"/>
              </w:rPr>
              <w:lastRenderedPageBreak/>
              <w:t xml:space="preserve">fehlt </w:t>
            </w:r>
            <w:r w:rsidRPr="00A17EBB">
              <w:rPr>
                <w:rFonts w:cs="Arial"/>
                <w:sz w:val="20"/>
                <w:szCs w:val="20"/>
              </w:rPr>
              <w:sym w:font="Wingdings" w:char="F0E0"/>
            </w:r>
            <w:r w:rsidRPr="00A17EBB">
              <w:rPr>
                <w:rFonts w:cs="Arial"/>
                <w:sz w:val="20"/>
                <w:szCs w:val="20"/>
              </w:rPr>
              <w:t xml:space="preserve"> </w:t>
            </w:r>
            <w:proofErr w:type="gramStart"/>
            <w:r w:rsidRPr="00A17EBB">
              <w:rPr>
                <w:rFonts w:cs="Arial"/>
                <w:sz w:val="20"/>
                <w:szCs w:val="20"/>
              </w:rPr>
              <w:t>nicht zutreffend</w:t>
            </w:r>
            <w:proofErr w:type="gramEnd"/>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2939BC26" w14:textId="77777777" w:rsidR="00A17EBB" w:rsidRPr="00A17EBB" w:rsidRDefault="00A17EBB" w:rsidP="00FB5364">
            <w:pPr>
              <w:spacing w:after="0" w:line="240" w:lineRule="auto"/>
              <w:rPr>
                <w:rFonts w:cs="Arial"/>
                <w:sz w:val="20"/>
                <w:szCs w:val="20"/>
              </w:rPr>
            </w:pPr>
          </w:p>
        </w:tc>
      </w:tr>
      <w:tr w:rsidR="00A17EBB" w:rsidRPr="00A17EBB" w14:paraId="031E5F72" w14:textId="77777777" w:rsidTr="00165100">
        <w:tc>
          <w:tcPr>
            <w:tcW w:w="562" w:type="dxa"/>
            <w:tcBorders>
              <w:top w:val="single" w:sz="4" w:space="0" w:color="auto"/>
              <w:left w:val="single" w:sz="4" w:space="0" w:color="auto"/>
              <w:bottom w:val="nil"/>
              <w:right w:val="single" w:sz="4" w:space="0" w:color="auto"/>
            </w:tcBorders>
            <w:hideMark/>
          </w:tcPr>
          <w:p w14:paraId="71855F0E" w14:textId="77777777" w:rsidR="00A17EBB" w:rsidRPr="00A17EBB" w:rsidRDefault="00A17EBB" w:rsidP="00FB5364">
            <w:pPr>
              <w:spacing w:after="0" w:line="240" w:lineRule="auto"/>
              <w:rPr>
                <w:rFonts w:cs="Arial"/>
                <w:sz w:val="20"/>
                <w:szCs w:val="20"/>
              </w:rPr>
            </w:pPr>
            <w:r w:rsidRPr="00A17EBB">
              <w:rPr>
                <w:rFonts w:cs="Arial"/>
                <w:sz w:val="20"/>
                <w:szCs w:val="20"/>
              </w:rPr>
              <w:t>10.</w:t>
            </w:r>
          </w:p>
        </w:tc>
        <w:tc>
          <w:tcPr>
            <w:tcW w:w="5954" w:type="dxa"/>
            <w:tcBorders>
              <w:top w:val="single" w:sz="4" w:space="0" w:color="auto"/>
              <w:left w:val="single" w:sz="4" w:space="0" w:color="auto"/>
              <w:bottom w:val="nil"/>
              <w:right w:val="single" w:sz="4" w:space="0" w:color="auto"/>
            </w:tcBorders>
            <w:hideMark/>
          </w:tcPr>
          <w:p w14:paraId="100144EC" w14:textId="77777777" w:rsidR="00A17EBB" w:rsidRDefault="00A17EBB" w:rsidP="00FB5364">
            <w:pPr>
              <w:spacing w:after="0" w:line="240" w:lineRule="auto"/>
              <w:rPr>
                <w:rFonts w:cs="Arial"/>
                <w:sz w:val="20"/>
                <w:szCs w:val="20"/>
              </w:rPr>
            </w:pPr>
            <w:r w:rsidRPr="00A17EBB">
              <w:rPr>
                <w:rFonts w:cs="Arial"/>
                <w:sz w:val="20"/>
                <w:szCs w:val="20"/>
              </w:rPr>
              <w:t>Vollmacht für Vertreter, Anhang XV Kap. II 3.1.2. MDR</w:t>
            </w:r>
          </w:p>
          <w:p w14:paraId="249C8117" w14:textId="6B7B04E2" w:rsidR="009C78CE" w:rsidRPr="00A17EBB" w:rsidRDefault="000E57A4" w:rsidP="00FB5364">
            <w:pPr>
              <w:spacing w:after="0" w:line="240" w:lineRule="auto"/>
              <w:rPr>
                <w:rFonts w:cs="Arial"/>
                <w:sz w:val="20"/>
                <w:szCs w:val="20"/>
              </w:rPr>
            </w:pPr>
            <w:r>
              <w:rPr>
                <w:rFonts w:cs="Arial"/>
                <w:sz w:val="20"/>
                <w:szCs w:val="20"/>
              </w:rPr>
              <w:t>(3.</w:t>
            </w:r>
            <w:r w:rsidRPr="000E57A4">
              <w:rPr>
                <w:rFonts w:cs="Arial"/>
                <w:sz w:val="20"/>
                <w:szCs w:val="20"/>
              </w:rPr>
              <w:t>1.2. Angabe des Sponsors — Name, Anschrift und Kontaktdaten des Sponsors und gegebenenfalls seines in der Union niedergelassenen Ansprechpartners oder rechtlichen Vertreters gemäß Artikel 62 Absatz 2.</w:t>
            </w:r>
            <w:r>
              <w:rPr>
                <w:rFonts w:cs="Arial"/>
                <w:sz w:val="20"/>
                <w:szCs w:val="20"/>
              </w:rPr>
              <w:t>)</w:t>
            </w:r>
          </w:p>
        </w:tc>
        <w:tc>
          <w:tcPr>
            <w:tcW w:w="1843" w:type="dxa"/>
            <w:tcBorders>
              <w:top w:val="single" w:sz="4" w:space="0" w:color="auto"/>
              <w:left w:val="single" w:sz="4" w:space="0" w:color="auto"/>
              <w:bottom w:val="nil"/>
              <w:right w:val="single" w:sz="4" w:space="0" w:color="auto"/>
            </w:tcBorders>
            <w:hideMark/>
          </w:tcPr>
          <w:p w14:paraId="23112381" w14:textId="77777777" w:rsidR="00A17EBB" w:rsidRPr="00A17EBB" w:rsidRDefault="00A17EBB" w:rsidP="00FB5364">
            <w:pPr>
              <w:spacing w:after="0" w:line="240" w:lineRule="auto"/>
              <w:rPr>
                <w:rFonts w:cs="Arial"/>
                <w:sz w:val="20"/>
                <w:szCs w:val="20"/>
              </w:rPr>
            </w:pPr>
            <w:r w:rsidRPr="00A17EBB">
              <w:rPr>
                <w:rFonts w:cs="Arial"/>
                <w:sz w:val="20"/>
                <w:szCs w:val="20"/>
              </w:rPr>
              <w:t xml:space="preserve">fehlt </w:t>
            </w:r>
          </w:p>
        </w:tc>
        <w:tc>
          <w:tcPr>
            <w:tcW w:w="1275" w:type="dxa"/>
            <w:tcBorders>
              <w:top w:val="single" w:sz="4" w:space="0" w:color="auto"/>
              <w:left w:val="single" w:sz="4" w:space="0" w:color="auto"/>
              <w:bottom w:val="nil"/>
              <w:right w:val="single" w:sz="4" w:space="0" w:color="auto"/>
            </w:tcBorders>
          </w:tcPr>
          <w:p w14:paraId="638BBEAA" w14:textId="77777777" w:rsidR="00A17EBB" w:rsidRPr="00A17EBB" w:rsidRDefault="00A17EBB" w:rsidP="00FB5364">
            <w:pPr>
              <w:spacing w:after="0" w:line="240" w:lineRule="auto"/>
              <w:rPr>
                <w:rFonts w:cs="Arial"/>
                <w:sz w:val="20"/>
                <w:szCs w:val="20"/>
              </w:rPr>
            </w:pPr>
          </w:p>
        </w:tc>
      </w:tr>
      <w:tr w:rsidR="00A17EBB" w:rsidRPr="00A17EBB" w14:paraId="18260900"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0FE9D27D" w14:textId="77777777" w:rsidR="00A17EBB" w:rsidRPr="00A17EBB" w:rsidRDefault="00A17EBB" w:rsidP="00FB5364">
            <w:pPr>
              <w:spacing w:after="0" w:line="240" w:lineRule="auto"/>
              <w:rPr>
                <w:rFonts w:cs="Arial"/>
                <w:sz w:val="20"/>
                <w:szCs w:val="20"/>
              </w:rPr>
            </w:pPr>
            <w:r w:rsidRPr="00A17EBB">
              <w:rPr>
                <w:rFonts w:cs="Arial"/>
                <w:sz w:val="20"/>
                <w:szCs w:val="20"/>
              </w:rPr>
              <w:t>11.</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183CB43E" w14:textId="77777777" w:rsidR="00A17EBB" w:rsidRPr="00A17EBB" w:rsidRDefault="00A17EBB" w:rsidP="00FB5364">
            <w:pPr>
              <w:spacing w:after="0" w:line="240" w:lineRule="auto"/>
              <w:rPr>
                <w:rFonts w:cs="Arial"/>
                <w:sz w:val="20"/>
                <w:szCs w:val="20"/>
              </w:rPr>
            </w:pPr>
            <w:r w:rsidRPr="00A17EBB">
              <w:rPr>
                <w:rFonts w:cs="Arial"/>
                <w:sz w:val="20"/>
                <w:szCs w:val="20"/>
              </w:rPr>
              <w:t>Angaben Eignung Prüfstelle, Anhang XV Kap. II 1.13. MDR</w:t>
            </w:r>
          </w:p>
          <w:p w14:paraId="6BDB7627" w14:textId="77777777" w:rsidR="00A17EBB" w:rsidRPr="00A17EBB" w:rsidRDefault="00A17EBB" w:rsidP="00FB5364">
            <w:pPr>
              <w:spacing w:after="0" w:line="240" w:lineRule="auto"/>
              <w:rPr>
                <w:rFonts w:cs="Arial"/>
                <w:sz w:val="20"/>
                <w:szCs w:val="20"/>
              </w:rPr>
            </w:pPr>
            <w:r w:rsidRPr="00A17EBB">
              <w:rPr>
                <w:rFonts w:cs="Arial"/>
                <w:sz w:val="20"/>
                <w:szCs w:val="20"/>
              </w:rPr>
              <w:t>Angaben zur Eignung der Prüfstelle, bezogen auf die beantragte Prüfung, insbesondere zu der vorhandenen personellen, räumlichen, apparativen und notfallmedizinischen Ausstattung sowie ggf. zur räumlichen Anbindung an ein Krankenhaus mit Notfallversorgung, ferner Angaben zu den in der Prüfstelle laufenden klinischen Prüfungen – insbesondere zu konkurrierenden klinischen Prüfungen.</w:t>
            </w:r>
          </w:p>
          <w:p w14:paraId="5D50A8E2" w14:textId="77777777" w:rsidR="00A17EBB" w:rsidRPr="00A17EBB" w:rsidRDefault="00A17EBB" w:rsidP="00FB5364">
            <w:pPr>
              <w:spacing w:after="0" w:line="240" w:lineRule="auto"/>
              <w:rPr>
                <w:rFonts w:cs="Arial"/>
                <w:sz w:val="20"/>
                <w:szCs w:val="20"/>
              </w:rPr>
            </w:pPr>
            <w:r w:rsidRPr="00A17EBB">
              <w:rPr>
                <w:rFonts w:cs="Arial"/>
                <w:sz w:val="20"/>
                <w:szCs w:val="20"/>
              </w:rPr>
              <w:t xml:space="preserve">Die Räumlichkeiten, in denen die klinische Prüfung durchgeführt werden soll, müssen für die klinische Prüfung geeignet sein und den Räumlichkeiten, in denen das Produkt verwendet werden soll, ähneln (§ 37 Abs. 2 Nr. MPDG i. V. m. Art. 62 Abs. 7 EU-VO 2017/745, § 47 Abs. 1 Nr. 5 MPDG i. V. m. Art. 62 Abs. 7 EU-VO 2017/745). </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7A6BC389" w14:textId="77777777" w:rsidR="00A17EBB" w:rsidRPr="00A17EBB" w:rsidRDefault="00A17EBB" w:rsidP="00FB5364">
            <w:pPr>
              <w:spacing w:after="0" w:line="240" w:lineRule="auto"/>
              <w:rPr>
                <w:rFonts w:cs="Arial"/>
                <w:sz w:val="20"/>
                <w:szCs w:val="20"/>
              </w:rPr>
            </w:pPr>
            <w:r w:rsidRPr="00A17EBB">
              <w:rPr>
                <w:rFonts w:cs="Arial"/>
                <w:sz w:val="20"/>
                <w:szCs w:val="20"/>
              </w:rPr>
              <w:t>fehlt (Internetzugang, Stromversorgung)</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3394C05" w14:textId="77777777" w:rsidR="00A17EBB" w:rsidRPr="00A17EBB" w:rsidRDefault="00A17EBB" w:rsidP="00FB5364">
            <w:pPr>
              <w:spacing w:after="0" w:line="240" w:lineRule="auto"/>
              <w:rPr>
                <w:rFonts w:cs="Arial"/>
                <w:sz w:val="20"/>
                <w:szCs w:val="20"/>
              </w:rPr>
            </w:pPr>
          </w:p>
        </w:tc>
      </w:tr>
      <w:tr w:rsidR="00A17EBB" w:rsidRPr="00A17EBB" w14:paraId="7D399627"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7A9B3B89" w14:textId="77777777" w:rsidR="00A17EBB" w:rsidRPr="00A17EBB" w:rsidRDefault="00A17EBB" w:rsidP="00FB5364">
            <w:pPr>
              <w:spacing w:after="0" w:line="240" w:lineRule="auto"/>
              <w:rPr>
                <w:rFonts w:cs="Arial"/>
                <w:sz w:val="20"/>
                <w:szCs w:val="20"/>
              </w:rPr>
            </w:pPr>
            <w:r w:rsidRPr="00A17EBB">
              <w:rPr>
                <w:rFonts w:cs="Arial"/>
                <w:sz w:val="20"/>
                <w:szCs w:val="20"/>
              </w:rPr>
              <w:t>12.</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3047FFF7" w14:textId="77777777" w:rsidR="00A17EBB" w:rsidRPr="00A17EBB" w:rsidRDefault="00A17EBB" w:rsidP="00FB5364">
            <w:pPr>
              <w:spacing w:after="0" w:line="240" w:lineRule="auto"/>
              <w:rPr>
                <w:rFonts w:cs="Arial"/>
                <w:sz w:val="20"/>
                <w:szCs w:val="20"/>
              </w:rPr>
            </w:pPr>
            <w:r w:rsidRPr="00A17EBB">
              <w:rPr>
                <w:rFonts w:cs="Arial"/>
                <w:sz w:val="20"/>
                <w:szCs w:val="20"/>
              </w:rPr>
              <w:t xml:space="preserve">Nachweise der Qualifikation der Prüfer, Anhang XV Kap II 1.13. MDR </w:t>
            </w:r>
            <w:proofErr w:type="spellStart"/>
            <w:r w:rsidRPr="00A17EBB">
              <w:rPr>
                <w:rFonts w:cs="Arial"/>
                <w:sz w:val="20"/>
                <w:szCs w:val="20"/>
              </w:rPr>
              <w:t>i.V.m</w:t>
            </w:r>
            <w:proofErr w:type="spellEnd"/>
            <w:r w:rsidRPr="00A17EBB">
              <w:rPr>
                <w:rFonts w:cs="Arial"/>
                <w:sz w:val="20"/>
                <w:szCs w:val="20"/>
              </w:rPr>
              <w:t>. § 30 MPDG</w:t>
            </w:r>
          </w:p>
          <w:p w14:paraId="553370AF" w14:textId="77777777" w:rsidR="00A17EBB" w:rsidRPr="00A17EBB" w:rsidRDefault="00A17EBB" w:rsidP="00FB5364">
            <w:pPr>
              <w:spacing w:after="0" w:line="240" w:lineRule="auto"/>
              <w:rPr>
                <w:rFonts w:cs="Arial"/>
                <w:sz w:val="20"/>
                <w:szCs w:val="20"/>
              </w:rPr>
            </w:pPr>
            <w:r w:rsidRPr="00A17EBB">
              <w:rPr>
                <w:rFonts w:cs="Arial"/>
                <w:sz w:val="20"/>
                <w:szCs w:val="20"/>
              </w:rPr>
              <w:t>Nachweise des Sponsors, dass der klinische Prüfer und die Prüfstelle in der Lage sind, die klinische Prüfung gemäß dem klinischen Prüfplan durchzuführen;</w:t>
            </w:r>
          </w:p>
          <w:p w14:paraId="3176CE21" w14:textId="77777777" w:rsidR="00A17EBB" w:rsidRPr="00A17EBB" w:rsidRDefault="00A17EBB" w:rsidP="00FB5364">
            <w:pPr>
              <w:spacing w:after="0" w:line="240" w:lineRule="auto"/>
              <w:rPr>
                <w:rFonts w:cs="Arial"/>
                <w:sz w:val="20"/>
                <w:szCs w:val="20"/>
              </w:rPr>
            </w:pPr>
            <w:r w:rsidRPr="00A17EBB">
              <w:rPr>
                <w:rFonts w:cs="Arial"/>
                <w:sz w:val="20"/>
                <w:szCs w:val="20"/>
              </w:rPr>
              <w:t xml:space="preserve">Prüfer und Hauptprüfer sowie der Leiter einer klinischen Prüfung oder sonstigen klinischen Prüfung müssen </w:t>
            </w:r>
          </w:p>
          <w:p w14:paraId="35CE98B0" w14:textId="77777777" w:rsidR="00A17EBB" w:rsidRPr="00A17EBB" w:rsidRDefault="00A17EBB" w:rsidP="00FB5364">
            <w:pPr>
              <w:numPr>
                <w:ilvl w:val="0"/>
                <w:numId w:val="3"/>
              </w:numPr>
              <w:spacing w:after="0" w:line="240" w:lineRule="auto"/>
              <w:rPr>
                <w:rFonts w:cs="Arial"/>
                <w:sz w:val="20"/>
                <w:szCs w:val="20"/>
              </w:rPr>
            </w:pPr>
            <w:r w:rsidRPr="00A17EBB">
              <w:rPr>
                <w:rFonts w:cs="Arial"/>
                <w:sz w:val="20"/>
                <w:szCs w:val="20"/>
              </w:rPr>
              <w:t>Ärzte oder Ärztinnen oder bei für die Zahnheilkunde bestimmten Medizinprodukten Zahnärzte oder Zahnärztinnen sein oder zur Ausübung eines Berufs berechtigt sein, der zu einer klinischen Prüfung oder einer sonstigen klinischen Prüfung qualifiziert,</w:t>
            </w:r>
          </w:p>
          <w:p w14:paraId="51C46377" w14:textId="77777777" w:rsidR="00A17EBB" w:rsidRPr="00A17EBB" w:rsidRDefault="00A17EBB" w:rsidP="00FB5364">
            <w:pPr>
              <w:numPr>
                <w:ilvl w:val="0"/>
                <w:numId w:val="3"/>
              </w:numPr>
              <w:spacing w:after="0" w:line="240" w:lineRule="auto"/>
              <w:rPr>
                <w:rFonts w:cs="Arial"/>
                <w:sz w:val="20"/>
                <w:szCs w:val="20"/>
              </w:rPr>
            </w:pPr>
            <w:r w:rsidRPr="00A17EBB">
              <w:rPr>
                <w:rFonts w:cs="Arial"/>
                <w:sz w:val="20"/>
                <w:szCs w:val="20"/>
              </w:rPr>
              <w:t>Erfahrungen im Anwendungsbereich des zu prüfenden Produktes besitzen sowie in dessen Gebrauch ausgebildet und eingewiesen sein und</w:t>
            </w:r>
          </w:p>
          <w:p w14:paraId="7628A9AA" w14:textId="77777777" w:rsidR="00A17EBB" w:rsidRPr="00A17EBB" w:rsidRDefault="00A17EBB" w:rsidP="00FB5364">
            <w:pPr>
              <w:numPr>
                <w:ilvl w:val="0"/>
                <w:numId w:val="3"/>
              </w:numPr>
              <w:spacing w:after="0" w:line="240" w:lineRule="auto"/>
              <w:rPr>
                <w:rFonts w:cs="Arial"/>
                <w:sz w:val="20"/>
                <w:szCs w:val="20"/>
              </w:rPr>
            </w:pPr>
            <w:r w:rsidRPr="00A17EBB">
              <w:rPr>
                <w:rFonts w:cs="Arial"/>
                <w:sz w:val="20"/>
                <w:szCs w:val="20"/>
              </w:rPr>
              <w:t>mit den Grundzügen des Medizinprodukterechts, den rechtlichen und wissenschaftlichen Grundlagen von klinischen Prüfungen oder sonstigen klinischen Prüfungen, mit dem Prüfplan und dem Handbuch des klinischen Prüfers vertraut sein und in die sich daraus ergebenden Pflichten eingewiesen worden sein.</w:t>
            </w:r>
          </w:p>
          <w:p w14:paraId="1101CC02" w14:textId="77777777" w:rsidR="00A17EBB" w:rsidRPr="00A17EBB" w:rsidRDefault="00A17EBB" w:rsidP="00FB5364">
            <w:pPr>
              <w:spacing w:after="0" w:line="240" w:lineRule="auto"/>
              <w:rPr>
                <w:rFonts w:cs="Arial"/>
                <w:sz w:val="20"/>
                <w:szCs w:val="20"/>
              </w:rPr>
            </w:pPr>
            <w:r w:rsidRPr="00A17EBB">
              <w:rPr>
                <w:rFonts w:cs="Arial"/>
                <w:sz w:val="20"/>
                <w:szCs w:val="20"/>
              </w:rPr>
              <w:t>Für den Leiter der klinischen Prüfung oder einer sonstigen klinischen Prüfung muss der Nachweis einer mindestens zweijährigen Erfahrung in der klinischen Prüfung von Medizinprodukten erbracht werden.</w:t>
            </w:r>
          </w:p>
          <w:p w14:paraId="0CFC15E9" w14:textId="77777777" w:rsidR="00A17EBB" w:rsidRPr="00A17EBB" w:rsidRDefault="00A17EBB" w:rsidP="00FB5364">
            <w:pPr>
              <w:spacing w:after="0" w:line="240" w:lineRule="auto"/>
              <w:rPr>
                <w:rFonts w:cs="Arial"/>
                <w:sz w:val="20"/>
                <w:szCs w:val="20"/>
              </w:rPr>
            </w:pPr>
            <w:r w:rsidRPr="00A17EBB">
              <w:rPr>
                <w:rFonts w:cs="Arial"/>
                <w:sz w:val="20"/>
                <w:szCs w:val="20"/>
              </w:rPr>
              <w:t>Die Nachweise zur Qualifikation sind durch einen aktuellen Lebenslauf und durch andere aussagefähige Dokumente zu erbringen.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3DE1536D" w14:textId="77777777" w:rsidR="00A17EBB" w:rsidRPr="00A17EBB" w:rsidRDefault="00A17EBB" w:rsidP="00FB5364">
            <w:pPr>
              <w:spacing w:after="0" w:line="240" w:lineRule="auto"/>
              <w:rPr>
                <w:rFonts w:cs="Arial"/>
                <w:sz w:val="20"/>
                <w:szCs w:val="20"/>
              </w:rPr>
            </w:pPr>
            <w:r w:rsidRPr="00A17EBB">
              <w:rPr>
                <w:rFonts w:cs="Arial"/>
                <w:sz w:val="20"/>
                <w:szCs w:val="20"/>
              </w:rPr>
              <w:t>fehlt (Langjährige Erfahrung in der Planung und Durchführung klinischer Studien</w:t>
            </w:r>
          </w:p>
          <w:p w14:paraId="084A56E4" w14:textId="77777777" w:rsidR="00A17EBB" w:rsidRPr="00A17EBB" w:rsidRDefault="00A17EBB" w:rsidP="00FB5364">
            <w:pPr>
              <w:spacing w:after="0" w:line="240" w:lineRule="auto"/>
              <w:rPr>
                <w:rFonts w:cs="Arial"/>
                <w:sz w:val="20"/>
                <w:szCs w:val="20"/>
              </w:rPr>
            </w:pPr>
            <w:r w:rsidRPr="00A17EBB">
              <w:rPr>
                <w:rFonts w:cs="Arial"/>
                <w:sz w:val="20"/>
                <w:szCs w:val="20"/>
              </w:rPr>
              <w:t>Langjährige Erfahrung in der Durchführung von Studien, die MP verwendet haben)</w:t>
            </w:r>
          </w:p>
        </w:tc>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26F41796" w14:textId="77777777" w:rsidR="00A17EBB" w:rsidRPr="00A17EBB" w:rsidRDefault="00A17EBB" w:rsidP="00FB5364">
            <w:pPr>
              <w:spacing w:after="0" w:line="240" w:lineRule="auto"/>
              <w:rPr>
                <w:rFonts w:cs="Arial"/>
                <w:sz w:val="20"/>
                <w:szCs w:val="20"/>
              </w:rPr>
            </w:pPr>
            <w:r w:rsidRPr="00A17EBB">
              <w:rPr>
                <w:rFonts w:cs="Arial"/>
                <w:sz w:val="20"/>
                <w:szCs w:val="20"/>
              </w:rPr>
              <w:t>MD</w:t>
            </w:r>
          </w:p>
        </w:tc>
      </w:tr>
      <w:tr w:rsidR="00A17EBB" w:rsidRPr="00A17EBB" w14:paraId="76A5862A" w14:textId="77777777" w:rsidTr="00165100">
        <w:tc>
          <w:tcPr>
            <w:tcW w:w="562" w:type="dxa"/>
            <w:tcBorders>
              <w:top w:val="single" w:sz="4" w:space="0" w:color="auto"/>
              <w:left w:val="single" w:sz="4" w:space="0" w:color="auto"/>
              <w:bottom w:val="single" w:sz="4" w:space="0" w:color="auto"/>
              <w:right w:val="single" w:sz="4" w:space="0" w:color="auto"/>
            </w:tcBorders>
            <w:hideMark/>
          </w:tcPr>
          <w:p w14:paraId="25424D02" w14:textId="77777777" w:rsidR="00A17EBB" w:rsidRPr="00A17EBB" w:rsidRDefault="00A17EBB" w:rsidP="00FB5364">
            <w:pPr>
              <w:spacing w:after="0" w:line="240" w:lineRule="auto"/>
              <w:rPr>
                <w:rFonts w:cs="Arial"/>
                <w:sz w:val="20"/>
                <w:szCs w:val="20"/>
              </w:rPr>
            </w:pPr>
            <w:r w:rsidRPr="00A17EBB">
              <w:rPr>
                <w:rFonts w:cs="Arial"/>
                <w:sz w:val="20"/>
                <w:szCs w:val="20"/>
              </w:rPr>
              <w:t>13.</w:t>
            </w:r>
          </w:p>
        </w:tc>
        <w:tc>
          <w:tcPr>
            <w:tcW w:w="5954" w:type="dxa"/>
            <w:tcBorders>
              <w:top w:val="single" w:sz="4" w:space="0" w:color="auto"/>
              <w:left w:val="single" w:sz="4" w:space="0" w:color="auto"/>
              <w:bottom w:val="single" w:sz="4" w:space="0" w:color="auto"/>
              <w:right w:val="single" w:sz="4" w:space="0" w:color="auto"/>
            </w:tcBorders>
            <w:hideMark/>
          </w:tcPr>
          <w:p w14:paraId="7B90FC7F" w14:textId="77777777" w:rsidR="00A17EBB" w:rsidRPr="00A17EBB" w:rsidRDefault="00A17EBB" w:rsidP="00FB5364">
            <w:pPr>
              <w:spacing w:after="0" w:line="240" w:lineRule="auto"/>
              <w:rPr>
                <w:rFonts w:cs="Arial"/>
                <w:sz w:val="20"/>
                <w:szCs w:val="20"/>
              </w:rPr>
            </w:pPr>
            <w:r w:rsidRPr="00A17EBB">
              <w:rPr>
                <w:rFonts w:cs="Arial"/>
                <w:sz w:val="20"/>
                <w:szCs w:val="20"/>
              </w:rPr>
              <w:t>Angaben Qualifikation sonstige Personen, die das Medizinprodukt anwenden</w:t>
            </w:r>
          </w:p>
        </w:tc>
        <w:tc>
          <w:tcPr>
            <w:tcW w:w="1843" w:type="dxa"/>
            <w:tcBorders>
              <w:top w:val="single" w:sz="4" w:space="0" w:color="auto"/>
              <w:left w:val="single" w:sz="4" w:space="0" w:color="auto"/>
              <w:bottom w:val="single" w:sz="4" w:space="0" w:color="auto"/>
              <w:right w:val="single" w:sz="4" w:space="0" w:color="auto"/>
            </w:tcBorders>
            <w:hideMark/>
          </w:tcPr>
          <w:p w14:paraId="04338BE0" w14:textId="77777777" w:rsidR="00A17EBB" w:rsidRPr="00A17EBB" w:rsidRDefault="00A17EBB" w:rsidP="00FB5364">
            <w:pPr>
              <w:spacing w:after="0" w:line="240" w:lineRule="auto"/>
              <w:rPr>
                <w:rFonts w:cs="Arial"/>
                <w:sz w:val="20"/>
                <w:szCs w:val="20"/>
              </w:rPr>
            </w:pPr>
            <w:r w:rsidRPr="00A17EBB">
              <w:rPr>
                <w:rFonts w:cs="Arial"/>
                <w:sz w:val="20"/>
                <w:szCs w:val="20"/>
              </w:rPr>
              <w:t>fehlt (ist das Studienpersonal gemeint oder die Ärzte/Ärztinnen in den drei Abteilungen?)</w:t>
            </w:r>
          </w:p>
          <w:p w14:paraId="4889CE0A" w14:textId="77777777" w:rsidR="00A17EBB" w:rsidRPr="00A17EBB" w:rsidRDefault="00A17EBB" w:rsidP="00FB5364">
            <w:pPr>
              <w:spacing w:after="0" w:line="240" w:lineRule="auto"/>
              <w:rPr>
                <w:rFonts w:cs="Arial"/>
                <w:sz w:val="20"/>
                <w:szCs w:val="20"/>
              </w:rPr>
            </w:pPr>
            <w:r w:rsidRPr="00A17EBB">
              <w:rPr>
                <w:rFonts w:cs="Arial"/>
                <w:sz w:val="20"/>
                <w:szCs w:val="20"/>
              </w:rPr>
              <w:t>(ISO-Schulungen + GCP-/MPDG-Kurs-Nachweise?)</w:t>
            </w:r>
          </w:p>
        </w:tc>
        <w:tc>
          <w:tcPr>
            <w:tcW w:w="1275" w:type="dxa"/>
            <w:tcBorders>
              <w:top w:val="single" w:sz="4" w:space="0" w:color="auto"/>
              <w:left w:val="single" w:sz="4" w:space="0" w:color="auto"/>
              <w:bottom w:val="single" w:sz="4" w:space="0" w:color="auto"/>
              <w:right w:val="single" w:sz="4" w:space="0" w:color="auto"/>
            </w:tcBorders>
          </w:tcPr>
          <w:p w14:paraId="69B24247" w14:textId="77777777" w:rsidR="00A17EBB" w:rsidRPr="00A17EBB" w:rsidRDefault="00A17EBB" w:rsidP="00FB5364">
            <w:pPr>
              <w:spacing w:after="0" w:line="240" w:lineRule="auto"/>
              <w:rPr>
                <w:rFonts w:cs="Arial"/>
                <w:sz w:val="20"/>
                <w:szCs w:val="20"/>
              </w:rPr>
            </w:pPr>
          </w:p>
        </w:tc>
      </w:tr>
      <w:tr w:rsidR="00A17EBB" w:rsidRPr="00A17EBB" w14:paraId="30582364" w14:textId="77777777" w:rsidTr="00165100">
        <w:tc>
          <w:tcPr>
            <w:tcW w:w="562" w:type="dxa"/>
            <w:tcBorders>
              <w:top w:val="single" w:sz="4" w:space="0" w:color="auto"/>
              <w:left w:val="single" w:sz="4" w:space="0" w:color="auto"/>
              <w:bottom w:val="single" w:sz="4" w:space="0" w:color="auto"/>
              <w:right w:val="single" w:sz="4" w:space="0" w:color="auto"/>
            </w:tcBorders>
            <w:hideMark/>
          </w:tcPr>
          <w:p w14:paraId="3812F508" w14:textId="77777777" w:rsidR="00A17EBB" w:rsidRPr="00A17EBB" w:rsidRDefault="00A17EBB" w:rsidP="00FB5364">
            <w:pPr>
              <w:spacing w:after="0" w:line="240" w:lineRule="auto"/>
              <w:rPr>
                <w:rFonts w:cs="Arial"/>
                <w:sz w:val="20"/>
                <w:szCs w:val="20"/>
              </w:rPr>
            </w:pPr>
            <w:r w:rsidRPr="00A17EBB">
              <w:rPr>
                <w:rFonts w:cs="Arial"/>
                <w:sz w:val="20"/>
                <w:szCs w:val="20"/>
              </w:rPr>
              <w:lastRenderedPageBreak/>
              <w:t>14.</w:t>
            </w:r>
          </w:p>
        </w:tc>
        <w:tc>
          <w:tcPr>
            <w:tcW w:w="5954" w:type="dxa"/>
            <w:tcBorders>
              <w:top w:val="single" w:sz="4" w:space="0" w:color="auto"/>
              <w:left w:val="single" w:sz="4" w:space="0" w:color="auto"/>
              <w:bottom w:val="single" w:sz="4" w:space="0" w:color="auto"/>
              <w:right w:val="single" w:sz="4" w:space="0" w:color="auto"/>
            </w:tcBorders>
            <w:hideMark/>
          </w:tcPr>
          <w:p w14:paraId="4A4F06C7" w14:textId="77777777" w:rsidR="00A17EBB" w:rsidRPr="00A17EBB" w:rsidRDefault="00A17EBB" w:rsidP="00FB5364">
            <w:pPr>
              <w:spacing w:after="0" w:line="240" w:lineRule="auto"/>
              <w:rPr>
                <w:rFonts w:cs="Arial"/>
                <w:sz w:val="20"/>
                <w:szCs w:val="20"/>
              </w:rPr>
            </w:pPr>
            <w:r w:rsidRPr="00A17EBB">
              <w:rPr>
                <w:rFonts w:cs="Arial"/>
                <w:sz w:val="20"/>
                <w:szCs w:val="20"/>
              </w:rPr>
              <w:t>Probanden/Patienteninformation, Einverständniserklärung, Anhang XV Kap. II 4.4. MDR</w:t>
            </w:r>
          </w:p>
          <w:p w14:paraId="54C3D616" w14:textId="77777777" w:rsidR="00A17EBB" w:rsidRPr="00A17EBB" w:rsidRDefault="00A17EBB" w:rsidP="00FB5364">
            <w:pPr>
              <w:spacing w:after="0" w:line="240" w:lineRule="auto"/>
              <w:rPr>
                <w:rFonts w:cs="Arial"/>
                <w:sz w:val="20"/>
                <w:szCs w:val="20"/>
              </w:rPr>
            </w:pPr>
            <w:r w:rsidRPr="00A17EBB">
              <w:rPr>
                <w:rFonts w:cs="Arial"/>
                <w:sz w:val="20"/>
                <w:szCs w:val="20"/>
              </w:rPr>
              <w:t>Dokumente, die zur Einholung der Einwilligung nach Aufklärung zu verwenden sind, einschließlich der Aufklärungshinweise für Patienten und der schriftlichen Einwilligung nach Aufklärung.</w:t>
            </w:r>
          </w:p>
        </w:tc>
        <w:tc>
          <w:tcPr>
            <w:tcW w:w="1843" w:type="dxa"/>
            <w:tcBorders>
              <w:top w:val="single" w:sz="4" w:space="0" w:color="auto"/>
              <w:left w:val="single" w:sz="4" w:space="0" w:color="auto"/>
              <w:bottom w:val="single" w:sz="4" w:space="0" w:color="auto"/>
              <w:right w:val="single" w:sz="4" w:space="0" w:color="auto"/>
            </w:tcBorders>
            <w:hideMark/>
          </w:tcPr>
          <w:p w14:paraId="77F8E301" w14:textId="77777777" w:rsidR="00A17EBB" w:rsidRPr="00A17EBB" w:rsidRDefault="00A17EBB" w:rsidP="00FB5364">
            <w:pPr>
              <w:spacing w:after="0" w:line="240" w:lineRule="auto"/>
              <w:rPr>
                <w:rFonts w:cs="Arial"/>
                <w:sz w:val="20"/>
                <w:szCs w:val="20"/>
              </w:rPr>
            </w:pPr>
            <w:r w:rsidRPr="00A17EBB">
              <w:rPr>
                <w:rFonts w:cs="Arial"/>
                <w:sz w:val="20"/>
                <w:szCs w:val="20"/>
              </w:rPr>
              <w:t>fortgeschritten</w:t>
            </w:r>
          </w:p>
        </w:tc>
        <w:tc>
          <w:tcPr>
            <w:tcW w:w="1275" w:type="dxa"/>
            <w:tcBorders>
              <w:top w:val="single" w:sz="4" w:space="0" w:color="auto"/>
              <w:left w:val="single" w:sz="4" w:space="0" w:color="auto"/>
              <w:bottom w:val="single" w:sz="4" w:space="0" w:color="auto"/>
              <w:right w:val="single" w:sz="4" w:space="0" w:color="auto"/>
            </w:tcBorders>
            <w:hideMark/>
          </w:tcPr>
          <w:p w14:paraId="2229957A" w14:textId="77777777" w:rsidR="00A17EBB" w:rsidRPr="00A17EBB" w:rsidRDefault="00A17EBB" w:rsidP="00FB5364">
            <w:pPr>
              <w:spacing w:after="0" w:line="240" w:lineRule="auto"/>
              <w:rPr>
                <w:rFonts w:cs="Arial"/>
                <w:sz w:val="20"/>
                <w:szCs w:val="20"/>
              </w:rPr>
            </w:pPr>
            <w:r w:rsidRPr="00A17EBB">
              <w:rPr>
                <w:rFonts w:cs="Arial"/>
                <w:sz w:val="20"/>
                <w:szCs w:val="20"/>
              </w:rPr>
              <w:t>SB, CL</w:t>
            </w:r>
          </w:p>
        </w:tc>
      </w:tr>
      <w:tr w:rsidR="00A17EBB" w:rsidRPr="00A17EBB" w14:paraId="15E36DA2"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40528467" w14:textId="77777777" w:rsidR="00A17EBB" w:rsidRPr="00A17EBB" w:rsidRDefault="00A17EBB" w:rsidP="00FB5364">
            <w:pPr>
              <w:spacing w:after="0" w:line="240" w:lineRule="auto"/>
              <w:rPr>
                <w:rFonts w:cs="Arial"/>
                <w:sz w:val="20"/>
                <w:szCs w:val="20"/>
              </w:rPr>
            </w:pPr>
            <w:r w:rsidRPr="00A17EBB">
              <w:rPr>
                <w:rFonts w:cs="Arial"/>
                <w:sz w:val="20"/>
                <w:szCs w:val="20"/>
              </w:rPr>
              <w:t>15.</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38AE2B6D" w14:textId="77777777" w:rsidR="00A17EBB" w:rsidRPr="00A17EBB" w:rsidRDefault="00A17EBB" w:rsidP="00FB5364">
            <w:pPr>
              <w:spacing w:after="0" w:line="240" w:lineRule="auto"/>
              <w:rPr>
                <w:rFonts w:cs="Arial"/>
                <w:sz w:val="20"/>
                <w:szCs w:val="20"/>
              </w:rPr>
            </w:pPr>
            <w:r w:rsidRPr="00A17EBB">
              <w:rPr>
                <w:rFonts w:cs="Arial"/>
                <w:sz w:val="20"/>
                <w:szCs w:val="20"/>
              </w:rPr>
              <w:t xml:space="preserve">Rechtfertigung Einbeziehung besonders vulnerabler Gruppen, vgl. Art. 62 Abs. 4 </w:t>
            </w:r>
            <w:proofErr w:type="spellStart"/>
            <w:r w:rsidRPr="00A17EBB">
              <w:rPr>
                <w:rFonts w:cs="Arial"/>
                <w:sz w:val="20"/>
                <w:szCs w:val="20"/>
              </w:rPr>
              <w:t>i.V.m</w:t>
            </w:r>
            <w:proofErr w:type="spellEnd"/>
            <w:r w:rsidRPr="00A17EBB">
              <w:rPr>
                <w:rFonts w:cs="Arial"/>
                <w:sz w:val="20"/>
                <w:szCs w:val="20"/>
              </w:rPr>
              <w:t>. Art 64-68 MDR</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0CC4BD6E" w14:textId="77777777" w:rsidR="00A17EBB" w:rsidRPr="00A17EBB" w:rsidRDefault="00A17EBB" w:rsidP="00FB5364">
            <w:pPr>
              <w:spacing w:after="0" w:line="240" w:lineRule="auto"/>
              <w:rPr>
                <w:rFonts w:cs="Arial"/>
                <w:sz w:val="20"/>
                <w:szCs w:val="20"/>
              </w:rPr>
            </w:pPr>
            <w:r w:rsidRPr="00A17EBB">
              <w:rPr>
                <w:rFonts w:cs="Arial"/>
                <w:sz w:val="20"/>
                <w:szCs w:val="20"/>
              </w:rPr>
              <w:t>fehlt</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2A3EDB7" w14:textId="77777777" w:rsidR="00A17EBB" w:rsidRPr="00A17EBB" w:rsidRDefault="00A17EBB" w:rsidP="00FB5364">
            <w:pPr>
              <w:spacing w:after="0" w:line="240" w:lineRule="auto"/>
              <w:rPr>
                <w:rFonts w:cs="Arial"/>
                <w:sz w:val="20"/>
                <w:szCs w:val="20"/>
              </w:rPr>
            </w:pPr>
          </w:p>
        </w:tc>
      </w:tr>
      <w:tr w:rsidR="00A17EBB" w:rsidRPr="00A17EBB" w14:paraId="482505C9"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tcPr>
          <w:p w14:paraId="50F1A5E9" w14:textId="77777777" w:rsidR="00A17EBB" w:rsidRPr="00A17EBB" w:rsidRDefault="00A17EBB" w:rsidP="00FB5364">
            <w:pPr>
              <w:spacing w:after="0" w:line="240" w:lineRule="auto"/>
              <w:rPr>
                <w:rFonts w:cs="Arial"/>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6176AF1D" w14:textId="77777777" w:rsidR="00A17EBB" w:rsidRPr="00A17EBB" w:rsidRDefault="00A17EBB" w:rsidP="00FB5364">
            <w:pPr>
              <w:spacing w:after="0" w:line="240" w:lineRule="auto"/>
              <w:rPr>
                <w:rFonts w:cs="Arial"/>
                <w:sz w:val="20"/>
                <w:szCs w:val="20"/>
              </w:rPr>
            </w:pPr>
            <w:r w:rsidRPr="00A17EBB">
              <w:rPr>
                <w:rFonts w:cs="Arial"/>
                <w:sz w:val="20"/>
                <w:szCs w:val="20"/>
              </w:rPr>
              <w:t xml:space="preserve">Datenerhebungsbögen oder Ausdruck des </w:t>
            </w:r>
            <w:proofErr w:type="spellStart"/>
            <w:r w:rsidRPr="00A17EBB">
              <w:rPr>
                <w:rFonts w:cs="Arial"/>
                <w:sz w:val="20"/>
                <w:szCs w:val="20"/>
              </w:rPr>
              <w:t>eCRF</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128D2B7" w14:textId="77777777" w:rsidR="00A17EBB" w:rsidRPr="00A17EBB" w:rsidRDefault="00A17EBB" w:rsidP="00FB5364">
            <w:pPr>
              <w:spacing w:after="0" w:line="240" w:lineRule="auto"/>
              <w:rPr>
                <w:rFonts w:cs="Arial"/>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6286E87" w14:textId="77777777" w:rsidR="00A17EBB" w:rsidRPr="00A17EBB" w:rsidRDefault="00A17EBB" w:rsidP="00FB5364">
            <w:pPr>
              <w:spacing w:after="0" w:line="240" w:lineRule="auto"/>
              <w:rPr>
                <w:rFonts w:cs="Arial"/>
                <w:sz w:val="20"/>
                <w:szCs w:val="20"/>
              </w:rPr>
            </w:pPr>
          </w:p>
        </w:tc>
      </w:tr>
      <w:tr w:rsidR="00A17EBB" w:rsidRPr="00A17EBB" w14:paraId="5E2FADD0" w14:textId="77777777" w:rsidTr="00165100">
        <w:tc>
          <w:tcPr>
            <w:tcW w:w="562" w:type="dxa"/>
            <w:tcBorders>
              <w:top w:val="single" w:sz="4" w:space="0" w:color="auto"/>
              <w:left w:val="single" w:sz="4" w:space="0" w:color="auto"/>
              <w:bottom w:val="single" w:sz="4" w:space="0" w:color="auto"/>
              <w:right w:val="single" w:sz="4" w:space="0" w:color="auto"/>
            </w:tcBorders>
            <w:hideMark/>
          </w:tcPr>
          <w:p w14:paraId="4F5BDA91" w14:textId="77777777" w:rsidR="00A17EBB" w:rsidRPr="00A17EBB" w:rsidRDefault="00A17EBB" w:rsidP="00FB5364">
            <w:pPr>
              <w:spacing w:after="0" w:line="240" w:lineRule="auto"/>
              <w:rPr>
                <w:rFonts w:cs="Arial"/>
                <w:sz w:val="20"/>
                <w:szCs w:val="20"/>
              </w:rPr>
            </w:pPr>
            <w:r w:rsidRPr="00A17EBB">
              <w:rPr>
                <w:rFonts w:cs="Arial"/>
                <w:sz w:val="20"/>
                <w:szCs w:val="20"/>
              </w:rPr>
              <w:t>16.</w:t>
            </w:r>
          </w:p>
        </w:tc>
        <w:tc>
          <w:tcPr>
            <w:tcW w:w="5954" w:type="dxa"/>
            <w:tcBorders>
              <w:top w:val="single" w:sz="4" w:space="0" w:color="auto"/>
              <w:left w:val="single" w:sz="4" w:space="0" w:color="auto"/>
              <w:bottom w:val="single" w:sz="4" w:space="0" w:color="auto"/>
              <w:right w:val="single" w:sz="4" w:space="0" w:color="auto"/>
            </w:tcBorders>
            <w:hideMark/>
          </w:tcPr>
          <w:p w14:paraId="11DCD1C2" w14:textId="77777777" w:rsidR="00A17EBB" w:rsidRPr="00A17EBB" w:rsidRDefault="00A17EBB" w:rsidP="00FB5364">
            <w:pPr>
              <w:spacing w:after="0" w:line="240" w:lineRule="auto"/>
              <w:rPr>
                <w:rFonts w:cs="Arial"/>
                <w:sz w:val="20"/>
                <w:szCs w:val="20"/>
              </w:rPr>
            </w:pPr>
            <w:r w:rsidRPr="00A17EBB">
              <w:rPr>
                <w:rFonts w:cs="Arial"/>
                <w:sz w:val="20"/>
                <w:szCs w:val="20"/>
              </w:rPr>
              <w:t xml:space="preserve">Versicherungsnachweis, Anhang XV Kap. II 4.3. MDR </w:t>
            </w:r>
            <w:proofErr w:type="spellStart"/>
            <w:r w:rsidRPr="00A17EBB">
              <w:rPr>
                <w:rFonts w:cs="Arial"/>
                <w:sz w:val="20"/>
                <w:szCs w:val="20"/>
              </w:rPr>
              <w:t>i.V.m</w:t>
            </w:r>
            <w:proofErr w:type="spellEnd"/>
            <w:r w:rsidRPr="00A17EBB">
              <w:rPr>
                <w:rFonts w:cs="Arial"/>
                <w:sz w:val="20"/>
                <w:szCs w:val="20"/>
              </w:rPr>
              <w:t>. § 26 MPDG</w:t>
            </w:r>
          </w:p>
          <w:p w14:paraId="5F67B439" w14:textId="77777777" w:rsidR="00A17EBB" w:rsidRPr="00A17EBB" w:rsidRDefault="00A17EBB" w:rsidP="00FB5364">
            <w:pPr>
              <w:spacing w:after="0" w:line="240" w:lineRule="auto"/>
              <w:rPr>
                <w:rFonts w:cs="Arial"/>
                <w:sz w:val="20"/>
                <w:szCs w:val="20"/>
              </w:rPr>
            </w:pPr>
            <w:r w:rsidRPr="00A17EBB">
              <w:rPr>
                <w:rFonts w:cs="Arial"/>
                <w:sz w:val="20"/>
                <w:szCs w:val="20"/>
              </w:rPr>
              <w:t>Nachweis von Versicherungs- oder sonstiger Deckung für Schadensersatz für die Prüfungsteilnehmer im Verletzungsfall gemäß Artikel 69 und den entsprechenden nationalen Rechtsvorschriften.</w:t>
            </w:r>
          </w:p>
        </w:tc>
        <w:tc>
          <w:tcPr>
            <w:tcW w:w="1843" w:type="dxa"/>
            <w:tcBorders>
              <w:top w:val="single" w:sz="4" w:space="0" w:color="auto"/>
              <w:left w:val="single" w:sz="4" w:space="0" w:color="auto"/>
              <w:bottom w:val="single" w:sz="4" w:space="0" w:color="auto"/>
              <w:right w:val="single" w:sz="4" w:space="0" w:color="auto"/>
            </w:tcBorders>
            <w:hideMark/>
          </w:tcPr>
          <w:p w14:paraId="2879EA1E" w14:textId="77777777" w:rsidR="00A17EBB" w:rsidRPr="00A17EBB" w:rsidRDefault="00A17EBB" w:rsidP="00FB5364">
            <w:pPr>
              <w:spacing w:after="0" w:line="240" w:lineRule="auto"/>
              <w:rPr>
                <w:rFonts w:cs="Arial"/>
                <w:sz w:val="20"/>
                <w:szCs w:val="20"/>
              </w:rPr>
            </w:pPr>
            <w:r w:rsidRPr="00A17EBB">
              <w:rPr>
                <w:rFonts w:cs="Arial"/>
                <w:sz w:val="20"/>
                <w:szCs w:val="20"/>
              </w:rPr>
              <w:t>fehlt, läuft aber</w:t>
            </w:r>
          </w:p>
        </w:tc>
        <w:tc>
          <w:tcPr>
            <w:tcW w:w="1275" w:type="dxa"/>
            <w:tcBorders>
              <w:top w:val="single" w:sz="4" w:space="0" w:color="auto"/>
              <w:left w:val="single" w:sz="4" w:space="0" w:color="auto"/>
              <w:bottom w:val="single" w:sz="4" w:space="0" w:color="auto"/>
              <w:right w:val="single" w:sz="4" w:space="0" w:color="auto"/>
            </w:tcBorders>
          </w:tcPr>
          <w:p w14:paraId="68173A97" w14:textId="77777777" w:rsidR="00A17EBB" w:rsidRPr="00A17EBB" w:rsidRDefault="00A17EBB" w:rsidP="00FB5364">
            <w:pPr>
              <w:spacing w:after="0" w:line="240" w:lineRule="auto"/>
              <w:rPr>
                <w:rFonts w:cs="Arial"/>
                <w:sz w:val="20"/>
                <w:szCs w:val="20"/>
              </w:rPr>
            </w:pPr>
          </w:p>
        </w:tc>
      </w:tr>
      <w:tr w:rsidR="00A17EBB" w:rsidRPr="00A17EBB" w14:paraId="4E3F7271"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662BE12C" w14:textId="77777777" w:rsidR="00A17EBB" w:rsidRPr="00A17EBB" w:rsidRDefault="00A17EBB" w:rsidP="00FB5364">
            <w:pPr>
              <w:spacing w:after="0" w:line="240" w:lineRule="auto"/>
              <w:rPr>
                <w:rFonts w:cs="Arial"/>
                <w:sz w:val="20"/>
                <w:szCs w:val="20"/>
              </w:rPr>
            </w:pPr>
            <w:r w:rsidRPr="00A17EBB">
              <w:rPr>
                <w:rFonts w:cs="Arial"/>
                <w:sz w:val="20"/>
                <w:szCs w:val="20"/>
              </w:rPr>
              <w:t>17.</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30606254" w14:textId="77777777" w:rsidR="00A17EBB" w:rsidRDefault="00A17EBB" w:rsidP="00FB5364">
            <w:pPr>
              <w:spacing w:after="0" w:line="240" w:lineRule="auto"/>
              <w:rPr>
                <w:rFonts w:cs="Arial"/>
                <w:sz w:val="20"/>
                <w:szCs w:val="20"/>
              </w:rPr>
            </w:pPr>
            <w:r w:rsidRPr="00A17EBB">
              <w:rPr>
                <w:rFonts w:cs="Arial"/>
                <w:sz w:val="20"/>
                <w:szCs w:val="20"/>
              </w:rPr>
              <w:t>Erklärung zur finanziellen Beeinflussung/Abhängigkeit der Prüfungsteilnehmer.</w:t>
            </w:r>
          </w:p>
          <w:p w14:paraId="3C6A424E" w14:textId="7CA8F107" w:rsidR="00165100" w:rsidRPr="00165100" w:rsidRDefault="00165100" w:rsidP="00FB5364">
            <w:pPr>
              <w:spacing w:after="0" w:line="240" w:lineRule="auto"/>
              <w:rPr>
                <w:rFonts w:cs="Arial"/>
                <w:i/>
                <w:iCs/>
                <w:sz w:val="20"/>
                <w:szCs w:val="20"/>
              </w:rPr>
            </w:pPr>
            <w:r w:rsidRPr="00165100">
              <w:rPr>
                <w:rFonts w:cs="Arial"/>
                <w:i/>
                <w:iCs/>
                <w:sz w:val="20"/>
                <w:szCs w:val="20"/>
              </w:rPr>
              <w:t xml:space="preserve">(Es muss erklärt werden, dass die TN keine finanziellen Anreize erhalten oder </w:t>
            </w:r>
            <w:proofErr w:type="spellStart"/>
            <w:r w:rsidRPr="00165100">
              <w:rPr>
                <w:rFonts w:cs="Arial"/>
                <w:i/>
                <w:iCs/>
                <w:sz w:val="20"/>
                <w:szCs w:val="20"/>
              </w:rPr>
              <w:t>sonstwie</w:t>
            </w:r>
            <w:proofErr w:type="spellEnd"/>
            <w:r w:rsidRPr="00165100">
              <w:rPr>
                <w:rFonts w:cs="Arial"/>
                <w:i/>
                <w:iCs/>
                <w:sz w:val="20"/>
                <w:szCs w:val="20"/>
              </w:rPr>
              <w:t xml:space="preserve"> zur Teilnahme gedrängt werden.)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537E84B3" w14:textId="071926D9" w:rsidR="00A17EBB" w:rsidRPr="00A17EBB" w:rsidRDefault="00A17EBB" w:rsidP="00FB5364">
            <w:pPr>
              <w:spacing w:after="0" w:line="240" w:lineRule="auto"/>
              <w:rPr>
                <w:rFonts w:cs="Arial"/>
                <w:sz w:val="20"/>
                <w:szCs w:val="20"/>
              </w:rPr>
            </w:pPr>
            <w:r w:rsidRPr="00A17EBB">
              <w:rPr>
                <w:rFonts w:cs="Arial"/>
                <w:sz w:val="20"/>
                <w:szCs w:val="20"/>
              </w:rPr>
              <w:t xml:space="preserve">fehlt </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7B5A31D" w14:textId="77777777" w:rsidR="00A17EBB" w:rsidRPr="00A17EBB" w:rsidRDefault="00A17EBB" w:rsidP="00FB5364">
            <w:pPr>
              <w:spacing w:after="0" w:line="240" w:lineRule="auto"/>
              <w:rPr>
                <w:rFonts w:cs="Arial"/>
                <w:sz w:val="20"/>
                <w:szCs w:val="20"/>
              </w:rPr>
            </w:pPr>
          </w:p>
        </w:tc>
      </w:tr>
      <w:tr w:rsidR="00A17EBB" w:rsidRPr="00A17EBB" w14:paraId="1E9C6410"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47E9C5B7" w14:textId="77777777" w:rsidR="00A17EBB" w:rsidRPr="00A17EBB" w:rsidRDefault="00A17EBB" w:rsidP="00FB5364">
            <w:pPr>
              <w:spacing w:after="0" w:line="240" w:lineRule="auto"/>
              <w:rPr>
                <w:rFonts w:cs="Arial"/>
                <w:sz w:val="20"/>
                <w:szCs w:val="20"/>
              </w:rPr>
            </w:pPr>
            <w:r w:rsidRPr="00A17EBB">
              <w:rPr>
                <w:rFonts w:cs="Arial"/>
                <w:sz w:val="20"/>
                <w:szCs w:val="20"/>
              </w:rPr>
              <w:t>18.</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6E52DCB6" w14:textId="77777777" w:rsidR="00A17EBB" w:rsidRPr="00A17EBB" w:rsidRDefault="00A17EBB" w:rsidP="00FB5364">
            <w:pPr>
              <w:spacing w:after="0" w:line="240" w:lineRule="auto"/>
              <w:rPr>
                <w:rFonts w:cs="Arial"/>
                <w:sz w:val="20"/>
                <w:szCs w:val="20"/>
              </w:rPr>
            </w:pPr>
            <w:r w:rsidRPr="00A17EBB">
              <w:rPr>
                <w:rFonts w:cs="Arial"/>
                <w:sz w:val="20"/>
                <w:szCs w:val="20"/>
              </w:rPr>
              <w:t>Erklärung Datenschutz, Anhang XV Kap. II 4.5. MDR</w:t>
            </w:r>
          </w:p>
          <w:p w14:paraId="7BEA2D25" w14:textId="77777777" w:rsidR="00A17EBB" w:rsidRPr="00A17EBB" w:rsidRDefault="00A17EBB" w:rsidP="00FB5364">
            <w:pPr>
              <w:spacing w:after="0" w:line="240" w:lineRule="auto"/>
              <w:rPr>
                <w:rFonts w:cs="Arial"/>
                <w:sz w:val="20"/>
                <w:szCs w:val="20"/>
              </w:rPr>
            </w:pPr>
            <w:r w:rsidRPr="00A17EBB">
              <w:rPr>
                <w:rFonts w:cs="Arial"/>
                <w:sz w:val="20"/>
                <w:szCs w:val="20"/>
              </w:rPr>
              <w:t>Beschreibung der Vorkehrungen für die Einhaltung der geltenden Vorschriften zum Schutz und zur Vertraulichkeit personenbezogener Daten, und zwar insbesondere</w:t>
            </w:r>
          </w:p>
          <w:p w14:paraId="61D2EE88" w14:textId="77777777" w:rsidR="00A17EBB" w:rsidRPr="00A17EBB" w:rsidRDefault="00A17EBB" w:rsidP="00FB5364">
            <w:pPr>
              <w:numPr>
                <w:ilvl w:val="0"/>
                <w:numId w:val="4"/>
              </w:numPr>
              <w:spacing w:after="0" w:line="240" w:lineRule="auto"/>
              <w:rPr>
                <w:rFonts w:cs="Arial"/>
                <w:sz w:val="20"/>
                <w:szCs w:val="20"/>
              </w:rPr>
            </w:pPr>
            <w:r w:rsidRPr="00A17EBB">
              <w:rPr>
                <w:rFonts w:cs="Arial"/>
                <w:sz w:val="20"/>
                <w:szCs w:val="20"/>
              </w:rPr>
              <w:t>der organisatorischen und technischen Maßnahmen, die getroffen werden, um die verarbeiteten Informationen und personenbezogenen Daten vor unbefugtem Zugriff, unbefugter Bekanntgabe, Verbreitung und Veränderung sowie vor Verlust zu schützen,</w:t>
            </w:r>
          </w:p>
          <w:p w14:paraId="7415CE9D" w14:textId="77777777" w:rsidR="00A17EBB" w:rsidRPr="00A17EBB" w:rsidRDefault="00A17EBB" w:rsidP="00FB5364">
            <w:pPr>
              <w:numPr>
                <w:ilvl w:val="0"/>
                <w:numId w:val="4"/>
              </w:numPr>
              <w:spacing w:after="0" w:line="240" w:lineRule="auto"/>
              <w:rPr>
                <w:rFonts w:cs="Arial"/>
                <w:sz w:val="20"/>
                <w:szCs w:val="20"/>
              </w:rPr>
            </w:pPr>
            <w:r w:rsidRPr="00A17EBB">
              <w:rPr>
                <w:rFonts w:cs="Arial"/>
                <w:sz w:val="20"/>
                <w:szCs w:val="20"/>
              </w:rPr>
              <w:t>eine Beschreibung der Vorkehrungen zur Wahrung der Vertraulichkeit der Aufzeichnungen und personen</w:t>
            </w:r>
            <w:r w:rsidRPr="00A17EBB">
              <w:rPr>
                <w:rFonts w:cs="Arial"/>
                <w:sz w:val="20"/>
                <w:szCs w:val="20"/>
              </w:rPr>
              <w:softHyphen/>
              <w:t>bezogenen Daten der Prüfungsteilnehmer und</w:t>
            </w:r>
          </w:p>
          <w:p w14:paraId="03A45CDE" w14:textId="77777777" w:rsidR="00A17EBB" w:rsidRPr="00A17EBB" w:rsidRDefault="00A17EBB" w:rsidP="00FB5364">
            <w:pPr>
              <w:numPr>
                <w:ilvl w:val="0"/>
                <w:numId w:val="4"/>
              </w:numPr>
              <w:spacing w:after="0" w:line="240" w:lineRule="auto"/>
              <w:rPr>
                <w:rFonts w:cs="Arial"/>
                <w:sz w:val="20"/>
                <w:szCs w:val="20"/>
              </w:rPr>
            </w:pPr>
            <w:r w:rsidRPr="00A17EBB">
              <w:rPr>
                <w:rFonts w:cs="Arial"/>
                <w:sz w:val="20"/>
                <w:szCs w:val="20"/>
              </w:rPr>
              <w:t>eine Beschreibung der Maßnahmen, die im Falle eines Verstoßes gegen die Datensicherheitsvorschriften zur Begrenzung möglicher nachteiliger Auswirkungen getroffen werden.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538B5FA1" w14:textId="77777777" w:rsidR="00A17EBB" w:rsidRPr="00A17EBB" w:rsidRDefault="00A17EBB" w:rsidP="00FB5364">
            <w:pPr>
              <w:spacing w:after="0" w:line="240" w:lineRule="auto"/>
              <w:rPr>
                <w:rFonts w:cs="Arial"/>
                <w:sz w:val="20"/>
                <w:szCs w:val="20"/>
              </w:rPr>
            </w:pPr>
            <w:r w:rsidRPr="00A17EBB">
              <w:rPr>
                <w:rFonts w:cs="Arial"/>
                <w:sz w:val="20"/>
                <w:szCs w:val="20"/>
              </w:rPr>
              <w:t>im Studienplan enthalten</w:t>
            </w:r>
          </w:p>
          <w:p w14:paraId="24E0790F" w14:textId="77777777" w:rsidR="00A17EBB" w:rsidRPr="00A17EBB" w:rsidRDefault="00A17EBB" w:rsidP="00FB5364">
            <w:pPr>
              <w:spacing w:after="0" w:line="240" w:lineRule="auto"/>
              <w:rPr>
                <w:rFonts w:cs="Arial"/>
                <w:sz w:val="20"/>
                <w:szCs w:val="20"/>
              </w:rPr>
            </w:pPr>
            <w:r w:rsidRPr="00A17EBB">
              <w:rPr>
                <w:rFonts w:cs="Arial"/>
                <w:sz w:val="20"/>
                <w:szCs w:val="20"/>
              </w:rPr>
              <w:t>(separates Dokument erforderlich, Maßnahmen bei Verstoß ergänzen)</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290F88F" w14:textId="77777777" w:rsidR="00A17EBB" w:rsidRPr="00A17EBB" w:rsidRDefault="00A17EBB" w:rsidP="00FB5364">
            <w:pPr>
              <w:spacing w:after="0" w:line="240" w:lineRule="auto"/>
              <w:rPr>
                <w:rFonts w:cs="Arial"/>
                <w:sz w:val="20"/>
                <w:szCs w:val="20"/>
              </w:rPr>
            </w:pPr>
          </w:p>
        </w:tc>
      </w:tr>
      <w:tr w:rsidR="00A17EBB" w:rsidRPr="00A17EBB" w14:paraId="6115EC2E" w14:textId="77777777" w:rsidTr="00165100">
        <w:tc>
          <w:tcPr>
            <w:tcW w:w="562" w:type="dxa"/>
            <w:tcBorders>
              <w:top w:val="single" w:sz="4" w:space="0" w:color="auto"/>
              <w:left w:val="single" w:sz="4" w:space="0" w:color="auto"/>
              <w:bottom w:val="nil"/>
              <w:right w:val="single" w:sz="4" w:space="0" w:color="auto"/>
            </w:tcBorders>
            <w:hideMark/>
          </w:tcPr>
          <w:p w14:paraId="70B772AE" w14:textId="77777777" w:rsidR="00A17EBB" w:rsidRPr="00A17EBB" w:rsidRDefault="00A17EBB" w:rsidP="00FB5364">
            <w:pPr>
              <w:spacing w:after="0" w:line="240" w:lineRule="auto"/>
              <w:rPr>
                <w:rFonts w:cs="Arial"/>
                <w:sz w:val="20"/>
                <w:szCs w:val="20"/>
              </w:rPr>
            </w:pPr>
            <w:r w:rsidRPr="00A17EBB">
              <w:rPr>
                <w:rFonts w:cs="Arial"/>
                <w:sz w:val="20"/>
                <w:szCs w:val="20"/>
              </w:rPr>
              <w:t>19.</w:t>
            </w:r>
          </w:p>
        </w:tc>
        <w:tc>
          <w:tcPr>
            <w:tcW w:w="5954" w:type="dxa"/>
            <w:tcBorders>
              <w:top w:val="single" w:sz="4" w:space="0" w:color="auto"/>
              <w:left w:val="single" w:sz="4" w:space="0" w:color="auto"/>
              <w:bottom w:val="nil"/>
              <w:right w:val="single" w:sz="4" w:space="0" w:color="auto"/>
            </w:tcBorders>
            <w:hideMark/>
          </w:tcPr>
          <w:p w14:paraId="48B7783E" w14:textId="77777777" w:rsidR="00A17EBB" w:rsidRPr="00A17EBB" w:rsidRDefault="00A17EBB" w:rsidP="00FB5364">
            <w:pPr>
              <w:spacing w:after="0" w:line="240" w:lineRule="auto"/>
              <w:rPr>
                <w:rFonts w:cs="Arial"/>
                <w:sz w:val="20"/>
                <w:szCs w:val="20"/>
              </w:rPr>
            </w:pPr>
            <w:r w:rsidRPr="00A17EBB">
              <w:rPr>
                <w:rFonts w:cs="Arial"/>
                <w:sz w:val="20"/>
                <w:szCs w:val="20"/>
              </w:rPr>
              <w:t>Finanzierung der klinischen Prüfung/wesentliche Vertragsinhalte, Anhang XV Kap. II 3.1.4. MDR</w:t>
            </w:r>
          </w:p>
          <w:p w14:paraId="418CC641" w14:textId="77777777" w:rsidR="00A17EBB" w:rsidRPr="00A17EBB" w:rsidRDefault="00A17EBB" w:rsidP="00FB5364">
            <w:pPr>
              <w:spacing w:after="0" w:line="240" w:lineRule="auto"/>
              <w:rPr>
                <w:rFonts w:cs="Arial"/>
                <w:sz w:val="20"/>
                <w:szCs w:val="20"/>
              </w:rPr>
            </w:pPr>
            <w:r w:rsidRPr="00A17EBB">
              <w:rPr>
                <w:rFonts w:cs="Arial"/>
                <w:sz w:val="20"/>
                <w:szCs w:val="20"/>
              </w:rPr>
              <w:t>Eine kurze Beschreibung der Art der Finanzierung der klinischen Prüfung und eine kurze Beschreibung der Vereinbarung zwischen dem Sponsor und der Prüfstelle.</w:t>
            </w:r>
          </w:p>
        </w:tc>
        <w:tc>
          <w:tcPr>
            <w:tcW w:w="1843" w:type="dxa"/>
            <w:tcBorders>
              <w:top w:val="single" w:sz="4" w:space="0" w:color="auto"/>
              <w:left w:val="single" w:sz="4" w:space="0" w:color="auto"/>
              <w:bottom w:val="nil"/>
              <w:right w:val="single" w:sz="4" w:space="0" w:color="auto"/>
            </w:tcBorders>
            <w:hideMark/>
          </w:tcPr>
          <w:p w14:paraId="509E7C63" w14:textId="1E1C8ABE" w:rsidR="00A17EBB" w:rsidRPr="00A17EBB" w:rsidRDefault="00165100" w:rsidP="00FB5364">
            <w:pPr>
              <w:spacing w:after="0" w:line="240" w:lineRule="auto"/>
              <w:rPr>
                <w:rFonts w:cs="Arial"/>
                <w:sz w:val="20"/>
                <w:szCs w:val="20"/>
              </w:rPr>
            </w:pPr>
            <w:r>
              <w:rPr>
                <w:rFonts w:cs="Arial"/>
                <w:sz w:val="20"/>
                <w:szCs w:val="20"/>
              </w:rPr>
              <w:t>f</w:t>
            </w:r>
            <w:r w:rsidR="00A17EBB" w:rsidRPr="00A17EBB">
              <w:rPr>
                <w:rFonts w:cs="Arial"/>
                <w:sz w:val="20"/>
                <w:szCs w:val="20"/>
              </w:rPr>
              <w:t>ehlt (u.a. Einfluss BMBF auf Studie)</w:t>
            </w:r>
          </w:p>
        </w:tc>
        <w:tc>
          <w:tcPr>
            <w:tcW w:w="1275" w:type="dxa"/>
            <w:tcBorders>
              <w:top w:val="single" w:sz="4" w:space="0" w:color="auto"/>
              <w:left w:val="single" w:sz="4" w:space="0" w:color="auto"/>
              <w:bottom w:val="nil"/>
              <w:right w:val="single" w:sz="4" w:space="0" w:color="auto"/>
            </w:tcBorders>
          </w:tcPr>
          <w:p w14:paraId="6B16B475" w14:textId="77777777" w:rsidR="00A17EBB" w:rsidRPr="00A17EBB" w:rsidRDefault="00A17EBB" w:rsidP="00FB5364">
            <w:pPr>
              <w:spacing w:after="0" w:line="240" w:lineRule="auto"/>
              <w:rPr>
                <w:rFonts w:cs="Arial"/>
                <w:sz w:val="20"/>
                <w:szCs w:val="20"/>
              </w:rPr>
            </w:pPr>
          </w:p>
        </w:tc>
      </w:tr>
      <w:tr w:rsidR="00A17EBB" w:rsidRPr="00A17EBB" w14:paraId="3B9D7232"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4FC1F4EA" w14:textId="77777777" w:rsidR="00A17EBB" w:rsidRPr="00A17EBB" w:rsidRDefault="00A17EBB" w:rsidP="00FB5364">
            <w:pPr>
              <w:spacing w:after="0" w:line="240" w:lineRule="auto"/>
              <w:rPr>
                <w:rFonts w:cs="Arial"/>
                <w:sz w:val="20"/>
                <w:szCs w:val="20"/>
              </w:rPr>
            </w:pPr>
            <w:r w:rsidRPr="00A17EBB">
              <w:rPr>
                <w:rFonts w:cs="Arial"/>
                <w:sz w:val="20"/>
                <w:szCs w:val="20"/>
              </w:rPr>
              <w:t>20.</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5EDD98A9" w14:textId="77777777" w:rsidR="00A17EBB" w:rsidRPr="00A17EBB" w:rsidRDefault="00A17EBB" w:rsidP="00FB5364">
            <w:pPr>
              <w:spacing w:after="0" w:line="240" w:lineRule="auto"/>
              <w:rPr>
                <w:rFonts w:cs="Arial"/>
                <w:sz w:val="20"/>
                <w:szCs w:val="20"/>
              </w:rPr>
            </w:pPr>
            <w:r w:rsidRPr="00A17EBB">
              <w:rPr>
                <w:rFonts w:cs="Arial"/>
                <w:sz w:val="20"/>
                <w:szCs w:val="20"/>
              </w:rPr>
              <w:t>Bedingungen und Verfahren, Nachbeobachtung, Aussetzung, Abbruch, Anhang XV Kap. II 3.15. MDR</w:t>
            </w:r>
          </w:p>
          <w:p w14:paraId="76367B8F" w14:textId="77777777" w:rsidR="00A17EBB" w:rsidRPr="00A17EBB" w:rsidRDefault="00A17EBB" w:rsidP="00FB5364">
            <w:pPr>
              <w:spacing w:after="0" w:line="240" w:lineRule="auto"/>
              <w:rPr>
                <w:rFonts w:cs="Arial"/>
                <w:sz w:val="20"/>
                <w:szCs w:val="20"/>
              </w:rPr>
            </w:pPr>
            <w:r w:rsidRPr="00A17EBB">
              <w:rPr>
                <w:rFonts w:cs="Arial"/>
                <w:sz w:val="20"/>
                <w:szCs w:val="20"/>
              </w:rPr>
              <w:t>Bedingungen und Verfahren für die Nachbeobachtung der Prüfungsteilnehmer nach Ende, vorübergehender Aussetzung oder vorzeitigem Abbruch einer Prüfung, für die Nachbeobachtung der Prüfungsteilnehmer, die ihre Einwilligung widerrufen haben, und Verfahren für Prüfungsteilnehmer, die zur Nachbeobachtung nicht mehr zur Verfügung stehen. Diese Verfahren umfassen bei implantierbaren Produkten zumindest die Rückverfolgbarkeit.</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232F19EF" w14:textId="77777777" w:rsidR="00A17EBB" w:rsidRPr="00A17EBB" w:rsidRDefault="00A17EBB" w:rsidP="00FB5364">
            <w:pPr>
              <w:spacing w:after="0" w:line="240" w:lineRule="auto"/>
              <w:rPr>
                <w:rFonts w:cs="Arial"/>
                <w:sz w:val="20"/>
                <w:szCs w:val="20"/>
              </w:rPr>
            </w:pPr>
            <w:r w:rsidRPr="00A17EBB">
              <w:rPr>
                <w:rFonts w:cs="Arial"/>
                <w:sz w:val="20"/>
                <w:szCs w:val="20"/>
              </w:rPr>
              <w:t>fehlt (separates Dokument erstellen aus vorhandenen Angaben im Studienplan)</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1029866" w14:textId="77777777" w:rsidR="00A17EBB" w:rsidRPr="00A17EBB" w:rsidRDefault="00A17EBB" w:rsidP="00FB5364">
            <w:pPr>
              <w:spacing w:after="0" w:line="240" w:lineRule="auto"/>
              <w:rPr>
                <w:rFonts w:cs="Arial"/>
                <w:sz w:val="20"/>
                <w:szCs w:val="20"/>
              </w:rPr>
            </w:pPr>
          </w:p>
        </w:tc>
      </w:tr>
      <w:tr w:rsidR="00A17EBB" w:rsidRPr="00A17EBB" w14:paraId="7DAA8EE8"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hideMark/>
          </w:tcPr>
          <w:p w14:paraId="2232CCA5" w14:textId="77777777" w:rsidR="00A17EBB" w:rsidRPr="00A17EBB" w:rsidRDefault="00A17EBB" w:rsidP="00FB5364">
            <w:pPr>
              <w:spacing w:after="0" w:line="240" w:lineRule="auto"/>
              <w:rPr>
                <w:rFonts w:cs="Arial"/>
                <w:sz w:val="20"/>
                <w:szCs w:val="20"/>
              </w:rPr>
            </w:pPr>
            <w:r w:rsidRPr="00A17EBB">
              <w:rPr>
                <w:rFonts w:cs="Arial"/>
                <w:sz w:val="20"/>
                <w:szCs w:val="20"/>
              </w:rPr>
              <w:t>21.</w:t>
            </w: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11E19FAD" w14:textId="77777777" w:rsidR="00A17EBB" w:rsidRPr="00A17EBB" w:rsidRDefault="00A17EBB" w:rsidP="00FB5364">
            <w:pPr>
              <w:spacing w:after="0" w:line="240" w:lineRule="auto"/>
              <w:rPr>
                <w:rFonts w:cs="Arial"/>
                <w:sz w:val="20"/>
                <w:szCs w:val="20"/>
              </w:rPr>
            </w:pPr>
            <w:r w:rsidRPr="00A17EBB">
              <w:rPr>
                <w:rFonts w:cs="Arial"/>
                <w:sz w:val="20"/>
                <w:szCs w:val="20"/>
              </w:rPr>
              <w:t>Verzeichnis der technischen und funktionalen Merkmale des Produktes unter besonderer Angabe derjenigen, auf die sich die klinische Prüfung bezieht.  Anhang XV, Kap. II 3.18. MDR</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7B75923" w14:textId="7B1AB364" w:rsidR="00A17EBB" w:rsidRPr="00A17EBB" w:rsidRDefault="00A17EBB" w:rsidP="00FB5364">
            <w:pPr>
              <w:spacing w:after="0" w:line="240" w:lineRule="auto"/>
              <w:rPr>
                <w:rFonts w:cs="Arial"/>
                <w:sz w:val="20"/>
                <w:szCs w:val="20"/>
              </w:rPr>
            </w:pPr>
            <w:r w:rsidRPr="00A17EBB">
              <w:rPr>
                <w:rFonts w:cs="Arial"/>
                <w:sz w:val="20"/>
                <w:szCs w:val="20"/>
              </w:rPr>
              <w:t>fehlt (detaillierte Produktbeschrei</w:t>
            </w:r>
            <w:r w:rsidR="00165100">
              <w:rPr>
                <w:rFonts w:cs="Arial"/>
                <w:sz w:val="20"/>
                <w:szCs w:val="20"/>
              </w:rPr>
              <w:t>-</w:t>
            </w:r>
            <w:proofErr w:type="spellStart"/>
            <w:r w:rsidRPr="00A17EBB">
              <w:rPr>
                <w:rFonts w:cs="Arial"/>
                <w:sz w:val="20"/>
                <w:szCs w:val="20"/>
              </w:rPr>
              <w:t>bung</w:t>
            </w:r>
            <w:proofErr w:type="spellEnd"/>
            <w:r w:rsidRPr="00A17EBB">
              <w:rPr>
                <w:rFonts w:cs="Arial"/>
                <w:sz w:val="20"/>
                <w:szCs w:val="20"/>
              </w:rPr>
              <w:t>)</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FE34A69" w14:textId="77777777" w:rsidR="00A17EBB" w:rsidRPr="00A17EBB" w:rsidRDefault="00A17EBB" w:rsidP="00FB5364">
            <w:pPr>
              <w:spacing w:after="0" w:line="240" w:lineRule="auto"/>
              <w:rPr>
                <w:rFonts w:cs="Arial"/>
                <w:sz w:val="20"/>
                <w:szCs w:val="20"/>
              </w:rPr>
            </w:pPr>
          </w:p>
        </w:tc>
      </w:tr>
      <w:tr w:rsidR="00A17EBB" w:rsidRPr="00A17EBB" w14:paraId="01BB3A40"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tcPr>
          <w:p w14:paraId="133968B9" w14:textId="77777777" w:rsidR="00A17EBB" w:rsidRPr="00A17EBB" w:rsidRDefault="00A17EBB" w:rsidP="00FB5364">
            <w:pPr>
              <w:spacing w:after="0" w:line="240" w:lineRule="auto"/>
              <w:rPr>
                <w:rFonts w:cs="Arial"/>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1C734039" w14:textId="77777777" w:rsidR="00A17EBB" w:rsidRPr="00A17EBB" w:rsidRDefault="00A17EBB" w:rsidP="00FB5364">
            <w:pPr>
              <w:spacing w:after="0" w:line="240" w:lineRule="auto"/>
              <w:rPr>
                <w:rFonts w:cs="Arial"/>
                <w:sz w:val="20"/>
                <w:szCs w:val="20"/>
              </w:rPr>
            </w:pPr>
            <w:r w:rsidRPr="00A17EBB">
              <w:rPr>
                <w:rFonts w:cs="Arial"/>
                <w:sz w:val="20"/>
                <w:szCs w:val="20"/>
              </w:rPr>
              <w:t>Kostenübernahmeerklärung</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0C739B55" w14:textId="76DECA7E" w:rsidR="00A17EBB" w:rsidRPr="00A17EBB" w:rsidRDefault="00A17EBB" w:rsidP="00FB5364">
            <w:pPr>
              <w:spacing w:after="0" w:line="240" w:lineRule="auto"/>
              <w:rPr>
                <w:rFonts w:cs="Arial"/>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A1AD070" w14:textId="77777777" w:rsidR="00A17EBB" w:rsidRPr="00A17EBB" w:rsidRDefault="00A17EBB" w:rsidP="00FB5364">
            <w:pPr>
              <w:spacing w:after="0" w:line="240" w:lineRule="auto"/>
              <w:rPr>
                <w:rFonts w:cs="Arial"/>
                <w:sz w:val="20"/>
                <w:szCs w:val="20"/>
              </w:rPr>
            </w:pPr>
          </w:p>
        </w:tc>
      </w:tr>
      <w:tr w:rsidR="00A17EBB" w:rsidRPr="00A17EBB" w14:paraId="61545691" w14:textId="77777777" w:rsidTr="00165100">
        <w:tc>
          <w:tcPr>
            <w:tcW w:w="562" w:type="dxa"/>
            <w:tcBorders>
              <w:top w:val="single" w:sz="4" w:space="0" w:color="auto"/>
              <w:left w:val="single" w:sz="4" w:space="0" w:color="auto"/>
              <w:bottom w:val="single" w:sz="4" w:space="0" w:color="auto"/>
              <w:right w:val="single" w:sz="4" w:space="0" w:color="auto"/>
            </w:tcBorders>
            <w:shd w:val="clear" w:color="auto" w:fill="auto"/>
          </w:tcPr>
          <w:p w14:paraId="06B64966" w14:textId="77777777" w:rsidR="00A17EBB" w:rsidRPr="00A17EBB" w:rsidRDefault="00A17EBB" w:rsidP="00FB5364">
            <w:pPr>
              <w:spacing w:after="0" w:line="240" w:lineRule="auto"/>
              <w:rPr>
                <w:rFonts w:cs="Arial"/>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hideMark/>
          </w:tcPr>
          <w:p w14:paraId="1A2A7E9D" w14:textId="77777777" w:rsidR="00A17EBB" w:rsidRPr="00A17EBB" w:rsidRDefault="00A17EBB" w:rsidP="00FB5364">
            <w:pPr>
              <w:spacing w:after="0" w:line="240" w:lineRule="auto"/>
              <w:rPr>
                <w:rFonts w:cs="Arial"/>
                <w:sz w:val="20"/>
                <w:szCs w:val="20"/>
              </w:rPr>
            </w:pPr>
            <w:r w:rsidRPr="00A17EBB">
              <w:rPr>
                <w:rFonts w:cs="Arial"/>
                <w:sz w:val="20"/>
                <w:szCs w:val="20"/>
              </w:rPr>
              <w:t>Zustimmung der Klinikleitung</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B480C1D" w14:textId="77777777" w:rsidR="00A17EBB" w:rsidRPr="00A17EBB" w:rsidRDefault="00A17EBB" w:rsidP="00FB5364">
            <w:pPr>
              <w:spacing w:after="0" w:line="240" w:lineRule="auto"/>
              <w:rPr>
                <w:rFonts w:cs="Arial"/>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605A33E" w14:textId="77777777" w:rsidR="00A17EBB" w:rsidRPr="00A17EBB" w:rsidRDefault="00A17EBB" w:rsidP="00FB5364">
            <w:pPr>
              <w:spacing w:after="0" w:line="240" w:lineRule="auto"/>
              <w:rPr>
                <w:rFonts w:cs="Arial"/>
                <w:sz w:val="20"/>
                <w:szCs w:val="20"/>
              </w:rPr>
            </w:pPr>
          </w:p>
        </w:tc>
      </w:tr>
      <w:bookmarkEnd w:id="0"/>
      <w:bookmarkEnd w:id="1"/>
    </w:tbl>
    <w:p w14:paraId="31DF486D" w14:textId="4C67C81F" w:rsidR="00836E57" w:rsidRDefault="00836E57"/>
    <w:sectPr w:rsidR="00836E57" w:rsidSect="0016510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etaNormal-Roman">
    <w:altName w:val="Century Gothic"/>
    <w:panose1 w:val="020B0604020202020204"/>
    <w:charset w:val="00"/>
    <w:family w:val="swiss"/>
    <w:pitch w:val="variable"/>
    <w:sig w:usb0="00000003" w:usb1="40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237AF"/>
    <w:multiLevelType w:val="hybridMultilevel"/>
    <w:tmpl w:val="F70043C8"/>
    <w:lvl w:ilvl="0" w:tplc="539618AC">
      <w:start w:val="12"/>
      <w:numFmt w:val="bullet"/>
      <w:lvlText w:val="-"/>
      <w:lvlJc w:val="left"/>
      <w:pPr>
        <w:ind w:left="1080" w:hanging="360"/>
      </w:pPr>
      <w:rPr>
        <w:rFonts w:ascii="MetaNormal-Roman" w:eastAsia="Times New Roman" w:hAnsi="MetaNormal-Roman"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55D80F0A"/>
    <w:multiLevelType w:val="hybridMultilevel"/>
    <w:tmpl w:val="9D3C7AE8"/>
    <w:lvl w:ilvl="0" w:tplc="B3C040EA">
      <w:start w:val="17"/>
      <w:numFmt w:val="bullet"/>
      <w:lvlText w:val="-"/>
      <w:lvlJc w:val="left"/>
      <w:pPr>
        <w:ind w:left="1080" w:hanging="360"/>
      </w:pPr>
      <w:rPr>
        <w:rFonts w:ascii="MetaNormal-Roman" w:eastAsia="Times New Roman" w:hAnsi="MetaNormal-Roman"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1882984349">
    <w:abstractNumId w:val="1"/>
  </w:num>
  <w:num w:numId="2" w16cid:durableId="1946377948">
    <w:abstractNumId w:val="0"/>
  </w:num>
  <w:num w:numId="3" w16cid:durableId="25523112">
    <w:abstractNumId w:val="0"/>
  </w:num>
  <w:num w:numId="4" w16cid:durableId="53007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7F"/>
    <w:rsid w:val="00002474"/>
    <w:rsid w:val="00051B17"/>
    <w:rsid w:val="000B1859"/>
    <w:rsid w:val="000B4739"/>
    <w:rsid w:val="000C0673"/>
    <w:rsid w:val="000D2B27"/>
    <w:rsid w:val="000D5E69"/>
    <w:rsid w:val="000E528E"/>
    <w:rsid w:val="000E57A4"/>
    <w:rsid w:val="00165100"/>
    <w:rsid w:val="001A2149"/>
    <w:rsid w:val="001B1403"/>
    <w:rsid w:val="001C2628"/>
    <w:rsid w:val="001C6C30"/>
    <w:rsid w:val="001F35C4"/>
    <w:rsid w:val="00233756"/>
    <w:rsid w:val="002356A4"/>
    <w:rsid w:val="00235ACF"/>
    <w:rsid w:val="00243BC9"/>
    <w:rsid w:val="00256C59"/>
    <w:rsid w:val="00264005"/>
    <w:rsid w:val="0026444B"/>
    <w:rsid w:val="00281959"/>
    <w:rsid w:val="002942A6"/>
    <w:rsid w:val="00294D8E"/>
    <w:rsid w:val="0030194C"/>
    <w:rsid w:val="003660BD"/>
    <w:rsid w:val="00366E6F"/>
    <w:rsid w:val="00393EB5"/>
    <w:rsid w:val="003B0F5A"/>
    <w:rsid w:val="003B2B65"/>
    <w:rsid w:val="003F445D"/>
    <w:rsid w:val="0040457A"/>
    <w:rsid w:val="00416824"/>
    <w:rsid w:val="00463B04"/>
    <w:rsid w:val="004A5388"/>
    <w:rsid w:val="004E67F5"/>
    <w:rsid w:val="00506845"/>
    <w:rsid w:val="00582577"/>
    <w:rsid w:val="005855BF"/>
    <w:rsid w:val="00590B9A"/>
    <w:rsid w:val="005E5601"/>
    <w:rsid w:val="006135BB"/>
    <w:rsid w:val="00616225"/>
    <w:rsid w:val="00635315"/>
    <w:rsid w:val="00644904"/>
    <w:rsid w:val="00675D00"/>
    <w:rsid w:val="00681F04"/>
    <w:rsid w:val="006E4856"/>
    <w:rsid w:val="006F6876"/>
    <w:rsid w:val="00704430"/>
    <w:rsid w:val="0070686E"/>
    <w:rsid w:val="007B7C0D"/>
    <w:rsid w:val="007F4E28"/>
    <w:rsid w:val="00802538"/>
    <w:rsid w:val="00836E57"/>
    <w:rsid w:val="00840A80"/>
    <w:rsid w:val="008B6FE7"/>
    <w:rsid w:val="008B7955"/>
    <w:rsid w:val="008C0344"/>
    <w:rsid w:val="008C44BD"/>
    <w:rsid w:val="008F77C6"/>
    <w:rsid w:val="0092385E"/>
    <w:rsid w:val="009568FA"/>
    <w:rsid w:val="00977927"/>
    <w:rsid w:val="009C78CE"/>
    <w:rsid w:val="009D5442"/>
    <w:rsid w:val="00A154EC"/>
    <w:rsid w:val="00A16584"/>
    <w:rsid w:val="00A17EBB"/>
    <w:rsid w:val="00A554FC"/>
    <w:rsid w:val="00A66D3C"/>
    <w:rsid w:val="00A738FB"/>
    <w:rsid w:val="00A83902"/>
    <w:rsid w:val="00A83F2F"/>
    <w:rsid w:val="00A90270"/>
    <w:rsid w:val="00A9656D"/>
    <w:rsid w:val="00AD318B"/>
    <w:rsid w:val="00AF3650"/>
    <w:rsid w:val="00B05A38"/>
    <w:rsid w:val="00B0628B"/>
    <w:rsid w:val="00B34A7F"/>
    <w:rsid w:val="00B361F1"/>
    <w:rsid w:val="00B51378"/>
    <w:rsid w:val="00B868E1"/>
    <w:rsid w:val="00B915F5"/>
    <w:rsid w:val="00BD3B45"/>
    <w:rsid w:val="00BD73DD"/>
    <w:rsid w:val="00C05F88"/>
    <w:rsid w:val="00CA0C4A"/>
    <w:rsid w:val="00CC6758"/>
    <w:rsid w:val="00CF5217"/>
    <w:rsid w:val="00D04AE5"/>
    <w:rsid w:val="00D63174"/>
    <w:rsid w:val="00D84B14"/>
    <w:rsid w:val="00D86D91"/>
    <w:rsid w:val="00DA4117"/>
    <w:rsid w:val="00DD6DE1"/>
    <w:rsid w:val="00E03766"/>
    <w:rsid w:val="00E218A7"/>
    <w:rsid w:val="00E572CF"/>
    <w:rsid w:val="00EB1AC7"/>
    <w:rsid w:val="00EB5A10"/>
    <w:rsid w:val="00EE5D0D"/>
    <w:rsid w:val="00EF782F"/>
    <w:rsid w:val="00F05BED"/>
    <w:rsid w:val="00F26DB6"/>
    <w:rsid w:val="00F5737C"/>
    <w:rsid w:val="00F869FC"/>
    <w:rsid w:val="00F96072"/>
    <w:rsid w:val="00FB476D"/>
    <w:rsid w:val="00FB5364"/>
    <w:rsid w:val="00FC6A41"/>
    <w:rsid w:val="02CF8A4A"/>
    <w:rsid w:val="03D31371"/>
    <w:rsid w:val="06897A76"/>
    <w:rsid w:val="180066A6"/>
    <w:rsid w:val="24C9D9EE"/>
    <w:rsid w:val="29220E72"/>
    <w:rsid w:val="2FA0353F"/>
    <w:rsid w:val="355EB19C"/>
    <w:rsid w:val="3EE0D237"/>
    <w:rsid w:val="42D6BF4B"/>
    <w:rsid w:val="45784B58"/>
    <w:rsid w:val="4C22AEAD"/>
    <w:rsid w:val="4CA217F6"/>
    <w:rsid w:val="5031DD55"/>
    <w:rsid w:val="568D24A1"/>
    <w:rsid w:val="582BC000"/>
    <w:rsid w:val="601F1D6A"/>
    <w:rsid w:val="60CAC6D9"/>
    <w:rsid w:val="643AB475"/>
    <w:rsid w:val="69EC12DF"/>
    <w:rsid w:val="6FA4E554"/>
    <w:rsid w:val="745BF1BD"/>
    <w:rsid w:val="761361E1"/>
    <w:rsid w:val="791910AF"/>
    <w:rsid w:val="7C9596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1B63"/>
  <w15:chartTrackingRefBased/>
  <w15:docId w15:val="{D4055D88-28B8-4949-839B-FF797676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4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34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34A7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34A7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4A7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4A7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4A7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34A7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4A7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4A7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34A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34A7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34A7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4A7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34A7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4A7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34A7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4A7F"/>
    <w:rPr>
      <w:rFonts w:eastAsiaTheme="majorEastAsia" w:cstheme="majorBidi"/>
      <w:color w:val="272727" w:themeColor="text1" w:themeTint="D8"/>
    </w:rPr>
  </w:style>
  <w:style w:type="paragraph" w:styleId="Titel">
    <w:name w:val="Title"/>
    <w:basedOn w:val="Standard"/>
    <w:next w:val="Standard"/>
    <w:link w:val="TitelZchn"/>
    <w:uiPriority w:val="10"/>
    <w:qFormat/>
    <w:rsid w:val="00B34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4A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4A7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4A7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34A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4A7F"/>
    <w:rPr>
      <w:i/>
      <w:iCs/>
      <w:color w:val="404040" w:themeColor="text1" w:themeTint="BF"/>
    </w:rPr>
  </w:style>
  <w:style w:type="paragraph" w:styleId="Listenabsatz">
    <w:name w:val="List Paragraph"/>
    <w:basedOn w:val="Standard"/>
    <w:uiPriority w:val="34"/>
    <w:qFormat/>
    <w:rsid w:val="00B34A7F"/>
    <w:pPr>
      <w:ind w:left="720"/>
      <w:contextualSpacing/>
    </w:pPr>
  </w:style>
  <w:style w:type="character" w:styleId="IntensiveHervorhebung">
    <w:name w:val="Intense Emphasis"/>
    <w:basedOn w:val="Absatz-Standardschriftart"/>
    <w:uiPriority w:val="21"/>
    <w:qFormat/>
    <w:rsid w:val="00B34A7F"/>
    <w:rPr>
      <w:i/>
      <w:iCs/>
      <w:color w:val="0F4761" w:themeColor="accent1" w:themeShade="BF"/>
    </w:rPr>
  </w:style>
  <w:style w:type="paragraph" w:styleId="IntensivesZitat">
    <w:name w:val="Intense Quote"/>
    <w:basedOn w:val="Standard"/>
    <w:next w:val="Standard"/>
    <w:link w:val="IntensivesZitatZchn"/>
    <w:uiPriority w:val="30"/>
    <w:qFormat/>
    <w:rsid w:val="00B34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4A7F"/>
    <w:rPr>
      <w:i/>
      <w:iCs/>
      <w:color w:val="0F4761" w:themeColor="accent1" w:themeShade="BF"/>
    </w:rPr>
  </w:style>
  <w:style w:type="character" w:styleId="IntensiverVerweis">
    <w:name w:val="Intense Reference"/>
    <w:basedOn w:val="Absatz-Standardschriftart"/>
    <w:uiPriority w:val="32"/>
    <w:qFormat/>
    <w:rsid w:val="00B34A7F"/>
    <w:rPr>
      <w:b/>
      <w:bCs/>
      <w:smallCaps/>
      <w:color w:val="0F4761" w:themeColor="accent1" w:themeShade="BF"/>
      <w:spacing w:val="5"/>
    </w:rPr>
  </w:style>
  <w:style w:type="character" w:customStyle="1" w:styleId="Flietext">
    <w:name w:val="Fließtext_"/>
    <w:link w:val="Flietext0"/>
    <w:rsid w:val="00B34A7F"/>
    <w:rPr>
      <w:rFonts w:ascii="Arial" w:eastAsia="Arial" w:hAnsi="Arial" w:cs="Arial"/>
      <w:sz w:val="16"/>
      <w:szCs w:val="16"/>
    </w:rPr>
  </w:style>
  <w:style w:type="paragraph" w:customStyle="1" w:styleId="Flietext0">
    <w:name w:val="Fließtext"/>
    <w:basedOn w:val="Standard"/>
    <w:link w:val="Flietext"/>
    <w:rsid w:val="00B34A7F"/>
    <w:pPr>
      <w:widowControl w:val="0"/>
      <w:spacing w:after="200" w:line="276" w:lineRule="auto"/>
    </w:pPr>
    <w:rPr>
      <w:rFonts w:ascii="Arial" w:eastAsia="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973451">
      <w:bodyDiv w:val="1"/>
      <w:marLeft w:val="0"/>
      <w:marRight w:val="0"/>
      <w:marTop w:val="0"/>
      <w:marBottom w:val="0"/>
      <w:divBdr>
        <w:top w:val="none" w:sz="0" w:space="0" w:color="auto"/>
        <w:left w:val="none" w:sz="0" w:space="0" w:color="auto"/>
        <w:bottom w:val="none" w:sz="0" w:space="0" w:color="auto"/>
        <w:right w:val="none" w:sz="0" w:space="0" w:color="auto"/>
      </w:divBdr>
    </w:div>
    <w:div w:id="192787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0BB584574F4347960EFA8BA4E52840" ma:contentTypeVersion="13" ma:contentTypeDescription="Ein neues Dokument erstellen." ma:contentTypeScope="" ma:versionID="21771eb2608fba2f8b67ee6b38a88e84">
  <xsd:schema xmlns:xsd="http://www.w3.org/2001/XMLSchema" xmlns:xs="http://www.w3.org/2001/XMLSchema" xmlns:p="http://schemas.microsoft.com/office/2006/metadata/properties" xmlns:ns2="cab0f8d8-48f0-4959-869b-5cdbbf0ba533" xmlns:ns3="cfbc7bd0-e5d1-4549-93e1-0c18a54cec88" targetNamespace="http://schemas.microsoft.com/office/2006/metadata/properties" ma:root="true" ma:fieldsID="372ae3b8c1e197932c756b81c518b41a" ns2:_="" ns3:_="">
    <xsd:import namespace="cab0f8d8-48f0-4959-869b-5cdbbf0ba533"/>
    <xsd:import namespace="cfbc7bd0-e5d1-4549-93e1-0c18a54cec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0f8d8-48f0-4959-869b-5cdbbf0ba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d54f03d9-aa79-400c-8d29-181a3661517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bc7bd0-e5d1-4549-93e1-0c18a54cec8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2651c8-6ba1-4a30-9267-06556094013b}" ma:internalName="TaxCatchAll" ma:showField="CatchAllData" ma:web="cfbc7bd0-e5d1-4549-93e1-0c18a54cec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ab0f8d8-48f0-4959-869b-5cdbbf0ba533">
      <Terms xmlns="http://schemas.microsoft.com/office/infopath/2007/PartnerControls"/>
    </lcf76f155ced4ddcb4097134ff3c332f>
    <TaxCatchAll xmlns="cfbc7bd0-e5d1-4549-93e1-0c18a54cec88" xsi:nil="true"/>
  </documentManagement>
</p:properties>
</file>

<file path=customXml/itemProps1.xml><?xml version="1.0" encoding="utf-8"?>
<ds:datastoreItem xmlns:ds="http://schemas.openxmlformats.org/officeDocument/2006/customXml" ds:itemID="{D605D78E-17BC-4BF1-979F-FBD1A9E91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b0f8d8-48f0-4959-869b-5cdbbf0ba533"/>
    <ds:schemaRef ds:uri="cfbc7bd0-e5d1-4549-93e1-0c18a54ce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BBF27A-4365-40D0-9332-D3556512527A}">
  <ds:schemaRefs>
    <ds:schemaRef ds:uri="http://schemas.microsoft.com/sharepoint/v3/contenttype/forms"/>
  </ds:schemaRefs>
</ds:datastoreItem>
</file>

<file path=customXml/itemProps3.xml><?xml version="1.0" encoding="utf-8"?>
<ds:datastoreItem xmlns:ds="http://schemas.openxmlformats.org/officeDocument/2006/customXml" ds:itemID="{15AEF968-38D3-46BC-A92E-7560216968FA}">
  <ds:schemaRefs>
    <ds:schemaRef ds:uri="http://schemas.microsoft.com/office/2006/metadata/properties"/>
    <ds:schemaRef ds:uri="http://schemas.microsoft.com/office/infopath/2007/PartnerControls"/>
    <ds:schemaRef ds:uri="cab0f8d8-48f0-4959-869b-5cdbbf0ba533"/>
    <ds:schemaRef ds:uri="cfbc7bd0-e5d1-4549-93e1-0c18a54cec8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7945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Brefka, Simone</dc:creator>
  <cp:keywords/>
  <dc:description/>
  <cp:lastModifiedBy>Utz Rieger</cp:lastModifiedBy>
  <cp:revision>2</cp:revision>
  <dcterms:created xsi:type="dcterms:W3CDTF">2025-05-23T08:24:00Z</dcterms:created>
  <dcterms:modified xsi:type="dcterms:W3CDTF">2025-05-23T08:24:00Z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0x010100FD0BB584574F4347960EFA8BA4E52840</vt:lpwstr>
  </property>
  <property fmtid="{D5CDD505-2E9C-101B-9397-08002B2CF9AE}" pid="3" name="MediaServiceImageTags">
    <vt:lpwstr/>
  </property>
</Properties>
</file>