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National Achievement Survey - Data Summary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National Achievement Survey, at a snapshot, provides an insight to what influences the marks of class VIII students. This is measured across over 6000 schools, 24k teachers and 1.8 lakh students in 2014.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The dataset outlines different categories of information.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Marks  - Reading %, Science %, Mathematics %, Social %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About student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- location: state, district, distance to school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- demographics: gender, age, handicap, siblings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- parents: father/mother education/occupation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- education: problem solving, tuition, geometry, computer use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- entertainment: TV, games, magazine, book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About data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- Majority of the data is categorical. The only attributes (columns) with numerical values are raw marks (maths %, reading %, social %, science %).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Suggested directions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- How does the distance to school impact the marks of students?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- Does parents' education assist a student's subject marks?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- How does having siblings help/derail a student's prospects in different subjects?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