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5.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8.xml"/>
  <Override ContentType="application/vnd.openxmlformats-officedocument.wordprocessingml.footer+xml" PartName="/word/footer9.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2.xml"/>
  <Override ContentType="application/vnd.openxmlformats-officedocument.wordprocessingml.footer+xml" PartName="/word/footer13.xml"/>
  <Override ContentType="application/vnd.openxmlformats-officedocument.wordprocessingml.footer+xml" PartName="/word/footer14.xml"/>
  <Override ContentType="application/vnd.openxmlformats-officedocument.wordprocessingml.footer+xml" PartName="/word/footer15.xml"/>
  <Override ContentType="application/vnd.openxmlformats-officedocument.wordprocessingml.footer+xml" PartName="/word/footer16.xml"/>
  <Override ContentType="application/vnd.openxmlformats-officedocument.wordprocessingml.footer+xml" PartName="/word/footer17.xml"/>
  <Override ContentType="application/vnd.openxmlformats-officedocument.wordprocessingml.footer+xml" PartName="/word/footer18.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footer+xml" PartName="/word/footer26.xml"/>
  <Override ContentType="application/vnd.openxmlformats-officedocument.wordprocessingml.footer+xml" PartName="/word/footer27.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jc w:val="center"/>
      </w:pPr>
      <w:r>
        <w:rPr>
          <w:rFonts w:ascii="Times New Roman" w:cs="Times New Roman" w:eastAsia="Times New Roman" w:hAnsi="Times New Roman"/>
          <w:b w:val="false"/>
          <w:bCs w:val="false"/>
          <w:i w:val="false"/>
          <w:iCs w:val="false"/>
          <w:smallCaps w:val="false"/>
          <w:sz w:val="44"/>
          <w:szCs w:val="44"/>
        </w:rPr>
        <w:t xml:space="preserve">Approval-Provenance Failure: Resume-Time Authorization Forgery in Agentic AI, Durable Workflows, and CI/CD</w:t>
      </w:r>
    </w:p>
    <w:p>
      <w:pPr>
        <w:spacing w:after="60" w:before="0"/>
        <w:jc w:val="center"/>
      </w:pPr>
      <w:r>
        <w:rPr>
          <w:rFonts w:ascii="Times New Roman" w:cs="Times New Roman" w:eastAsia="Times New Roman" w:hAnsi="Times New Roman"/>
          <w:b w:val="false"/>
          <w:bCs w:val="false"/>
          <w:i w:val="false"/>
          <w:iCs w:val="false"/>
          <w:smallCaps w:val="false"/>
          <w:sz w:val="24"/>
          <w:szCs w:val="24"/>
        </w:rPr>
        <w:t xml:space="preserve">Anonymous Author(s)</w:t>
      </w:r>
    </w:p>
    <w:p>
      <w:pPr>
        <w:spacing w:after="260" w:before="0"/>
        <w:jc w:val="center"/>
      </w:pPr>
      <w:r>
        <w:rPr>
          <w:rFonts w:ascii="Times New Roman" w:cs="Times New Roman" w:eastAsia="Times New Roman" w:hAnsi="Times New Roman"/>
          <w:b w:val="false"/>
          <w:bCs w:val="false"/>
          <w:i/>
          <w:iCs/>
          <w:smallCaps w:val="false"/>
          <w:sz w:val="20"/>
          <w:szCs w:val="20"/>
        </w:rPr>
        <w:t xml:space="preserve">Paper submitted for double-blind review</w:t>
      </w:r>
    </w:p>
    <w:p>
      <w:pPr>
        <w:sectPr>
          <w:footerReference w:type="default" r:id="rId7"/>
          <w:pgSz w:w="12240" w:h="15840" w:orient="portrait"/>
          <w:pgMar w:top="1080" w:right="1080" w:bottom="1260" w:left="1080" w:header="720" w:footer="720" w:gutter="0"/>
          <w:pgNumType/>
          <w:cols w:space="360" w:num="1" w:equalWidth="true"/>
          <w:docGrid w:linePitch="360"/>
        </w:sectPr>
      </w:pPr>
    </w:p>
    <w:p>
      <w:pPr>
        <w:keepNext w:val="false"/>
        <w:spacing w:after="0" w:before="0" w:line="232" w:lineRule="auto"/>
        <w:ind w:firstLine="0"/>
        <w:jc w:val="both"/>
      </w:pPr>
      <w:r>
        <w:rPr>
          <w:rFonts w:ascii="Times New Roman" w:cs="Times New Roman" w:eastAsia="Times New Roman" w:hAnsi="Times New Roman"/>
          <w:b/>
          <w:bCs/>
          <w:i/>
          <w:iCs/>
          <w:smallCaps w:val="false"/>
          <w:sz w:val="18"/>
          <w:szCs w:val="18"/>
        </w:rPr>
        <w:t xml:space="preserve">Abstract—</w:t>
      </w:r>
      <w:r>
        <w:rPr>
          <w:rFonts w:ascii="Times New Roman" w:cs="Times New Roman" w:eastAsia="Times New Roman" w:hAnsi="Times New Roman"/>
          <w:b/>
          <w:bCs/>
          <w:i w:val="false"/>
          <w:iCs w:val="false"/>
          <w:smallCaps w:val="false"/>
          <w:sz w:val="18"/>
          <w:szCs w:val="18"/>
        </w:rPr>
        <w:t xml:space="preserve">Human-approval gates are a standard authorization control for workflows that transfer funds, deploy infrastructure, grant access, or invoke privileged tools. We identify Approval-Provenance Failure (APF), a resume-time confused-deputy failure in which continuation accepts an approval-shaped value from mutable operational state without proving that the authorized approval path issued the decision for the exact action that follows. Our adversary can write approval-relevant workflow state but cannot approve, invoke the protected tool, read secrets, modify application code, execute on the host, or access approval keys; five deployment measurements show that this write-but-not-approve boundary is strictly weaker than application authority and occurs naturally at the persistence layer.</w:t>
      </w:r>
    </w:p>
    <w:p>
      <w:pPr>
        <w:keepNext w:val="false"/>
        <w:spacing w:after="0" w:before="80" w:line="232" w:lineRule="auto"/>
        <w:ind w:firstLine="200"/>
        <w:jc w:val="both"/>
      </w:pPr>
      <w:r>
        <w:rPr>
          <w:rFonts w:ascii="Times New Roman" w:cs="Times New Roman" w:eastAsia="Times New Roman" w:hAnsi="Times New Roman"/>
          <w:b/>
          <w:bCs/>
          <w:i w:val="false"/>
          <w:iCs w:val="false"/>
          <w:smallCaps w:val="false"/>
          <w:sz w:val="18"/>
          <w:szCs w:val="18"/>
        </w:rPr>
        <w:t xml:space="preserve">We evaluate 43 version-pinned systems across agent frameworks, durable execution, orchestration/BPMN, CI/CD, code review, identity governance, and infrastructure composition. Twenty-five are directly exposed, three conditionally exposed, one transitively exposed, twelve resistant, and two have no qualifying persisted gate. The architectural discriminator is authoring topology: systems resist when the evidence accepted at resume comes from an authority the operational writer cannot author. A controlled 500-pair audit study yields exact native-field matches and AUC 0.5 under its stated projection, while provenance-bound evidence yields AUC 1.0; we bound this as a field-level result, not a universal claim. One forged Gitea review row is laundered through Atlantis into a Terraform-created assumable administrator-role resource in an isolated lab. We design a provenance-bound approval artifact, policy-integrity control, and downstream attestation, validate them with a 13-case adversarial battery and per-binding ablation, and measure median verification costs of 1.665 µs for HMAC-SHA-256 and 103.360 µs for Ed25519.</w:t>
      </w:r>
    </w:p>
    <w:p>
      <w:pPr>
        <w:keepNext w:val="false"/>
        <w:spacing w:after="0" w:before="100" w:line="232" w:lineRule="auto"/>
        <w:ind w:firstLine="0"/>
        <w:jc w:val="both"/>
      </w:pPr>
      <w:r>
        <w:rPr>
          <w:rFonts w:ascii="Times New Roman" w:cs="Times New Roman" w:eastAsia="Times New Roman" w:hAnsi="Times New Roman"/>
          <w:b/>
          <w:bCs/>
          <w:i/>
          <w:iCs/>
          <w:smallCaps w:val="false"/>
          <w:sz w:val="18"/>
          <w:szCs w:val="18"/>
        </w:rPr>
        <w:t xml:space="preserve">Index Terms—</w:t>
      </w:r>
      <w:r>
        <w:rPr>
          <w:rFonts w:ascii="Times New Roman" w:cs="Times New Roman" w:eastAsia="Times New Roman" w:hAnsi="Times New Roman"/>
          <w:b/>
          <w:bCs/>
          <w:i w:val="false"/>
          <w:iCs w:val="false"/>
          <w:smallCaps w:val="false"/>
          <w:sz w:val="18"/>
          <w:szCs w:val="18"/>
        </w:rPr>
        <w:t xml:space="preserve">authorization, access control, approval provenance, confused deputy, durable workflows, human-in-the-loop, audit integrity, CI/CD, agentic systems</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I. Introduction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compliance workflow blocks a EUR 100,000 transfer and pauses for human approval. The reviewer rejects it; after one write to the persisted checkpoint, normal continuation executes the transfer under the workflow’s service identity and records a senior compliance officer who was never contacted. The attacker steals no credential, changes no model or application code, executes no host payload, and never invokes the payment service directly.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failure is an authorization error at a resume-time boundary. We show that this write-but-not-approve boundary occurs in five deployment shapes and can be strictly weaker than application compromise.</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Reaching an approval screen is not the same as proving approval. The gate produces a decision, but it should also leave evidence that an authorized reviewer made that decision for the operation that is about to run. Several systems store only the decision-shaped part in ordinary workflow state. When the run resumes, they rely on that same record as though it also established origin. A maintenance principal can then supply data that resembles approval, after which the workflow uses its own stronger credential to perform the protected action. The writer obtains an effect that it could not invoke directly.</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call this Approval-Provenance Failure (APF). The model, prompt, reviewer interface, and initial pause may all work as intended. A run can stop at the gate, reject normal continuation, and even contain an explicit human rejection. The failure appears later, when the resume logic decides whether the gate has been cleared. When that decision rests on evidence that a workflow-state writer can author, without an independent issuer or a binding to the pending execution, the writer can create the system’s evidence of human authority.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Our threat boundary is deliberately narrow. The attacker may update approval-relevant checkpoint, session, execution, review, lifecycle, policy, or event-history data. The attacker cannot use the real approval channel, obtain the workflow service credential, call the protected tool, alter application code, write the business database, read secrets, execute on the host, or create a valid signed or MACed approval artifact.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 narrower 18-framework study introduced the initial APF definition, five mechanism families, a controlled 500-pair audit experiment, and a provenance-bound artifact [1]. The present work is a substantial systems-security expansion rather than a larger rerun. It evaluates 43 systems spanning durable-execution engines, orchestration and BPMN, CI/CD gates, code review, identity governance, and infrastructure composition; adds policy suppression and writable-journal mechanisms; measures the deployment capability boundary; establishes transitive laundering across real systems; includes twelve resistant controls; performs binding-by-binding mitigation ablation; and records coordinated disclosure separately from the research verdict.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Our contributions are sixfold. First, we formalize APF as a resume-time authorization-provenance failure and distinguish approval state from approval authority, prompt injection, dialog manipulation, and full compromise. Second, we conduct a version-pinned measurement of 43 systems and identify authoring topology as the causal architectural discriminator between exposed and resistant designs. Third, we characterize false evidence of human oversight through a bounded audit study and representative traces from newly added domains. Fourth, we demonstrate end-to-end laundering from a forged Gitea review row through Atlantis to Terraform-created infrastructure authority. Fifth, we evaluate a provenance-bound approval design, a separate policy-integrity control, downstream attestations, a 13-case adversarial battery, and per-binding ablations. Sixth, we report a disclosure register that keeps vendor position, evidence tier, and experimental verdict separate.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rest of the paper defines the workflow boundary, grounds the attacker, formalizes APF, measures the corpus, develops three case studies, quantifies the audit failure, evaluates the control, and closes with detection, limitations, ethics, and an anonymized reproducibility plan.</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II. Background</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Human-gated workflows separate autonomous preparation from human authorization. A workflow reaches a gate before a protected action, presents the pending action to a reviewer, persists enough state to survive the wait, and later resumes from a human decision. The protected action may be a tool call, fund transfer, deployment, repository merge, infrastructure apply, access grant, or service-task transition. Persistence is correct and necessary engineering: review may arrive seconds or hours later, after a restart, crash, migration, failover, or worker replacement.</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The security requirement is a separation-of-duty property: </w:t>
            </w:r>
            <w:r>
              <w:rPr>
                <w:rFonts w:ascii="Times New Roman" w:cs="Times New Roman" w:eastAsia="Times New Roman" w:hAnsi="Times New Roman"/>
                <w:b w:val="false"/>
                <w:bCs w:val="false"/>
                <w:i/>
                <w:iCs/>
                <w:smallCaps w:val="false"/>
                <w:sz w:val="18"/>
                <w:szCs w:val="18"/>
              </w:rPr>
              <w:t xml:space="preserve">a workflow-state writer must not be able to authorize a human-gated action.</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This separation follows classic least-privilege, complete-mediation, and confused-deputy reasoning [2], [3]. Access to a representation of a decision does not confer authority to make that decision. The workflow violates that distinction when its own privileged service account performs the gated effect because an operational writer supplied a value that resembles human approval.</w:t>
      </w:r>
    </w:p>
    <w:p>
      <w:pPr>
        <w:keepNext w:val="false"/>
        <w:spacing w:after="0" w:before="0" w:line="232" w:lineRule="auto"/>
        <w:ind w:firstLine="200"/>
        <w:jc w:val="both"/>
      </w:pPr>
      <w:r>
        <w:rPr>
          <w:rFonts w:ascii="Times New Roman" w:cs="Times New Roman" w:eastAsia="Times New Roman" w:hAnsi="Times New Roman"/>
          <w:b w:val="false"/>
          <w:bCs w:val="false"/>
          <w:i/>
          <w:iCs/>
          <w:smallCaps w:val="false"/>
          <w:sz w:val="20"/>
          <w:szCs w:val="20"/>
        </w:rPr>
        <w:t xml:space="preserve">a) System model and security properties: </w:t>
      </w:r>
      <w:r>
        <w:rPr>
          <w:rFonts w:ascii="Times New Roman" w:cs="Times New Roman" w:eastAsia="Times New Roman" w:hAnsi="Times New Roman"/>
          <w:b w:val="false"/>
          <w:bCs w:val="false"/>
          <w:i w:val="false"/>
          <w:iCs w:val="false"/>
          <w:smallCaps w:val="false"/>
          <w:sz w:val="20"/>
          <w:szCs w:val="20"/>
        </w:rPr>
        <w:t xml:space="preserve">We model a paused workflow as a tuple ⟨F, D, G, X, C⟩. F is the workflow service, D the operational store, G the human gate, X the protected action, and C the execution context shown to the reviewer. The approval authority A authenticates the reviewer and can issue a decision d ∈ {approve, reject}. The state writer W can update a subset </w:t>
      </w:r>
      <w:r>
        <w:rPr>
          <w:rFonts w:ascii="Times New Roman" w:cs="Times New Roman" w:eastAsia="Times New Roman" w:hAnsi="Times New Roman"/>
          <w:b w:val="false"/>
          <w:bCs w:val="false"/>
          <w:i w:val="false"/>
          <w:iCs w:val="false"/>
          <w:smallCaps w:val="false"/>
          <w:sz w:val="20"/>
          <w:szCs w:val="20"/>
        </w:rPr>
        <w:t xml:space="preserve">D</w:t>
      </w:r>
      <w:r>
        <w:rPr>
          <w:rFonts w:ascii="Times New Roman" w:cs="Times New Roman" w:eastAsia="Times New Roman" w:hAnsi="Times New Roman"/>
          <w:b w:val="false"/>
          <w:bCs w:val="false"/>
          <w:i w:val="false"/>
          <w:iCs w:val="false"/>
          <w:smallCaps w:val="false"/>
          <w:sz w:val="20"/>
          <w:szCs w:val="20"/>
          <w:vertAlign w:val="subscript"/>
        </w:rPr>
        <w:t xml:space="preserve">W</w:t>
      </w:r>
      <w:r>
        <w:rPr>
          <w:rFonts w:ascii="Times New Roman" w:cs="Times New Roman" w:eastAsia="Times New Roman" w:hAnsi="Times New Roman"/>
          <w:b w:val="false"/>
          <w:bCs w:val="false"/>
          <w:i w:val="false"/>
          <w:iCs w:val="false"/>
          <w:smallCaps w:val="false"/>
          <w:sz w:val="20"/>
          <w:szCs w:val="20"/>
        </w:rPr>
        <w:t xml:space="preserve"> of the operational store but is not authorized to invoke A or X. The resume function R consumes persisted state and any externally supplied evidence, then either remains blocked or asks F to invoke X.</w:t>
      </w:r>
    </w:p>
    <w:p>
      <w:pPr>
        <w:sectPr>
          <w:footerReference w:type="default" r:id="rId8"/>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spacing w:after="0" w:before="120" w:line="3167" w:lineRule="atLeast"/>
        <w:ind w:firstLine="0"/>
        <w:jc w:val="center"/>
      </w:pPr>
      <w:r>
        <w:drawing>
          <wp:inline distT="0" distB="0" distL="0" distR="0">
            <wp:extent cx="6305550" cy="1971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6305550" cy="1971675"/>
                    </a:xfrm>
                    <a:prstGeom prst="rect">
                      <a:avLst/>
                    </a:prstGeom>
                  </pic:spPr>
                </pic:pic>
              </a:graphicData>
            </a:graphic>
          </wp:inline>
        </w:drawing>
      </w:r>
    </w:p>
    <w:p>
      <w:pPr>
        <w:spacing w:after="130" w:before="60"/>
        <w:jc w:val="both"/>
      </w:pPr>
      <w:r>
        <w:rPr>
          <w:rFonts w:ascii="Times New Roman" w:cs="Times New Roman" w:eastAsia="Times New Roman" w:hAnsi="Times New Roman"/>
          <w:b w:val="false"/>
          <w:bCs w:val="false"/>
          <w:i w:val="false"/>
          <w:iCs w:val="false"/>
          <w:smallCaps w:val="false"/>
          <w:sz w:val="16"/>
          <w:szCs w:val="16"/>
        </w:rPr>
        <w:t xml:space="preserve">Fig. 1: </w:t>
      </w:r>
      <w:r>
        <w:rPr>
          <w:rFonts w:ascii="Times New Roman" w:cs="Times New Roman" w:eastAsia="Times New Roman" w:hAnsi="Times New Roman"/>
          <w:b w:val="false"/>
          <w:bCs w:val="false"/>
          <w:i w:val="false"/>
          <w:iCs w:val="false"/>
          <w:smallCaps w:val="false"/>
          <w:sz w:val="16"/>
          <w:szCs w:val="16"/>
        </w:rPr>
        <w:t xml:space="preserve">Pause-resume architecture and the APF boundary. The authorized review path and an operational state-writer can reach the same persisted representation. Exposure occurs when resume accepts that representation as authority without verifying its origin and binding.</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9"/>
          <w:type w:val="continuous"/>
          <w:pgSz w:w="12240" w:h="15840" w:orient="portrait"/>
          <w:pgMar w:top="1080" w:right="1080" w:bottom="1260" w:left="1080" w:header="720" w:footer="720" w:gutter="0"/>
          <w:pgNumType/>
          <w:cols w:space="360" w:num="1" w:equalWidth="true"/>
          <w:docGrid w:linePitch="360"/>
        </w:sectPr>
      </w:pP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Figure 1 shows the pause-and-resume pattern used throughout the paper. Implementations preserve different objects while a run waits: checkpoint values, serialized sessions, execution rows, restored tool calls, lifecycle records, confirmation rules, pull-request votes, or history events. These records are useful because they let the system reconstruct its work after a delay or restart. They do not, by themselves, establish that a permitted person approved anything. The boundary is crossed only when resume logic treats one of these operational records as proof of a human decision.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therefore separate three concepts. Approval state is the stored representation of a status such as pending, approved, rejected, or completed. Approval provenance is evidence that the authorized review path issued a decision for the action and execution now being resumed. The resume path is the code or service that continues a paused run from stored or externally supplied data. APF does not argue against persistence. It argues that operational state and authorization evidence cannot safely inherit the same trust assumptions.</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An approved value is not enough. Origin integrity requires evidence from the approval authority, not merely a value in D. Action binding covers the operation and canonical arguments; execution binding covers the run, checkpoint, audience, and reviewed context. Freshness prevents stale or repeated use. Policy integrity protects the rule that invokes the gate. APF always breaks origin integrity. It may also break action binding, execution binding, freshness, or policy integrity, depending on which stored surface resume trusts.</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III. Threat Model</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A. State-Writer Adversary</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adversary may maintain workflow persistence but cannot approve the gated action. This narrower capability is common when storage, recovery, and business authorization are handled by separate components.</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The state writer can change the object consulted during resume, such as a checkpoint row, session field, or execution JSON value, review vote, lifecycle status, confirmation rule, or accepted history entry. That access may come from a table grant, persistence API, recovery process, integration, or another operational service.</w:t>
            </w:r>
          </w:p>
          <w:p>
            <w:pPr>
              <w:spacing w:after="0" w:before="8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It does not include approval through the trusted human path, protected-tool invocation, source-code edits, business-data writes, secret reads, host execution, use of the workflow service credential, or access to signing and MAC keys. The writer may know enough about the stored structure to locate the decisive field, but the attack remains a data change rather than code execution.</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authorization goal can be stated as non-interference by the operational writer: for any two stores D and D′ that differ only in fields writable by W, if A has not issued a valid decision for ⟨X, C⟩, then R(D) and R(D′) must both remain blocked. An exposed system admits a D′ for which this property fails. A resistant system may persist arbitrary workflow state, but the decisive evidence consumed by R is outside </w:t>
      </w:r>
      <w:r>
        <w:rPr>
          <w:rFonts w:ascii="Times New Roman" w:cs="Times New Roman" w:eastAsia="Times New Roman" w:hAnsi="Times New Roman"/>
          <w:b w:val="false"/>
          <w:bCs w:val="false"/>
          <w:i w:val="false"/>
          <w:iCs w:val="false"/>
          <w:smallCaps w:val="false"/>
          <w:sz w:val="20"/>
          <w:szCs w:val="20"/>
        </w:rPr>
        <w:t xml:space="preserve">D</w:t>
      </w:r>
      <w:r>
        <w:rPr>
          <w:rFonts w:ascii="Times New Roman" w:cs="Times New Roman" w:eastAsia="Times New Roman" w:hAnsi="Times New Roman"/>
          <w:b w:val="false"/>
          <w:bCs w:val="false"/>
          <w:i w:val="false"/>
          <w:iCs w:val="false"/>
          <w:smallCaps w:val="false"/>
          <w:sz w:val="20"/>
          <w:szCs w:val="20"/>
          <w:vertAlign w:val="subscript"/>
        </w:rPr>
        <w:t xml:space="preserve">W</w:t>
      </w:r>
      <w:r>
        <w:rPr>
          <w:rFonts w:ascii="Times New Roman" w:cs="Times New Roman" w:eastAsia="Times New Roman" w:hAnsi="Times New Roman"/>
          <w:b w:val="false"/>
          <w:bCs w:val="false"/>
          <w:i w:val="false"/>
          <w:iCs w:val="false"/>
          <w:smallCaps w:val="false"/>
          <w:sz w:val="20"/>
          <w:szCs w:val="20"/>
        </w:rPr>
        <w:t xml:space="preserve"> or is cryptographically unforgeable by W.</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B. Why Write-but-Not-Approve Is the Default Boundary</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Persistence and approval live in different architectural layers. Durability components back up, migrate, recover, replay, compact, and update execution state. Approval components authenticate a person or role through a UI, API, callback, repository review, or human-task service. A sound architecture intentionally gives the persistence layer the ability to preserve workflow progress without making it part of the human authorization layer. Consequently, an infrastructure component can naturally write the workflow store while lacking the identity, role, user interaction, or key needed to approve.</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This distinction matters because an operational credential can be over-scoped without becoming an application credential. A database role may update execution rows while remaining blocked from the secrets schema. A Redis sidecar may reach checkpoint keys but possess no application token. A recovery worker may repair a paused run without having the identity or role accepted by the approval interface. APF occurs when resume logic later interprets one of those maintenance writes as though it had passed the separate authorization controls.</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Table I operationalizes this distinction. None of the listed components needs approval authority to perform its function. Treating its state writes as human authorization silently collapses separation of duty. The write-but-not-approve boundary is therefore not selected to make the attack work; it is the usual product of separating infrastructure maintenance from business authorization.</w:t>
      </w:r>
    </w:p>
    <w:p>
      <w:pPr>
        <w:sectPr>
          <w:footerReference w:type="default" r:id="rId10"/>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I</w:t>
      </w:r>
      <w:r>
        <w:rPr>
          <w:rFonts w:ascii="Times New Roman" w:cs="Times New Roman" w:eastAsia="Times New Roman" w:hAnsi="Times New Roman"/>
          <w:b w:val="false"/>
          <w:bCs w:val="false"/>
          <w:i w:val="false"/>
          <w:iCs w:val="false"/>
          <w:smallCaps w:val="false"/>
          <w:sz w:val="16"/>
          <w:szCs w:val="16"/>
        </w:rPr>
        <w:t xml:space="preserve">: Operational roles that write workflow state without belonging to the approval path. Examples come from measured deployments or documented persistence contracts.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740"/>
        <w:gridCol w:w="900"/>
        <w:gridCol w:w="960"/>
        <w:gridCol w:w="6480"/>
      </w:tblGrid>
      <w:tr>
        <w:trPr>
          <w:tblHeader/>
        </w:trPr>
        <w:tc>
          <w:tcPr>
            <w:tcW w:type="dxa" w:w="17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Component</w:t>
            </w:r>
          </w:p>
        </w:tc>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Writes state</w:t>
            </w:r>
          </w:p>
        </w:tc>
        <w:tc>
          <w:tcPr>
            <w:tcW w:type="dxa" w:w="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Approval path</w:t>
            </w:r>
          </w:p>
        </w:tc>
        <w:tc>
          <w:tcPr>
            <w:tcW w:type="dxa" w:w="64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Representative role or measured instance</w:t>
            </w:r>
          </w:p>
        </w:tc>
      </w:tr>
      <w:tr>
        <w:tc>
          <w:tcPr>
            <w:tcW w:type="dxa" w:w="17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Backup/restore sidecar</w:t>
            </w:r>
          </w:p>
        </w:tc>
        <w:tc>
          <w:tcPr>
            <w:tcW w:type="dxa" w:w="9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Restores Redis checkpoint keys after restart. In the Docker lab it reached the workflow store but not the protected tool.</w:t>
            </w:r>
          </w:p>
        </w:tc>
      </w:tr>
      <w:tr>
        <w:tc>
          <w:tcPr>
            <w:tcW w:type="dxa" w:w="17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Database migration job</w:t>
            </w:r>
          </w:p>
        </w:tc>
        <w:tc>
          <w:tcPr>
            <w:tcW w:type="dxa" w:w="9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Updates execution-schema rows during migration while secrets and business schemas remain separately permissioned.</w:t>
            </w:r>
          </w:p>
        </w:tc>
      </w:tr>
      <w:tr>
        <w:tc>
          <w:tcPr>
            <w:tcW w:type="dxa" w:w="17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Queue or stream consumer</w:t>
            </w:r>
          </w:p>
        </w:tc>
        <w:tc>
          <w:tcPr>
            <w:tcW w:type="dxa" w:w="9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Persists task progress and output in Conductor and n8n; operational completion is not a human identity event [4], [5].</w:t>
            </w:r>
          </w:p>
        </w:tc>
      </w:tr>
      <w:tr>
        <w:tc>
          <w:tcPr>
            <w:tcW w:type="dxa" w:w="17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Connector or integration</w:t>
            </w:r>
          </w:p>
        </w:tc>
        <w:tc>
          <w:tcPr>
            <w:tcW w:type="dxa" w:w="9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Writes run or checkpoint data through a persistence API, such as a LangGraph checkpointer or Dapr actor-state backend [6], [7].</w:t>
            </w:r>
          </w:p>
        </w:tc>
      </w:tr>
      <w:tr>
        <w:tc>
          <w:tcPr>
            <w:tcW w:type="dxa" w:w="17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Operations database role</w:t>
            </w:r>
          </w:p>
        </w:tc>
        <w:tc>
          <w:tcPr>
            <w:tcW w:type="dxa" w:w="9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Holds table-level write on an execution schema; the measured PostgreSQL role could alter approval but not read secrets.</w:t>
            </w:r>
          </w:p>
        </w:tc>
      </w:tr>
      <w:tr>
        <w:tc>
          <w:tcPr>
            <w:tcW w:type="dxa" w:w="17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Recovery worker</w:t>
            </w:r>
          </w:p>
        </w:tc>
        <w:tc>
          <w:tcPr>
            <w:tcW w:type="dxa" w:w="9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Yes</w:t>
            </w:r>
          </w:p>
        </w:tc>
        <w:tc>
          <w:tcPr>
            <w:tcW w:type="dxa" w:w="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No</w:t>
            </w:r>
          </w:p>
        </w:tc>
        <w:tc>
          <w:tcPr>
            <w:tcW w:type="dxa" w:w="64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Reconstructs paused runs after worker replacement, including Airflow scheduler and other durable-recovery paths [8].</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1"/>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C. Empirical Capability Separation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We measured the boundary in five deployment shapes: LangGraph on Redis, Dapr Workflow on Redis, Conductor on PostgreSQL, n8n on PostgreSQL, and Airflow on its metadata database. In each exposed configuration, a narrow principal could reach the workflow store and change the approval-relevant artifact while direct protected-tool use, business-database writes, secret reads, and host execution remained denied. Each deployment had a hardened twin in which authentication, network isolation, or least-privilege grants removed only the state-write path; the stronger capabilities remained denied in both variants.</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Each deployment kept orchestration metadata separate from application authority. The test principal received only the store-facing permission needed for the experiment, while the workflow service, scheduler, or worker continued to hold its normal credential. Before attempting a forge, we ran a positive probe and several negative probes. The positive probe confirmed that the principal could read and update the decisive workflow object. The negative probes confirmed that it could not reach the protected tool, application secrets, business data, or the workflow host. We attempted the state change only after those checks established the intended boundary.</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Docker capability-separation experiment isolates the decisive permission. An unauthenticated Redis store shared with a narrow sidecar accepted the approval-state write. An over-scoped PostgreSQL role with write permission on the execution schema changed the workflow approval row but was denied access to the secrets table. In the hardened twins, Redis returned NOAUTH, and a read-only PostgreSQL role was denied on both approval and secret rows. The insecure and hardened deployments differed in state-store reachability, not in application or host authority. This demonstrates that workflow-state write can be strictly weaker than application compromise and that the weaker capability suffices for APF.</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II</w:t>
      </w:r>
      <w:r>
        <w:rPr>
          <w:rFonts w:ascii="Times New Roman" w:cs="Times New Roman" w:eastAsia="Times New Roman" w:hAnsi="Times New Roman"/>
          <w:b w:val="false"/>
          <w:bCs w:val="false"/>
          <w:i w:val="false"/>
          <w:iCs w:val="false"/>
          <w:smallCaps w:val="false"/>
          <w:sz w:val="16"/>
          <w:szCs w:val="16"/>
        </w:rPr>
        <w:t xml:space="preserve">: State-writer capabilities in exposed and hardened twins.</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900"/>
        <w:gridCol w:w="980"/>
        <w:gridCol w:w="980"/>
      </w:tblGrid>
      <w:tr>
        <w:trPr>
          <w:tblHeader/>
        </w:trPr>
        <w:tc>
          <w:tcPr>
            <w:tcW w:type="dxa" w:w="2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Capability</w:t>
            </w:r>
          </w:p>
        </w:tc>
        <w:tc>
          <w:tcPr>
            <w:tcW w:type="dxa" w:w="9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Insecure</w:t>
            </w:r>
          </w:p>
        </w:tc>
        <w:tc>
          <w:tcPr>
            <w:tcW w:type="dxa" w:w="9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Hardened</w:t>
            </w:r>
          </w:p>
        </w:tc>
      </w:tr>
      <w:tr>
        <w:tc>
          <w:tcPr>
            <w:tcW w:type="dxa" w:w="2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Reach and write workflow state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Forge approval-relevant state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Invoke gated tool directly</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Write business database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Read application secrets</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r>
        <w:tc>
          <w:tcPr>
            <w:tcW w:type="dxa" w:w="29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Execute on workflow host</w:t>
            </w:r>
          </w:p>
        </w:tc>
        <w:tc>
          <w:tcPr>
            <w:tcW w:type="dxa" w:w="9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c>
          <w:tcPr>
            <w:tcW w:type="dxa" w:w="9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2"/>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III</w:t>
      </w:r>
      <w:r>
        <w:rPr>
          <w:rFonts w:ascii="Times New Roman" w:cs="Times New Roman" w:eastAsia="Times New Roman" w:hAnsi="Times New Roman"/>
          <w:b w:val="false"/>
          <w:bCs w:val="false"/>
          <w:i w:val="false"/>
          <w:iCs w:val="false"/>
          <w:smallCaps w:val="false"/>
          <w:sz w:val="16"/>
          <w:szCs w:val="16"/>
        </w:rPr>
        <w:t xml:space="preserve">: Five measured deployment shapes used to ground the state-writer boundary. The final column records the stronger capability that remained denied.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240"/>
        <w:gridCol w:w="1240"/>
        <w:gridCol w:w="4000"/>
        <w:gridCol w:w="3600"/>
      </w:tblGrid>
      <w:tr>
        <w:trPr>
          <w:tblHeader/>
        </w:trPr>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System shape</w:t>
            </w:r>
          </w:p>
        </w:tc>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Store</w:t>
            </w:r>
          </w:p>
        </w:tc>
        <w:tc>
          <w:tcPr>
            <w:tcW w:type="dxa" w:w="40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Approval-relevant surface reached by the narrow principal</w:t>
            </w:r>
          </w:p>
        </w:tc>
        <w:tc>
          <w:tcPr>
            <w:tcW w:type="dxa" w:w="36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Capability still denied</w:t>
            </w:r>
          </w:p>
        </w:tc>
      </w:tr>
      <w:tr>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LangGraph</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Redis</w:t>
            </w:r>
          </w:p>
        </w:tc>
        <w:tc>
          <w:tcPr>
            <w:tcW w:type="dxa" w:w="40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Checkpointer row and resume channel value</w:t>
            </w:r>
          </w:p>
        </w:tc>
        <w:tc>
          <w:tcPr>
            <w:tcW w:type="dxa" w:w="36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invocation of the transfer node and workflow service credential</w:t>
            </w:r>
          </w:p>
        </w:tc>
      </w:tr>
      <w:tr>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Dapr Workflow</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Redis</w:t>
            </w:r>
          </w:p>
        </w:tc>
        <w:tc>
          <w:tcPr>
            <w:tcW w:type="dxa" w:w="40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Actor-state keys carrying accepted workflow history under the conditional writable-history configuration</w:t>
            </w:r>
          </w:p>
        </w:tc>
        <w:tc>
          <w:tcPr>
            <w:tcW w:type="dxa" w:w="36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Protected callback/tool path and host execution</w:t>
            </w:r>
          </w:p>
        </w:tc>
      </w:tr>
      <w:tr>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Conductor</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PostgreSQL</w:t>
            </w:r>
          </w:p>
        </w:tc>
        <w:tc>
          <w:tcPr>
            <w:tcW w:type="dxa" w:w="40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HUMAN-task status and output in the execution schema</w:t>
            </w:r>
          </w:p>
        </w:tc>
        <w:tc>
          <w:tcPr>
            <w:tcW w:type="dxa" w:w="36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Secrets table and downstream service credential</w:t>
            </w:r>
          </w:p>
        </w:tc>
      </w:tr>
      <w:tr>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n8n</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PostgreSQL</w:t>
            </w:r>
          </w:p>
        </w:tc>
        <w:tc>
          <w:tcPr>
            <w:tcW w:type="dxa" w:w="40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Execution entity data, wait state, and runData</w:t>
            </w:r>
          </w:p>
        </w:tc>
        <w:tc>
          <w:tcPr>
            <w:tcW w:type="dxa" w:w="36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Credential store and direct downstream-node invocation</w:t>
            </w:r>
          </w:p>
        </w:tc>
      </w:tr>
      <w:tr>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Airflow</w:t>
            </w:r>
          </w:p>
        </w:tc>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Metadata database</w:t>
            </w:r>
          </w:p>
        </w:tc>
        <w:tc>
          <w:tcPr>
            <w:tcW w:type="dxa" w:w="40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XCom or human-response metadata consumed by the scheduler</w:t>
            </w:r>
          </w:p>
        </w:tc>
        <w:tc>
          <w:tcPr>
            <w:tcW w:type="dxa" w:w="36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execution of the protected task and business-database writes</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3"/>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D. Why State Write Is Not “Already Won”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natural objection is that write access to workflow state may already be so powerful that approval forgery adds little. The measured boundary shows otherwise. The narrow principal cannot cause the protected effect on its own; the workflow causes it with a credential that the principal does not hold. The same state change also creates a workflow-native record that attributes the decision to a human. General application compromise is not part of our model, and it would not automatically provide this specific combination of privileged execution and apparently valid oversight evidence. Sections VI and VII examine both consequences.</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E. Success Predicate and Controls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We mark a system as exposed only when one controlled run satisfies six checks. The workflow must reach a human gate, and an independent negative control must show that ordinary continuation remains blocked. The experiment changes only approval-related state. Resume then follows the documented path and reaches the protected action, although no decision was issued through the trusted approval channel. The system must also retain an approval, completion, attribution, or equivalent accepted record.</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blocked control is essential: it shows that the gate worked before the mutation and prevents a permissive harness from being mislabeled as APF. Conditional results add a matched precondition test, succeeding with the stated persistence condition and failing without it. Resistant systems receive the same state write but remain blocked because resume obtains decisive evidence elsewhere. Two no-gate systems remain as scope controls.</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F. Scope and Exclusions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study does not rely on prompt injection, jailbreaks, model or training compromise, manipulated tool output, a fake approval interface, compromise of the reviewer or approval service, source-code modification, direct writes to the business database, direct tool invocation, or host execution. These exclusions define the question under test: can an operational state writer cross the human-authorization boundary through the ordinary resume contract? Systems that require a live identity check, a pending-work capability, a server-mediated decision, or a signed artifact remain in scope. Those designs form the resistant class.</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IV. Approval-Provenance Failure</w:t>
      </w: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APF exists when continuation accepts mutable approval-related state as proof that the trusted review path authorized the exact action and execution, even though it does not verify the origin and bindings of that proof. Let S denote operational state, A the approval authority, R the resume function, and </w:t>
            </w:r>
            <w:r>
              <w:rPr>
                <w:rFonts w:ascii="Times New Roman" w:cs="Times New Roman" w:eastAsia="Times New Roman" w:hAnsi="Times New Roman"/>
                <w:b w:val="false"/>
                <w:bCs w:val="false"/>
                <w:i w:val="false"/>
                <w:iCs w:val="false"/>
                <w:smallCaps w:val="false"/>
                <w:sz w:val="18"/>
                <w:szCs w:val="18"/>
              </w:rPr>
              <w:t xml:space="preserve">E</w:t>
            </w:r>
            <w:r>
              <w:rPr>
                <w:rFonts w:ascii="Times New Roman" w:cs="Times New Roman" w:eastAsia="Times New Roman" w:hAnsi="Times New Roman"/>
                <w:b w:val="false"/>
                <w:bCs w:val="false"/>
                <w:i w:val="false"/>
                <w:iCs w:val="false"/>
                <w:smallCaps w:val="false"/>
                <w:sz w:val="18"/>
                <w:szCs w:val="18"/>
                <w:vertAlign w:val="subscript"/>
              </w:rPr>
              <w:t xml:space="preserve">A</w:t>
            </w:r>
            <w:r>
              <w:rPr>
                <w:rFonts w:ascii="Times New Roman" w:cs="Times New Roman" w:eastAsia="Times New Roman" w:hAnsi="Times New Roman"/>
                <w:b w:val="false"/>
                <w:bCs w:val="false"/>
                <w:i w:val="false"/>
                <w:iCs w:val="false"/>
                <w:smallCaps w:val="false"/>
                <w:sz w:val="18"/>
                <w:szCs w:val="18"/>
              </w:rPr>
              <w:t xml:space="preserve"> evidence issued by A. An exposed design has some state s′ that the operational writer can create, but A did not create, for which R(s′) releases the protected action although no valid </w:t>
            </w:r>
            <w:r>
              <w:rPr>
                <w:rFonts w:ascii="Times New Roman" w:cs="Times New Roman" w:eastAsia="Times New Roman" w:hAnsi="Times New Roman"/>
                <w:b w:val="false"/>
                <w:bCs w:val="false"/>
                <w:i w:val="false"/>
                <w:iCs w:val="false"/>
                <w:smallCaps w:val="false"/>
                <w:sz w:val="18"/>
                <w:szCs w:val="18"/>
              </w:rPr>
              <w:t xml:space="preserve">E</w:t>
            </w:r>
            <w:r>
              <w:rPr>
                <w:rFonts w:ascii="Times New Roman" w:cs="Times New Roman" w:eastAsia="Times New Roman" w:hAnsi="Times New Roman"/>
                <w:b w:val="false"/>
                <w:bCs w:val="false"/>
                <w:i w:val="false"/>
                <w:iCs w:val="false"/>
                <w:smallCaps w:val="false"/>
                <w:sz w:val="18"/>
                <w:szCs w:val="18"/>
                <w:vertAlign w:val="subscript"/>
              </w:rPr>
              <w:t xml:space="preserve">A</w:t>
            </w:r>
            <w:r>
              <w:rPr>
                <w:rFonts w:ascii="Times New Roman" w:cs="Times New Roman" w:eastAsia="Times New Roman" w:hAnsi="Times New Roman"/>
                <w:b w:val="false"/>
                <w:bCs w:val="false"/>
                <w:i w:val="false"/>
                <w:iCs w:val="false"/>
                <w:smallCaps w:val="false"/>
                <w:sz w:val="18"/>
                <w:szCs w:val="18"/>
              </w:rPr>
              <w:t xml:space="preserve"> exists for it. A resistant design instead depends on decisive evidence whose authoring authority lies outside the writer’s capability.</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Approval data is not approval authority. A Boolean, closed task, review row, lifecycle status, or history event may describe a decision, but it does not show who issued it, what action was reviewed, or whether it is fresh and single-use. Resume therefore cannot treat stored approval state as provenance.</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Five observable conditions make the definition executable: a gate precedes a protected action; approval-related data persists across the pause; continuation reads that data; the state writer can alter it; and resume does not require an independently issued, execution-bound artifact.</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We observed five attack forms. Forge creates a decision that no reviewer made. Rebind starts from a real decision but changes the action or arguments covered by it. Replay uses valid evidence for another run, target, audience, or time. Suppress alters the policy that decides whether the gate runs, so the approval event is never created. Launder carries forged or over-broad authority across a trust boundary until a correct downstream component turns it into a stronger effect.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APF differs from human-interface manipulation and model-driven attacks. OWASP’s Lies-in-the-Loop pattern changes what the human sees [9]; APF begins after, or instead of, that interaction and changes what the system accepts as the human decision. Indirect prompt injection and malicious plugins manipulate model behavior or tool inputs [10], [11]. APF leaves the model unchanged and succeeds because the runtime interprets mutable state as authority.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Table IV identifies where each system reconstructs authority. Because a system may receive several mechanism labels, those labels explain the surface but are not counts. Outcome totals come only from the mutually exclusive result table.</w:t>
      </w:r>
    </w:p>
    <w:p>
      <w:pPr>
        <w:sectPr>
          <w:footerReference w:type="default" r:id="rId14"/>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IV</w:t>
      </w:r>
      <w:r>
        <w:rPr>
          <w:rFonts w:ascii="Times New Roman" w:cs="Times New Roman" w:eastAsia="Times New Roman" w:hAnsi="Times New Roman"/>
          <w:b w:val="false"/>
          <w:bCs w:val="false"/>
          <w:i w:val="false"/>
          <w:iCs w:val="false"/>
          <w:smallCaps w:val="false"/>
          <w:sz w:val="16"/>
          <w:szCs w:val="16"/>
        </w:rPr>
        <w:t xml:space="preserve">: Mechanism families. Labels identify decisive authorization surfaces and must not be summed.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20"/>
        <w:gridCol w:w="3200"/>
        <w:gridCol w:w="5760"/>
      </w:tblGrid>
      <w:tr>
        <w:trPr>
          <w:tblHeader/>
        </w:trPr>
        <w:tc>
          <w:tcPr>
            <w:tcW w:type="dxa" w:w="11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Code</w:t>
            </w:r>
          </w:p>
        </w:tc>
        <w:tc>
          <w:tcPr>
            <w:tcW w:type="dxa" w:w="32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surface</w:t>
            </w:r>
          </w:p>
        </w:tc>
        <w:tc>
          <w:tcPr>
            <w:tcW w:type="dxa" w:w="57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Representative systems</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 resume value</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LangGraph, Microsoft Agent Framework, Semantic Kernel, LlamaIndex, Burr, DBOS</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SRS</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Serialized session or run state</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Google ADK, OpenAI Agents SDK, AutoGen, Strands</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Workflow execution or task data</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Dify, Flowise, n8n, Airflow, SpiffWorkflow, Flowable, Kogito, Conductor</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TCA</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Approval and arguments inside restored tool state</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Haystack; Vercel AI SDK when approval-bearing messages are persisted</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Approval lifecycle or task status</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Agno, CrewAI, Kestra, Gitea, midPoint</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APS</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Persisted policy deciding whether a gate fires</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OpenHands; state-policy paths in Strands</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JRN-writable</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Accepted event history in a writable backing store</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Dapr Workflow and Azure Durable Functions under the stated condition</w:t>
            </w:r>
          </w:p>
        </w:tc>
      </w:tr>
      <w:tr>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identity-, capability-, or server-mediated authority</w:t>
            </w:r>
          </w:p>
        </w:tc>
        <w:tc>
          <w:tcPr>
            <w:tcW w:type="dxa" w:w="57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The twelve resistant systems</w:t>
            </w:r>
          </w:p>
        </w:tc>
      </w:tr>
      <w:tr>
        <w:tc>
          <w:tcPr>
            <w:tcW w:type="dxa" w:w="11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NONE</w:t>
            </w:r>
          </w:p>
        </w:tc>
        <w:tc>
          <w:tcPr>
            <w:tcW w:type="dxa" w:w="32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 qualifying persisted approval gate</w:t>
            </w:r>
          </w:p>
        </w:tc>
        <w:tc>
          <w:tcPr>
            <w:tcW w:type="dxa" w:w="57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CAMEL and Langroid</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5"/>
          <w:type w:val="continuous"/>
          <w:pgSz w:w="12240" w:h="15840" w:orient="portrait"/>
          <w:pgMar w:top="1080" w:right="1080" w:bottom="1260" w:left="1080" w:header="720" w:footer="720" w:gutter="0"/>
          <w:pgNumType/>
          <w:cols w:space="360" w:num="1" w:equalWidth="true"/>
          <w:docGrid w:linePitch="360"/>
        </w:sectPr>
      </w:pP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V. Cross-System Measurement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measurement treats the 43 systems as one fixed corpus and retains resistant and no-gate cases as first-class entries.</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A. Corpus and Protocol</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system entered the corpus when we could inspect a pause, resume, review, human-task, or approval path capable of releasing a protected or tool-mediated action. Every entry was tied to a version, commit, container image, or documented design basis. The main text gives the aggregate results and three detailed cases; Appendix B records the complete ledger.</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Keeping resistant and no-gate cases avoids an exposure-only sample.</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For each author-run exposure, the integrity suite began with a blocked negative control. We then changed only the decisive state, resumed through the normal path, preserved the resulting action and audit evidence, repeated the run deterministically, installed the provenance control, confirmed that the unsigned forge was rejected, and finally confirmed that the exact legitimate authenticated approval still worked. Conditional entries included a matched test with and without the stated persistence condition. Resistant entries received the same attempted state write and a legitimate decision through their intended approval path. No entries were removed after classification.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per-system procedure started by locating the smallest object that continuation treated as decisive: for example a Boolean, message, node output, task status, review row, policy value, or history event. We created a minimal gated action and captured the blocked state before any change. The state writer then altered only that object and resumed using the documented API, scheduler, recovery path, or integration. Forge required a protected effect after the negative control had blocked and no approval-path event. Rebind additionally required an execution argument to differ from the reviewed value. Replay required reuse across another run, target, audience, or use. Suppress required the gate to disappear after a policy-state change. Launder required a downstream system to perform its own documented check correctly while inheriting false authority.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test obligations differ for exposed and resistant designs. Exposure requires both a working blocked control and a successful state-only forge. Resistance requires the same state write to remain insufficient while a genuine approval still succeeds. N1 and N2 harnesses completed ten control, forge, and mitigation checks per exposed system, except LangGraph, which had nine applicable checks and passed all nine. The N3 controls completed 5/5 for PydanticAI, 8/8 for BeeAI, and 3/3 for Mastra. These are deterministic checks, not confidence intervals.</w:t>
      </w:r>
    </w:p>
    <w:p>
      <w:pPr>
        <w:keepNext w:val="false"/>
        <w:spacing w:after="0" w:before="0" w:line="232" w:lineRule="auto"/>
        <w:ind w:firstLine="200"/>
        <w:jc w:val="both"/>
      </w:pPr>
      <w:r>
        <w:rPr>
          <w:rFonts w:ascii="Times New Roman" w:cs="Times New Roman" w:eastAsia="Times New Roman" w:hAnsi="Times New Roman"/>
          <w:b w:val="false"/>
          <w:bCs w:val="false"/>
          <w:i/>
          <w:iCs/>
          <w:smallCaps w:val="false"/>
          <w:sz w:val="20"/>
          <w:szCs w:val="20"/>
        </w:rPr>
        <w:t xml:space="preserve">b) Classification and adjudication: </w:t>
      </w:r>
      <w:r>
        <w:rPr>
          <w:rFonts w:ascii="Times New Roman" w:cs="Times New Roman" w:eastAsia="Times New Roman" w:hAnsi="Times New Roman"/>
          <w:b w:val="false"/>
          <w:bCs w:val="false"/>
          <w:i w:val="false"/>
          <w:iCs w:val="false"/>
          <w:smallCaps w:val="false"/>
          <w:sz w:val="20"/>
          <w:szCs w:val="20"/>
        </w:rPr>
        <w:t xml:space="preserve">A direct exposure needs only the defined writer reaching the decisive surface. A conditional exposure required a named condition and a matched hardened or non-persisted control in which the same write failed. A transitive exposure required the upstream forge to cross a documented interface into a downstream system that performed its local check correctly. Resistance required a concrete authority boundary that prevented the writer from authoring the accepted evidence. Systems without a persisted decision consumed at resume were marked non-applicable rather than resistant, because no APF predicate was present to test.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When a product contained several possible approval patterns, we classified only the tested path and retained the system version or design basis in the ledger. Mechanism codes were assigned after identifying the decisive surface but before computing aggregate counts. Because the codes are multi-label, the outcome table, not the mechanism table, is the only additive accounting. This distinction prevents a system exposing, for example, both WED and ALS from being counted twice.</w:t>
      </w:r>
    </w:p>
    <w:p>
      <w:pPr>
        <w:sectPr>
          <w:footerReference w:type="default" r:id="rId16"/>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V</w:t>
      </w:r>
      <w:r>
        <w:rPr>
          <w:rFonts w:ascii="Times New Roman" w:cs="Times New Roman" w:eastAsia="Times New Roman" w:hAnsi="Times New Roman"/>
          <w:b w:val="false"/>
          <w:bCs w:val="false"/>
          <w:i w:val="false"/>
          <w:iCs w:val="false"/>
          <w:smallCaps w:val="false"/>
          <w:sz w:val="16"/>
          <w:szCs w:val="16"/>
        </w:rPr>
        <w:t xml:space="preserve">: Standard integrity suite applied to each executable exposure or resistance test.</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800"/>
        <w:gridCol w:w="4800"/>
        <w:gridCol w:w="3480"/>
      </w:tblGrid>
      <w:tr>
        <w:trPr>
          <w:tblHeader/>
        </w:trPr>
        <w:tc>
          <w:tcPr>
            <w:tcW w:type="dxa" w:w="18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Phase</w:t>
            </w:r>
          </w:p>
        </w:tc>
        <w:tc>
          <w:tcPr>
            <w:tcW w:type="dxa" w:w="48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Required observation</w:t>
            </w:r>
          </w:p>
        </w:tc>
        <w:tc>
          <w:tcPr>
            <w:tcW w:type="dxa" w:w="34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Prevented confound</w:t>
            </w:r>
          </w:p>
        </w:tc>
      </w:tr>
      <w:tr>
        <w:tc>
          <w:tcPr>
            <w:tcW w:type="dxa" w:w="1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Blocked control</w:t>
            </w:r>
          </w:p>
        </w:tc>
        <w:tc>
          <w:tcPr>
            <w:tcW w:type="dxa" w:w="4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Pending or rejected state does not reach the protected action</w:t>
            </w:r>
          </w:p>
        </w:tc>
        <w:tc>
          <w:tcPr>
            <w:tcW w:type="dxa" w:w="3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Permissive or broken gate</w:t>
            </w:r>
          </w:p>
        </w:tc>
      </w:tr>
      <w:tr>
        <w:tc>
          <w:tcPr>
            <w:tcW w:type="dxa" w:w="1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State-only mutation</w:t>
            </w:r>
          </w:p>
        </w:tc>
        <w:tc>
          <w:tcPr>
            <w:tcW w:type="dxa" w:w="4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Only the decisive approval-relevant object changes</w:t>
            </w:r>
          </w:p>
        </w:tc>
        <w:tc>
          <w:tcPr>
            <w:tcW w:type="dxa" w:w="3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Code, secret, or business-data compromise</w:t>
            </w:r>
          </w:p>
        </w:tc>
      </w:tr>
      <w:tr>
        <w:tc>
          <w:tcPr>
            <w:tcW w:type="dxa" w:w="1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Documented resume</w:t>
            </w:r>
          </w:p>
        </w:tc>
        <w:tc>
          <w:tcPr>
            <w:tcW w:type="dxa" w:w="4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Continuation uses the normal API, scheduler, restore, or integration path</w:t>
            </w:r>
          </w:p>
        </w:tc>
        <w:tc>
          <w:tcPr>
            <w:tcW w:type="dxa" w:w="3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Out-of-band tool invocation</w:t>
            </w:r>
          </w:p>
        </w:tc>
      </w:tr>
      <w:tr>
        <w:tc>
          <w:tcPr>
            <w:tcW w:type="dxa" w:w="1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Protected effect</w:t>
            </w:r>
          </w:p>
        </w:tc>
        <w:tc>
          <w:tcPr>
            <w:tcW w:type="dxa" w:w="4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The gated action or downstream effect is recorded</w:t>
            </w:r>
          </w:p>
        </w:tc>
        <w:tc>
          <w:tcPr>
            <w:tcW w:type="dxa" w:w="3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State change without security consequence</w:t>
            </w:r>
          </w:p>
        </w:tc>
      </w:tr>
      <w:tr>
        <w:tc>
          <w:tcPr>
            <w:tcW w:type="dxa" w:w="1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Evidence inspection</w:t>
            </w:r>
          </w:p>
        </w:tc>
        <w:tc>
          <w:tcPr>
            <w:tcW w:type="dxa" w:w="4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Approval, completion, attribution, or absence is preserved</w:t>
            </w:r>
          </w:p>
        </w:tc>
        <w:tc>
          <w:tcPr>
            <w:tcW w:type="dxa" w:w="34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Unmeasured audit consequence</w:t>
            </w:r>
          </w:p>
        </w:tc>
      </w:tr>
      <w:tr>
        <w:tc>
          <w:tcPr>
            <w:tcW w:type="dxa" w:w="18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Mitigated repeat</w:t>
            </w:r>
          </w:p>
        </w:tc>
        <w:tc>
          <w:tcPr>
            <w:tcW w:type="dxa" w:w="48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Unsigned or mis-bound state is rejected; exact valid artifact is accepted</w:t>
            </w:r>
          </w:p>
        </w:tc>
        <w:tc>
          <w:tcPr>
            <w:tcW w:type="dxa" w:w="34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Control that merely disables the workflow</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7"/>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B. Evidence Tiers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Evidence strength is separated from verdict. Four systems have native-runtime reproductions (N1): Google ADK, LlamaIndex Workflows, CrewAI, and LangGraph. Twenty-four direct, conditional, or transitive author-run exposures use executable reproductions of the documented resume contract (N2). Three resistant systems were reproduced at runtime (N3): PydanticAI, BeeAI, and Mastra. Nine resistant designs were verified through trust anchors the state writer could not author (N4): Genkit, Prefect, Temporal, Restate, Inngest, AWS Step Functions, Jenkins, GoCD, and Gerrit. One external case, FlowiseAI, is vendor-confirmed (V) and is not counted as an author-run harness. Two rows are scope controls.</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N2 harnesses reproduce the documented state shape and decisive continuation predicate; they are not presented as native product executions. N4 classifications rest on a trust anchor outside the writer’s authoring capability.</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Verdict and evidence tier answer different questions: whether the tested resume contract fails, and how directly that result was reproduced. Reporting them separately prevents the corpus count from implying stronger evidence than each row provides.</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VI</w:t>
      </w:r>
      <w:r>
        <w:rPr>
          <w:rFonts w:ascii="Times New Roman" w:cs="Times New Roman" w:eastAsia="Times New Roman" w:hAnsi="Times New Roman"/>
          <w:b w:val="false"/>
          <w:bCs w:val="false"/>
          <w:i w:val="false"/>
          <w:iCs w:val="false"/>
          <w:smallCaps w:val="false"/>
          <w:sz w:val="16"/>
          <w:szCs w:val="16"/>
        </w:rPr>
        <w:t xml:space="preserve">: Mutually exclusive evidence accounting.</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800"/>
        <w:gridCol w:w="3160"/>
      </w:tblGrid>
      <w:tr>
        <w:trPr>
          <w:tblHeader/>
        </w:trPr>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Tier</w:t>
            </w:r>
          </w:p>
        </w:tc>
        <w:tc>
          <w:tcPr>
            <w:tcW w:type="dxa" w:w="8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Count</w:t>
            </w:r>
          </w:p>
        </w:tc>
        <w:tc>
          <w:tcPr>
            <w:tcW w:type="dxa" w:w="31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Meaning</w:t>
            </w:r>
          </w:p>
        </w:tc>
      </w:tr>
      <w:tr>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N1</w:t>
            </w:r>
          </w:p>
        </w:tc>
        <w:tc>
          <w:tcPr>
            <w:tcW w:type="dxa" w:w="8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4</w:t>
            </w:r>
          </w:p>
        </w:tc>
        <w:tc>
          <w:tcPr>
            <w:tcW w:type="dxa" w:w="31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Native runtime</w:t>
            </w:r>
          </w:p>
        </w:tc>
      </w:tr>
      <w:tr>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w:t>
            </w:r>
          </w:p>
        </w:tc>
        <w:tc>
          <w:tcPr>
            <w:tcW w:type="dxa" w:w="8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24</w:t>
            </w:r>
          </w:p>
        </w:tc>
        <w:tc>
          <w:tcPr>
            <w:tcW w:type="dxa" w:w="31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Executable resume contract</w:t>
            </w:r>
          </w:p>
        </w:tc>
      </w:tr>
      <w:tr>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N3</w:t>
            </w:r>
          </w:p>
        </w:tc>
        <w:tc>
          <w:tcPr>
            <w:tcW w:type="dxa" w:w="8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3</w:t>
            </w:r>
          </w:p>
        </w:tc>
        <w:tc>
          <w:tcPr>
            <w:tcW w:type="dxa" w:w="31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Runtime-tested resistance</w:t>
            </w:r>
          </w:p>
        </w:tc>
      </w:tr>
      <w:tr>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w:t>
            </w:r>
          </w:p>
        </w:tc>
        <w:tc>
          <w:tcPr>
            <w:tcW w:type="dxa" w:w="8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9</w:t>
            </w:r>
          </w:p>
        </w:tc>
        <w:tc>
          <w:tcPr>
            <w:tcW w:type="dxa" w:w="31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Design-verified resistance</w:t>
            </w:r>
          </w:p>
        </w:tc>
      </w:tr>
      <w:tr>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w:t>
            </w:r>
          </w:p>
        </w:tc>
        <w:tc>
          <w:tcPr>
            <w:tcW w:type="dxa" w:w="8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w:t>
            </w:r>
          </w:p>
        </w:tc>
        <w:tc>
          <w:tcPr>
            <w:tcW w:type="dxa" w:w="31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Vendor-confirmed external</w:t>
            </w:r>
          </w:p>
        </w:tc>
      </w:tr>
      <w:tr>
        <w:tc>
          <w:tcPr>
            <w:tcW w:type="dxa" w:w="9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Scope</w:t>
            </w:r>
          </w:p>
        </w:tc>
        <w:tc>
          <w:tcPr>
            <w:tcW w:type="dxa" w:w="8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2</w:t>
            </w:r>
          </w:p>
        </w:tc>
        <w:tc>
          <w:tcPr>
            <w:tcW w:type="dxa" w:w="31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 qualifying gate</w:t>
            </w:r>
          </w:p>
        </w:tc>
      </w:tr>
    </w:tbl>
    <w:p>
      <w:pPr>
        <w:spacing w:after="8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C. Results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Table VII gives the mutually exclusive result for all 43 systems. Twenty-five were directly exposed. Three depended on an explicit persistence condition, one inherited forged authority through another system, twelve resisted the same state writer, and two had no qualifying persisted gate. Semantic Kernel and Microsoft Agent Framework remain separate entries because the tested continuation contracts differ, even though one vendor response covered both.</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mechanisms cut across product categories. Checkpoint values, lifecycle rows, task outputs, and writable histories appear in agent runtimes as well as conventional orchestration engines. Resistance also appears in both groups. The evidence therefore points to an architectural condition, not to the broader claim that agentic or AI software is inherently insecure.</w:t>
      </w:r>
    </w:p>
    <w:p>
      <w:pPr>
        <w:sectPr>
          <w:footerReference w:type="default" r:id="rId18"/>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VII</w:t>
      </w:r>
      <w:r>
        <w:rPr>
          <w:rFonts w:ascii="Times New Roman" w:cs="Times New Roman" w:eastAsia="Times New Roman" w:hAnsi="Times New Roman"/>
          <w:b w:val="false"/>
          <w:bCs w:val="false"/>
          <w:i w:val="false"/>
          <w:iCs w:val="false"/>
          <w:smallCaps w:val="false"/>
          <w:sz w:val="16"/>
          <w:szCs w:val="16"/>
        </w:rPr>
        <w:t xml:space="preserve">: Outcome by operational domain. Counts are mutually exclusive and sum to 43.</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180"/>
        <w:gridCol w:w="1080"/>
        <w:gridCol w:w="1400"/>
        <w:gridCol w:w="1320"/>
        <w:gridCol w:w="1300"/>
        <w:gridCol w:w="900"/>
        <w:gridCol w:w="900"/>
      </w:tblGrid>
      <w:tr>
        <w:trPr>
          <w:tblHeader/>
        </w:trPr>
        <w:tc>
          <w:tcPr>
            <w:tcW w:type="dxa" w:w="31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8"/>
                <w:szCs w:val="18"/>
              </w:rPr>
              <w:t xml:space="preserve">Domain</w:t>
            </w:r>
          </w:p>
        </w:tc>
        <w:tc>
          <w:tcPr>
            <w:tcW w:type="dxa" w:w="10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Direct</w:t>
            </w:r>
          </w:p>
        </w:tc>
        <w:tc>
          <w:tcPr>
            <w:tcW w:type="dxa" w:w="14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Conditional</w:t>
            </w:r>
          </w:p>
        </w:tc>
        <w:tc>
          <w:tcPr>
            <w:tcW w:type="dxa" w:w="13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Transitive</w:t>
            </w:r>
          </w:p>
        </w:tc>
        <w:tc>
          <w:tcPr>
            <w:tcW w:type="dxa" w:w="13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Resistant</w:t>
            </w:r>
          </w:p>
        </w:tc>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N/A</w:t>
            </w:r>
          </w:p>
        </w:tc>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Total</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Agentic AI frameworks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16</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4</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23</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Durable-execution engines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4</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7</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Orchestration and BPMN</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6</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7</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CI/CD deployment gates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Code-review systems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2</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Identity governance</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r>
      <w:tr>
        <w:tc>
          <w:tcPr>
            <w:tcW w:type="dxa" w:w="31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8"/>
                <w:szCs w:val="18"/>
              </w:rPr>
              <w:t xml:space="preserve">Infrastructure composition</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4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13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c>
          <w:tcPr>
            <w:tcW w:type="dxa" w:w="13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0</w:t>
            </w:r>
          </w:p>
        </w:tc>
        <w:tc>
          <w:tcPr>
            <w:tcW w:type="dxa" w:w="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8"/>
                <w:szCs w:val="18"/>
              </w:rPr>
              <w:t xml:space="preserve">1</w:t>
            </w:r>
          </w:p>
        </w:tc>
      </w:tr>
      <w:tr>
        <w:tc>
          <w:tcPr>
            <w:tcW w:type="dxa" w:w="31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8"/>
                <w:szCs w:val="18"/>
              </w:rPr>
              <w:t xml:space="preserve">Total</w:t>
            </w:r>
          </w:p>
        </w:tc>
        <w:tc>
          <w:tcPr>
            <w:tcW w:type="dxa" w:w="10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25</w:t>
            </w:r>
          </w:p>
        </w:tc>
        <w:tc>
          <w:tcPr>
            <w:tcW w:type="dxa" w:w="14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3</w:t>
            </w:r>
          </w:p>
        </w:tc>
        <w:tc>
          <w:tcPr>
            <w:tcW w:type="dxa" w:w="13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1</w:t>
            </w:r>
          </w:p>
        </w:tc>
        <w:tc>
          <w:tcPr>
            <w:tcW w:type="dxa" w:w="13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12</w:t>
            </w:r>
          </w:p>
        </w:tc>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2</w:t>
            </w:r>
          </w:p>
        </w:tc>
        <w:tc>
          <w:tcPr>
            <w:tcW w:type="dxa" w:w="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8"/>
                <w:szCs w:val="18"/>
              </w:rPr>
              <w:t xml:space="preserve">43</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19"/>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D. Authoring Topology Is the Discriminator</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One property separated the measured classes: who could create the evidence accepted at resume. Exposed paths allowed the operational writer to produce the same decisive object that continuation treated as authorization. Resistant paths required a live identity decision, a pending-work capability, a server-owned event, an identity-bound vote, a validated live resume object, or another anti-forgery check outside ordinary workflow state.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Figure 2 captures the distinction. Record format is secondary. Schema validation does not help when the writer can construct a valid object; encryption does not help when an authorized component can decrypt and rewrite it; event sourcing does not help when the writer can append the accepted event. The security property is who can author the evidence.</w:t>
      </w:r>
    </w:p>
    <w:p>
      <w:pPr>
        <w:sectPr>
          <w:footerReference w:type="default" r:id="rId20"/>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spacing w:after="0" w:before="120" w:line="3968" w:lineRule="atLeast"/>
        <w:ind w:firstLine="0"/>
        <w:jc w:val="center"/>
      </w:pPr>
      <w:r>
        <w:drawing>
          <wp:inline distT="0" distB="0" distL="0" distR="0">
            <wp:extent cx="6305550" cy="24860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6305550" cy="2486025"/>
                    </a:xfrm>
                    <a:prstGeom prst="rect">
                      <a:avLst/>
                    </a:prstGeom>
                  </pic:spPr>
                </pic:pic>
              </a:graphicData>
            </a:graphic>
          </wp:inline>
        </w:drawing>
      </w:r>
    </w:p>
    <w:p>
      <w:pPr>
        <w:spacing w:after="130" w:before="60"/>
        <w:jc w:val="both"/>
      </w:pPr>
      <w:r>
        <w:rPr>
          <w:rFonts w:ascii="Times New Roman" w:cs="Times New Roman" w:eastAsia="Times New Roman" w:hAnsi="Times New Roman"/>
          <w:b w:val="false"/>
          <w:bCs w:val="false"/>
          <w:i w:val="false"/>
          <w:iCs w:val="false"/>
          <w:smallCaps w:val="false"/>
          <w:sz w:val="16"/>
          <w:szCs w:val="16"/>
        </w:rPr>
        <w:t xml:space="preserve">Fig. 2: </w:t>
      </w:r>
      <w:r>
        <w:rPr>
          <w:rFonts w:ascii="Times New Roman" w:cs="Times New Roman" w:eastAsia="Times New Roman" w:hAnsi="Times New Roman"/>
          <w:b w:val="false"/>
          <w:bCs w:val="false"/>
          <w:i w:val="false"/>
          <w:iCs w:val="false"/>
          <w:smallCaps w:val="false"/>
          <w:sz w:val="16"/>
          <w:szCs w:val="16"/>
        </w:rPr>
        <w:t xml:space="preserve">Authoring topology predicts exposure. In an exposed design, the operational writer and approval path can create the same accepted evidence. In a resistant design, only a distinct authority can mint or append the decisive artifact.</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1"/>
          <w:type w:val="continuous"/>
          <w:pgSz w:w="12240" w:h="15840" w:orient="portrait"/>
          <w:pgMar w:top="1080" w:right="1080" w:bottom="1260" w:left="1080" w:header="720" w:footer="720" w:gutter="0"/>
          <w:pgNumType/>
          <w:cols w:space="360" w:num="1" w:equalWidth="true"/>
          <w:docGrid w:linePitch="360"/>
        </w:sectPr>
      </w:pP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Matched comparisons support this explanation. Temporal, Restate, Inngest, and Step Functions keep decisive authority in server-mediated history or task capabilities [12]–[15], whereas DBOS, Dapr Workflow, and Azure Durable Functions are exposed where continuation relies on shared writable state or history. Jenkins and GoCD authorize a live actor or role at release time, while Flowable, SpiffWorkflow, Kogito, Conductor, and Kestra continue from task state. Gerrit binds votes to identity-backed NoteDb records and freezes the submitted state; Gitea computes current review status from relational rows [16], [17]. These pairs differ in authoring topology, not in whether they persist.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Durability is therefore not the vulnerability. Authorless but writable authorization evidence is.</w:t>
      </w:r>
    </w:p>
    <w:p>
      <w:pPr>
        <w:sectPr>
          <w:footerReference w:type="default" r:id="rId22"/>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VIII</w:t>
      </w:r>
      <w:r>
        <w:rPr>
          <w:rFonts w:ascii="Times New Roman" w:cs="Times New Roman" w:eastAsia="Times New Roman" w:hAnsi="Times New Roman"/>
          <w:b w:val="false"/>
          <w:bCs w:val="false"/>
          <w:i w:val="false"/>
          <w:iCs w:val="false"/>
          <w:smallCaps w:val="false"/>
          <w:sz w:val="16"/>
          <w:szCs w:val="16"/>
        </w:rPr>
        <w:t xml:space="preserve">: Matched architectural comparisons supporting the discriminator.</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400"/>
        <w:gridCol w:w="2500"/>
        <w:gridCol w:w="2800"/>
        <w:gridCol w:w="3380"/>
      </w:tblGrid>
      <w:tr>
        <w:trPr>
          <w:tblHeader/>
        </w:trPr>
        <w:tc>
          <w:tcPr>
            <w:tcW w:type="dxa" w:w="14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Category</w:t>
            </w:r>
          </w:p>
        </w:tc>
        <w:tc>
          <w:tcPr>
            <w:tcW w:type="dxa" w:w="25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Resistant side</w:t>
            </w:r>
          </w:p>
        </w:tc>
        <w:tc>
          <w:tcPr>
            <w:tcW w:type="dxa" w:w="28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Exposed side</w:t>
            </w:r>
          </w:p>
        </w:tc>
        <w:tc>
          <w:tcPr>
            <w:tcW w:type="dxa" w:w="33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difference</w:t>
            </w:r>
          </w:p>
        </w:tc>
      </w:tr>
      <w:tr>
        <w:tc>
          <w:tcPr>
            <w:tcW w:type="dxa" w:w="14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Durable execution</w:t>
            </w:r>
          </w:p>
        </w:tc>
        <w:tc>
          <w:tcPr>
            <w:tcW w:type="dxa" w:w="25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Temporal, Restate, Inngest, Step Functions</w:t>
            </w:r>
          </w:p>
        </w:tc>
        <w:tc>
          <w:tcPr>
            <w:tcW w:type="dxa" w:w="2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DBOS, Dapr Workflow, Azure Durable Functions</w:t>
            </w:r>
          </w:p>
        </w:tc>
        <w:tc>
          <w:tcPr>
            <w:tcW w:type="dxa" w:w="33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Server-mediated history or pending-task capability versus shared writable state/history</w:t>
            </w:r>
          </w:p>
        </w:tc>
      </w:tr>
      <w:tr>
        <w:tc>
          <w:tcPr>
            <w:tcW w:type="dxa" w:w="14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Industrial gates</w:t>
            </w:r>
          </w:p>
        </w:tc>
        <w:tc>
          <w:tcPr>
            <w:tcW w:type="dxa" w:w="25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Jenkins, GoCD</w:t>
            </w:r>
          </w:p>
        </w:tc>
        <w:tc>
          <w:tcPr>
            <w:tcW w:type="dxa" w:w="28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Flowable, SpiffWorkflow, Kogito, Conductor, Kestra</w:t>
            </w:r>
          </w:p>
        </w:tc>
        <w:tc>
          <w:tcPr>
            <w:tcW w:type="dxa" w:w="33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identity or role authorization versus task-state continuation</w:t>
            </w:r>
          </w:p>
        </w:tc>
      </w:tr>
      <w:tr>
        <w:tc>
          <w:tcPr>
            <w:tcW w:type="dxa" w:w="14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Code review</w:t>
            </w:r>
          </w:p>
        </w:tc>
        <w:tc>
          <w:tcPr>
            <w:tcW w:type="dxa" w:w="25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Gerrit</w:t>
            </w:r>
          </w:p>
        </w:tc>
        <w:tc>
          <w:tcPr>
            <w:tcW w:type="dxa" w:w="28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Gitea</w:t>
            </w:r>
          </w:p>
        </w:tc>
        <w:tc>
          <w:tcPr>
            <w:tcW w:type="dxa" w:w="33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Identity-backed vote and submit-time freeze versus relational review rows</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3"/>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E. Negative Controls and Causal Evidence</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resistant class is not a residual category; it is the main control for the causal claim. PydanticAI keys deferred results to the pending tool-call identifier, BeeAI obtains permission through a handler callback, and Mastra accepts schema-validated live resume data rather than a snapshot-authored decision. Their runtime suites show that inserting approval-shaped state does not release the action, while a decision through the expected path does. These controls demonstrate that pause/resume and persistence do not imply exposure.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design-verified controls instantiate the same principle in other domains. AWS Step Functions issues a task token bound to the pending callback; a workflow-state write cannot mint the service capability [15]. Temporal, Restate, and Inngest accept events through server-mediated histories or wait primitives whose append authority is outside ordinary application persistence [12]–[14]. Prefect obtains validated run input through the resume path [18]. Jenkins and GoCD check a live identity or role at release time. Gerrit stores identity-backed votes and freezes submitted state [16]. Genkit applies an anti-forgery check to resumed input [19]. In each case, the writer may still alter some operational state, but not the evidence that continuation treats as the decisive authorization.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event-sourcing comparison is especially important. Append-only ordering provides integrity against reordering or deletion only relative to the principals allowed to append. Dapr Workflow and Azure Durable Functions are conditional because the attack requires a writer to the backing history surface; when history is protected, the forge fails. Temporal, Restate, and Inngest are resistant under the tested boundary because the application-level writer cannot append the accepted server event. The difference is not whether the system calls its record a journal. It is whether the accepted event’s authoring authority is distinct from the writer.</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tested alternative explanations against the matched pairs. Encryption did not predict resistance because a component authorized to decrypt and write could still create approval-shaped plaintext before encryption. Schema validation did not predict resistance because exposed records were syntactically valid. Dedicated approval tables did not predict resistance because a lifecycle or review row still lacked origin when the operational role could author it. Conversely, some resistant systems persisted substantial workflow state. The only property consistent across the pairs was the inability of the writer to author the accepted evidence.</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VI. Deep Exploit Chains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Three cases show the range of APF: transitive authority laundering, policy suppression, and argument rebinding. The remaining systems are ledgered in Appendix B.</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A. Launder: Gitea to Atlantis to Terraform</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crown case shows one forged decision crossing multiple correct systems. A control pull request requires one approval and begins with zero APPROVED review rows. Atlantis evaluates its apply requirement as false, so the isolated Terraform lab remains blocked. The state-writer inserts one relational review row attributed to the required reviewer; no authenticated review event is produced. Gitea computes branch protection from the current review rows and reports the requirement as satisfied.</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Atlantis queries Gitea through its ordinary integration, receives the expected approval result, follows the documented apply path, and causes Terraform to create an assumable administrator-role resource in the isolated lab [17], [20], [21]. Each downstream component behaves according to its local contract. The attacker does not authenticate as the reviewer, invoke Atlantis or Terraform, possess a cloud credential, or execute on the pipeline host. The falsehood is introduced only at the review record, but the later effects are genuine.</w:t>
      </w:r>
    </w:p>
    <w:p>
      <w:pPr>
        <w:sectPr>
          <w:footerReference w:type="default" r:id="rId24"/>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spacing w:after="0" w:before="120" w:line="2918" w:lineRule="atLeast"/>
        <w:ind w:firstLine="0"/>
        <w:jc w:val="center"/>
      </w:pPr>
      <w:r>
        <w:drawing>
          <wp:inline distT="0" distB="0" distL="0" distR="0">
            <wp:extent cx="630555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6305550" cy="1819275"/>
                    </a:xfrm>
                    <a:prstGeom prst="rect">
                      <a:avLst/>
                    </a:prstGeom>
                  </pic:spPr>
                </pic:pic>
              </a:graphicData>
            </a:graphic>
          </wp:inline>
        </w:drawing>
      </w:r>
    </w:p>
    <w:p>
      <w:pPr>
        <w:spacing w:after="130" w:before="60"/>
        <w:jc w:val="both"/>
      </w:pPr>
      <w:r>
        <w:rPr>
          <w:rFonts w:ascii="Times New Roman" w:cs="Times New Roman" w:eastAsia="Times New Roman" w:hAnsi="Times New Roman"/>
          <w:b w:val="false"/>
          <w:bCs w:val="false"/>
          <w:i w:val="false"/>
          <w:iCs w:val="false"/>
          <w:smallCaps w:val="false"/>
          <w:sz w:val="16"/>
          <w:szCs w:val="16"/>
        </w:rPr>
        <w:t xml:space="preserve">Fig. 3: </w:t>
      </w:r>
      <w:r>
        <w:rPr>
          <w:rFonts w:ascii="Times New Roman" w:cs="Times New Roman" w:eastAsia="Times New Roman" w:hAnsi="Times New Roman"/>
          <w:b w:val="false"/>
          <w:bCs w:val="false"/>
          <w:i w:val="false"/>
          <w:iCs w:val="false"/>
          <w:smallCaps w:val="false"/>
          <w:sz w:val="16"/>
          <w:szCs w:val="16"/>
        </w:rPr>
        <w:t xml:space="preserve">Transitive laundering. One forged Gitea review row crosses repository policy, VCS API, deployment gating, Terraform execution, and the audit record. Atlantis and Terraform perform their documented checks correctly.</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5"/>
          <w:type w:val="continuous"/>
          <w:pgSz w:w="12240" w:h="15840" w:orient="portrait"/>
          <w:pgMar w:top="1080" w:right="1080" w:bottom="1260" w:left="1080" w:header="720" w:footer="720" w:gutter="0"/>
          <w:pgNumType/>
          <w:cols w:space="360" w:num="1"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The claim is intentionally limited. We do not classify the experiment as a standalone Atlantis defect, and no public cloud account was compromised. Atlantis issued the documented VCS query correctly, and Terraform operated only in the isolated lab. The result establishes a transitive risk: an upstream approval-provenance failure can be amplified by downstream systems that are individually behaving as designed.</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experiment shows why an approved=true response reports a state rather than proving how that state was produced. For a security-sensitive gate, the upstream authority must bind its evidence to the repository, pull-request identifier, head SHA, reviewer, decision, and freshness. This is analogous to supply-chain statements that bind an actor to specific materials [22], [23].</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chain contains three locally reasonable trust decisions. Atlantis treats Gitea as the review authority. The state writer relies on Atlantis as the execution authority. Terraform materializes the resulting infrastructure change. Gitea reports current review state, Atlantis checks whether repository policy is satisfied, and Terraform applies the plan. None of those steps independently proves that the review row originated from an authenticated reviewer action.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control and forged executions differ by one relational row. In the control, the policy requires one approval, no accepted review row exists, Atlantis receives a negative result, and Terraform remains blocked. In the forged execution, the requirement is unchanged, one inserted row names the required reviewer, Atlantis receives a positive result, and the lab creates the administrator-role resource. The reviewer acts in neither run. This matched pair isolates the provenance failure from branch protection, Atlantis configuration, and Terraform behavior.</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B. Suppress: OpenHands Policy Downgrade</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OpenHands shows the opposite forensic pattern from Forge. Its persisted ConversationState contains the policy that decides whether the next action needs confirmation [24]. With AlwaysConfirm, the workflow creates a request and blocks. After the writer changes the policy to NeverConfirm, normal continuation invokes the tool without an approval decision.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Only the rule that decides whether the gate runs is changed. The trace therefore lacks the positive record seen in Forge: no reviewer, approval time, or completed gate exists because the gate was suppressed. A monitor that trusts persisted policy may read this as expected behavior.</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This is APF’s policy-integrity form. Provenance checks protect decisions that exist; they cannot help when a state change prevents a decision from being requested. The gate policy must therefore be authenticated and version-bound separately.</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C. Rebind: Haystack Tool Arguments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Haystack 2.30.0 represents the worst single-system binding failure because the restored AgentSnapshot carries both approval and tool arguments [25]. A control with approved=False blocks the call. The writer changes the decision to approved and changes the pending transfer from EUR 50,000 to one recipient into EUR 100,000 to another. Normal tool continuation executes the altered call. No unsafe deserialization, code injection, or direct tool access is required.</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security failure is not merely that an action runs. A genuine approval can remain present while the meaning of the approved action changes. This motivates binding approval to a canonical argument hash, not only to a Boolean decision or tool name.</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VII. False Evidence of Human Oversight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APF corrupts both the authorization control and the evidence used to prove that the control worked. In representative forged-decision traces, operator-visible fields contain no independent provenance discriminator: the decision, approver name, time, completion status, and action result can be populated through the state write alone.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retain the controlled audit experiment from the prior 18-framework study [1] and test whether its conclusion remains consistent with representative traces from the expanded corpus.</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This comparison asks a narrow question: do the fields already used by an operator contain evidence of origin? The genuine member of each pair came through the approval path. The forged member was generated so that the native projection matched exactly, although its origin differed. We varied values across pairs to avoid testing a single constant template and normalized field order and representation before exact comparison. Both validators produced a binary accept or reject score. The native validator assigned the same score to both members of every pair, yielding AUC 0.5. The provenance validator accepted every genuine record and rejected every forged record, yielding AUC 1.0.</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We first built one canonical genuine and forged pair for each mechanism family, then generated 500 paired traces. Run identifiers, timestamps, reviewer labels, and action arguments varied across pairs, while the workflow-native audit projection remained identical within each pair. That projection contained the run identifier, mechanism family, action, arguments, decision, approver field, timestamp, action status, state transition, and any native approval-source field. It did not include an external signature, independent writer identity, or approval-service issuance event because the tested native records did not contain those signals.</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Under that projection, the 500 pairs had exact-match fraction 1.0. A native validator assigned the same score to both members of every pair, producing AUC 0.5. A provenance-aware validator that required a valid bound approval artifact accepted the genuine member and rejected the forged member, producing AUC 1.0. These numbers characterize the tested projection rather than every possible deployment.</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iCs/>
                <w:smallCaps w:val="false"/>
                <w:sz w:val="18"/>
                <w:szCs w:val="18"/>
              </w:rPr>
              <w:t xml:space="preserve">This field-level result applies only to the tested projection; it is not a universal claim about every deployment.</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finding does not rule out a deployment-specific log pipeline or an independently protected correlation source. Our native validator used the strongest checks available from the selected workflow fields without adding a new trust anchor. It checked schema, required an approved decision, verified the recorded action status and state transition, and applied any policy predicate already present. The provenance validator performed the same checks and additionally required an authenticated artifact whose issuer, decision, action, canonical arguments, run, checkpoint, audience, reviewed-context hash, policy version, expiry, and nonce matched the pending execution.</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shd w:fill="F2F2F2" w:color="auto" w:val="clear"/>
            <w:tcMar>
              <w:top w:type="dxa" w:w="90"/>
              <w:left w:type="dxa" w:w="110"/>
              <w:bottom w:type="dxa" w:w="90"/>
              <w:right w:type="dxa" w:w="110"/>
            </w:tcMar>
          </w:tcPr>
          <w:p>
            <w:pPr>
              <w:spacing w:after="0" w:before="0" w:line="226" w:lineRule="auto"/>
              <w:ind w:firstLine="0"/>
              <w:jc w:val="both"/>
            </w:pPr>
            <w:r>
              <w:rPr>
                <w:rFonts w:ascii="Times New Roman" w:cs="Times New Roman" w:eastAsia="Times New Roman" w:hAnsi="Times New Roman"/>
                <w:b w:val="false"/>
                <w:bCs w:val="false"/>
                <w:i w:val="false"/>
                <w:iCs w:val="false"/>
                <w:smallCaps w:val="false"/>
                <w:sz w:val="18"/>
                <w:szCs w:val="18"/>
              </w:rPr>
              <w:t xml:space="preserve">The experiment establishes only that the tested native fields carry no separating signal for approval origin. A protected approval-service log, signed event, write-audit stream, or identity-provider record could provide that signal when it is independently secured and correlated. This does not contradict the result. It identifies the missing element: a provenance link outside the operational writer’s authoring path.</w:t>
            </w:r>
          </w:p>
        </w:tc>
      </w:tr>
    </w:tbl>
    <w:p>
      <w:pPr>
        <w:spacing w:after="9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6"/>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IX</w:t>
      </w:r>
      <w:r>
        <w:rPr>
          <w:rFonts w:ascii="Times New Roman" w:cs="Times New Roman" w:eastAsia="Times New Roman" w:hAnsi="Times New Roman"/>
          <w:b w:val="false"/>
          <w:bCs w:val="false"/>
          <w:i w:val="false"/>
          <w:iCs w:val="false"/>
          <w:smallCaps w:val="false"/>
          <w:sz w:val="16"/>
          <w:szCs w:val="16"/>
        </w:rPr>
        <w:t xml:space="preserve">: Representative audit surfaces in the expanded corpus. The observation is field-level and bounded to the tested native records.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100"/>
        <w:gridCol w:w="3300"/>
        <w:gridCol w:w="1700"/>
        <w:gridCol w:w="3980"/>
      </w:tblGrid>
      <w:tr>
        <w:trPr>
          <w:tblHeader/>
        </w:trPr>
        <w:tc>
          <w:tcPr>
            <w:tcW w:type="dxa" w:w="11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Trace</w:t>
            </w:r>
          </w:p>
        </w:tc>
        <w:tc>
          <w:tcPr>
            <w:tcW w:type="dxa" w:w="33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Native evidence visible to operator</w:t>
            </w:r>
          </w:p>
        </w:tc>
        <w:tc>
          <w:tcPr>
            <w:tcW w:type="dxa" w:w="17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Independent provenance</w:t>
            </w:r>
          </w:p>
        </w:tc>
        <w:tc>
          <w:tcPr>
            <w:tcW w:type="dxa" w:w="39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Observation</w:t>
            </w:r>
          </w:p>
        </w:tc>
      </w:tr>
      <w:tr>
        <w:tc>
          <w:tcPr>
            <w:tcW w:type="dxa" w:w="11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LangGraph</w:t>
            </w:r>
          </w:p>
        </w:tc>
        <w:tc>
          <w:tcPr>
            <w:tcW w:type="dxa" w:w="33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decision, approver, timestamp, action result</w:t>
            </w:r>
          </w:p>
        </w:tc>
        <w:tc>
          <w:tcPr>
            <w:tcW w:type="dxa" w:w="17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Absent</w:t>
            </w:r>
          </w:p>
        </w:tc>
        <w:tc>
          <w:tcPr>
            <w:tcW w:type="dxa" w:w="39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 fields do not distinguish issuer</w:t>
            </w:r>
          </w:p>
        </w:tc>
      </w:tr>
      <w:tr>
        <w:tc>
          <w:tcPr>
            <w:tcW w:type="dxa" w:w="11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n8n</w:t>
            </w:r>
          </w:p>
        </w:tc>
        <w:tc>
          <w:tcPr>
            <w:tcW w:type="dxa" w:w="33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node output, approver, resume status, downstream result</w:t>
            </w:r>
          </w:p>
        </w:tc>
        <w:tc>
          <w:tcPr>
            <w:tcW w:type="dxa" w:w="17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Absent</w:t>
            </w:r>
          </w:p>
        </w:tc>
        <w:tc>
          <w:tcPr>
            <w:tcW w:type="dxa" w:w="39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Execution data describes completion, not origin</w:t>
            </w:r>
          </w:p>
        </w:tc>
      </w:tr>
      <w:tr>
        <w:tc>
          <w:tcPr>
            <w:tcW w:type="dxa" w:w="11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Gitea</w:t>
            </w:r>
          </w:p>
        </w:tc>
        <w:tc>
          <w:tcPr>
            <w:tcW w:type="dxa" w:w="33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reviewer identifier, APPROVED, review time</w:t>
            </w:r>
          </w:p>
        </w:tc>
        <w:tc>
          <w:tcPr>
            <w:tcW w:type="dxa" w:w="17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Absent</w:t>
            </w:r>
          </w:p>
        </w:tc>
        <w:tc>
          <w:tcPr>
            <w:tcW w:type="dxa" w:w="39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Relational row is returned as the current vote</w:t>
            </w:r>
          </w:p>
        </w:tc>
      </w:tr>
      <w:tr>
        <w:tc>
          <w:tcPr>
            <w:tcW w:type="dxa" w:w="11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midPoint</w:t>
            </w:r>
          </w:p>
        </w:tc>
        <w:tc>
          <w:tcPr>
            <w:tcW w:type="dxa" w:w="33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work-item outcome, assignee attribution, closure time</w:t>
            </w:r>
          </w:p>
        </w:tc>
        <w:tc>
          <w:tcPr>
            <w:tcW w:type="dxa" w:w="17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Absent</w:t>
            </w:r>
          </w:p>
        </w:tc>
        <w:tc>
          <w:tcPr>
            <w:tcW w:type="dxa" w:w="398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Case record describes approval without human-path evidence</w:t>
            </w:r>
          </w:p>
        </w:tc>
      </w:tr>
      <w:tr>
        <w:tc>
          <w:tcPr>
            <w:tcW w:type="dxa" w:w="11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OpenHands</w:t>
            </w:r>
          </w:p>
        </w:tc>
        <w:tc>
          <w:tcPr>
            <w:tcW w:type="dxa" w:w="33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 approval record</w:t>
            </w:r>
          </w:p>
        </w:tc>
        <w:tc>
          <w:tcPr>
            <w:tcW w:type="dxa" w:w="17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N/A</w:t>
            </w:r>
          </w:p>
        </w:tc>
        <w:tc>
          <w:tcPr>
            <w:tcW w:type="dxa" w:w="39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Policy downgrade prevents both gate and record</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7"/>
          <w:type w:val="continuous"/>
          <w:pgSz w:w="12240" w:h="15840" w:orient="portrait"/>
          <w:pgMar w:top="1080" w:right="1080" w:bottom="1260" w:left="1080" w:header="720" w:footer="720" w:gutter="0"/>
          <w:pgNumType/>
          <w:cols w:space="360" w:num="1" w:equalWidth="true"/>
          <w:docGrid w:linePitch="360"/>
        </w:sectPr>
      </w:pP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additional domains show the same gap in concrete records. A LangGraph checkpoint may contain a decision, reviewer name, time, and result without identifying an issuer. n8n execution data may show a completed node and downstream outcome without proving that the approval path ran. A forged Gitea row produces an APPROVED result and a reviewer identity. midPoint can close a work item under the assigned reviewer’s name. OpenHands produces the complementary case in which policy suppression removes the gate and therefore leaves no approval row. Forge and Rebind create misleading positive evidence; Suppress removes the expected evidence. A SIEM rule that trusts only the same writable workflow record can miss both. A useful audit record must connect the action to an independent issuer and the exact execution, not merely repeat the values continuation accepted.</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governance consequence should be stated narrowly. Article 14 of the EU AI Act treats effective human oversight as a control for covered high-risk systems [26], and ISO/IEC 42001 establishes an AI-management-system framework [27]. We make no legal or certification determination. The technical implication is that an audit process relying only on workflow-native approver, timestamp, status, and result fields may accept a record that does not prove the review occurred. Such a system can be compliant by inspection of those fields while unsupervised in reality.</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A. Two Forensic Failure Modes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two audit outcomes require different incident hypotheses. Forge and Rebind leave investigators with a record that looks complete: approval is positive, a plausible reviewer is named, a timestamp exists, the gate is marked complete, and the protected action succeeded. The main risk is false attribution. A reviewer can appear responsible for an action that they never saw, while a control owner may conclude that separation of duty worked because all expected fields are populated. The first investigative question should therefore be who created the evidence, not who is named in it.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Suppress produces the opposite record. The action exists, but the approval event, reviewer, and gate transition are absent. A conventional alert may treat this as missing telemetry, especially when the persisted policy claims that confirmation was not required. Investigators need the policy-administration history and the identity responsible for the policy change. Approval provenance and policy integrity are distinct controls because either one can fail independently.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Rebind creates a third problem. The record may accurately show that a human approved something, yet still misrepresent the operation that was executed. The decision should therefore be bound to a canonical digest of the action and arguments, and the system should retain the digest verified immediately before execution. Without that link, a genuine approval record can coexist with an unauthorized effect. These distinctions also shape retention. Workflow snapshots alone are insufficient because they may be the attacker-authored object. Approval-service issuance logs, state-store write identities, nonce-consumption records, policy versions, and service-account action logs must be retained under separate access controls. The evidence chain is only as strong as the least independently protected link.</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VIII. Binding Approval to Execution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correct control authenticates the decision at resume; it does not merely protect an approval Boolean. Storage hardening remains necessary, but the workflow store may carry authorization evidence only if it cannot create that evidence.</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A. Provenance-Bound Approval Artifact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authorized approval path mints a canonical authenticated artifact binding the issuer, decision, exact action, canonical argument hash, run or session, pending checkpoint or action, audience, hash of the reviewed context, policy version, issue and expiry times, cancellation state, and single-use nonce. Continuation verifies every field immediately before the protected action.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Each binding closes a demonstrated attack. Issuer, action, and canonical arguments prevent Forge and Rebind. Run, checkpoint, audience, and pending-action identifiers prevent cross-run and cross-domain reuse. Context hash prevents an approval from being applied after the reviewed material changes. Expiry and atomic nonce consumption prevent temporal replay and concurrent second use. Policy version ties the decision to the rule under which the reviewer acted. Contextual capabilities such as Macaroons provide an established model for carrying such caveats [28]; our contribution is applying authenticated provenance to the resume-time authorization boundary and proving the bindings necessary.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Key separation is load-bearing. A component that writes workflow state must not hold the key that mints approval authority. Asymmetric signing lets resume workers verify with a public key while an independent approval service retains the private key. HMAC is appropriate only when every holder of the symmetric key belongs inside the approval-authority boundary.</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B. Policy Integrity Is Orthogonal</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signed decision alone does not stop Suppress. The policy deciding whether approval is required must be authorized, versioned, audited, and validated at resume. Missing, altered, or unsigned policy state must fall back to the strictest safe setting. The approval artifact includes the policy version so a decision cannot be replayed after the gate, threshold, approver set, or trusted-tool list changes.</w:t>
      </w:r>
    </w:p>
    <w:p>
      <w:pPr>
        <w:sectPr>
          <w:footerReference w:type="default" r:id="rId28"/>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spacing w:after="0" w:before="120" w:line="3656" w:lineRule="atLeast"/>
        <w:ind w:firstLine="0"/>
        <w:jc w:val="center"/>
      </w:pPr>
      <w:r>
        <w:drawing>
          <wp:inline distT="0" distB="0" distL="0" distR="0">
            <wp:extent cx="6305550" cy="2286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6305550" cy="2286000"/>
                    </a:xfrm>
                    <a:prstGeom prst="rect">
                      <a:avLst/>
                    </a:prstGeom>
                  </pic:spPr>
                </pic:pic>
              </a:graphicData>
            </a:graphic>
          </wp:inline>
        </w:drawing>
      </w:r>
    </w:p>
    <w:p>
      <w:pPr>
        <w:spacing w:after="130" w:before="60"/>
        <w:jc w:val="both"/>
      </w:pPr>
      <w:r>
        <w:rPr>
          <w:rFonts w:ascii="Times New Roman" w:cs="Times New Roman" w:eastAsia="Times New Roman" w:hAnsi="Times New Roman"/>
          <w:b w:val="false"/>
          <w:bCs w:val="false"/>
          <w:i w:val="false"/>
          <w:iCs w:val="false"/>
          <w:smallCaps w:val="false"/>
          <w:sz w:val="16"/>
          <w:szCs w:val="16"/>
        </w:rPr>
        <w:t xml:space="preserve">Fig. 4: </w:t>
      </w:r>
      <w:r>
        <w:rPr>
          <w:rFonts w:ascii="Times New Roman" w:cs="Times New Roman" w:eastAsia="Times New Roman" w:hAnsi="Times New Roman"/>
          <w:b w:val="false"/>
          <w:bCs w:val="false"/>
          <w:i w:val="false"/>
          <w:iCs w:val="false"/>
          <w:smallCaps w:val="false"/>
          <w:sz w:val="16"/>
          <w:szCs w:val="16"/>
        </w:rPr>
        <w:t xml:space="preserve">Provenance-bound authorization. The workflow store may carry the artifact, but only the approval authority can mint it. Resume verifies origin, context, freshness, and single use before releasing the workflow’s service authority.</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29"/>
          <w:type w:val="continuous"/>
          <w:pgSz w:w="12240" w:h="15840" w:orient="portrait"/>
          <w:pgMar w:top="1080" w:right="1080" w:bottom="1260" w:left="1080" w:header="720" w:footer="720" w:gutter="0"/>
          <w:pgNumType/>
          <w:cols w:space="360" w:num="1" w:equalWidth="true"/>
          <w:docGrid w:linePitch="360"/>
        </w:sectPr>
      </w:pPr>
    </w:p>
    <w:p>
      <w:pPr>
        <w:keepNext/>
        <w:spacing w:after="60" w:before="150"/>
        <w:jc w:val="left"/>
      </w:pPr>
      <w:r>
        <w:rPr>
          <w:rFonts w:ascii="Times New Roman" w:cs="Times New Roman" w:eastAsia="Times New Roman" w:hAnsi="Times New Roman"/>
          <w:b w:val="false"/>
          <w:bCs w:val="false"/>
          <w:i/>
          <w:iCs/>
          <w:smallCaps w:val="false"/>
          <w:sz w:val="20"/>
          <w:szCs w:val="20"/>
        </w:rPr>
        <w:t xml:space="preserve">C. Downstream Attestation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downstream system must not treat a bare upstream status bit as a security attestation. In the Gitea–Atlantis chain, the upstream approval authority should issue a provenance-bearing statement bound to repository, pull-request identifier, head SHA, reviewer identity, decision, and freshness. Atlantis can then verify the authority it intends to trust before executing Terraform. This mirrors the actor-and-material binding used by in-toto and the broader effort to make forge security independently verifiable [22], [23].</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D. Verification Procedure and Fail-Closed Semantics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verifier performs a fixed sequence before F can invoke X. It parses a canonical artifact, identifies the issuer key and algorithm, verifies the signature or MAC, checks that the decision is approval rather than rejection, recomputes the canonical argument and reviewed-context hashes, compares the run, checkpoint, pending-action, and audience identifiers, validates policy version and expiry, and atomically consumes the single-use nonce.</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tbl>
      <w:tblPr>
        <w:tblW w:type="dxa" w:w="48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860"/>
      </w:tblGrid>
      <w:tr>
        <w:trPr>
          <w:cantSplit/>
        </w:trPr>
        <w:tc>
          <w:tcPr>
            <w:tcW w:type="dxa" w:w="4860"/>
            <w:tcBorders>
              <w:top w:val="single" w:color="808080" w:sz="3"/>
              <w:left w:val="single" w:color="808080" w:sz="3"/>
              <w:bottom w:val="single" w:color="808080" w:sz="3"/>
              <w:right w:val="single" w:color="808080" w:sz="3"/>
            </w:tcBorders>
            <w:tcMar>
              <w:top w:type="dxa" w:w="80"/>
              <w:left w:type="dxa" w:w="100"/>
              <w:bottom w:type="dxa" w:w="80"/>
              <w:right w:type="dxa" w:w="100"/>
            </w:tcMar>
          </w:tcPr>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artifact = parse(candidate)</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verify_auth(artifact)</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artifact.decision == APPROVE</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artifact.action == pending.action</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artifact.args_hash ==</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H(canonical(pending.args))</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artifact.run == pending.run</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artifact.checkpoint ==</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pending.checkpoint</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artifact.audience ==</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this_resume_service</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artifact.context_hash ==</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H(reviewed_context)</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artifact.policy_version ==</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active_policy.version</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now &lt;= artifact.expires_at</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require consume_nonce_atomically(</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        artifact.nonce)</w:t>
            </w:r>
          </w:p>
          <w:p>
            <w:pPr>
              <w:spacing w:after="0" w:before="0" w:line="200" w:lineRule="auto"/>
              <w:ind w:firstLine="0"/>
              <w:jc w:val="left"/>
            </w:pPr>
            <w:r>
              <w:rPr>
                <w:rFonts w:ascii="Courier New" w:cs="Courier New" w:eastAsia="Courier New" w:hAnsi="Courier New"/>
                <w:b w:val="false"/>
                <w:bCs w:val="false"/>
                <w:i w:val="false"/>
                <w:iCs w:val="false"/>
                <w:smallCaps w:val="false"/>
                <w:sz w:val="14"/>
                <w:szCs w:val="14"/>
              </w:rPr>
              <w:t xml:space="preserve">execute(pending.action, pending.args)</w:t>
            </w:r>
          </w:p>
        </w:tc>
      </w:tr>
    </w:tbl>
    <w:p>
      <w:pPr>
        <w:spacing w:after="130" w:before="60"/>
        <w:jc w:val="both"/>
      </w:pPr>
      <w:r>
        <w:rPr>
          <w:rFonts w:ascii="Times New Roman" w:cs="Times New Roman" w:eastAsia="Times New Roman" w:hAnsi="Times New Roman"/>
          <w:b w:val="false"/>
          <w:bCs w:val="false"/>
          <w:i w:val="false"/>
          <w:iCs w:val="false"/>
          <w:smallCaps w:val="false"/>
          <w:sz w:val="16"/>
          <w:szCs w:val="16"/>
        </w:rPr>
        <w:t xml:space="preserve">Fig. 5: </w:t>
      </w:r>
      <w:r>
        <w:rPr>
          <w:rFonts w:ascii="Times New Roman" w:cs="Times New Roman" w:eastAsia="Times New Roman" w:hAnsi="Times New Roman"/>
          <w:b w:val="false"/>
          <w:bCs w:val="false"/>
          <w:i w:val="false"/>
          <w:iCs w:val="false"/>
          <w:smallCaps w:val="false"/>
          <w:sz w:val="16"/>
          <w:szCs w:val="16"/>
        </w:rPr>
        <w:t xml:space="preserve">Resume-time verification. Every comparison is against the pending execution, not values supplied by mutable workflow state.</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Verification has one failure outcome. A missing field, parse failure, unknown key, unsupported algorithm, bad signature, binding mismatch, stale policy, expired artifact, or consumed nonce keeps the workflow paused or moves it to a safe rejection state. The implementation never falls back to an unsigned approval flag.</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Canonicalization is part of the security boundary. Two encodings that appear equivalent must not produce different hashes or signatures. The prototype orders object keys, normalizes scalar encodings, rejects duplicate fields and ambiguous numeric forms, and signs the canonical action arguments that were shown to the reviewer.</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Parsing must never evaluate executable code or deserialize attacker-selected classes. Key identifiers are resolved through a configured trust store, and algorithm choice is not accepted from an untrusted downgrade path.</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Nonce consumption must be atomic with action release. A check-then-act implementation permits two resume workers to validate the same unused nonce concurrently. The prototype uses a durable compare-and-set operation so only one worker can transition the nonce from unused to consumed. If the nonce store is unavailable, verification fails closed. This cost is deliberately excluded from the local cryptographic microbenchmark and must be measured in a deployment-specific evaluation.</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E. Security Argument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Assuming existential unforgeability of the selected MAC or signature, canonical serialization, integrity of the approval-service key, and atomic nonce consumption, a state writer cannot create an artifact that passes origin integrity. If the writer copies a genuine artifact, the action, argument, run, checkpoint, audience, context, policy, expiry, and nonce checks restrict it to the reviewed pending execution and a single use. If the writer deletes or corrupts the artifact, the fail-closed path blocks execution. The remaining trust is explicit: the approval service, its reviewer authentication, the policy-administration path, and the verifier implementation.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design does not claim to solve a compromised approval service or malicious reviewer. Those principals are inside the authorization boundary. It also does not replace storage access control, audit logging, or key management. Its purpose is narrower: prevent an operational persistence writer from manufacturing the evidence that resume accepts as human authority.</w:t>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F. Adversarial Battery and Ablation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Table X reports the verifier battery. The exact legitimate artifact is accepted; unsigned, altered, replayed, mis-bound, policy-downgraded, and concurrent-nonce cases are rejected. Ablation shows necessity: removing the action or argument hash reopens Rebind; removing run or checkpoint binding reopens Replay across executions; removing audience permits cross-service reuse; removing context binding permits approval of changed reviewed material; removing expiry or nonce enforcement permits later or concurrent reuse; and removing policy integrity reopens Suppress. Every binding is retained because removing it restored a measured attack.</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w:t>
      </w:r>
      <w:r>
        <w:rPr>
          <w:rFonts w:ascii="Times New Roman" w:cs="Times New Roman" w:eastAsia="Times New Roman" w:hAnsi="Times New Roman"/>
          <w:b w:val="false"/>
          <w:bCs w:val="false"/>
          <w:i w:val="false"/>
          <w:iCs w:val="false"/>
          <w:smallCaps w:val="false"/>
          <w:sz w:val="16"/>
          <w:szCs w:val="16"/>
        </w:rPr>
        <w:t xml:space="preserve">: Provenance-binding adversarial battery.</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320"/>
        <w:gridCol w:w="1540"/>
      </w:tblGrid>
      <w:tr>
        <w:trPr>
          <w:tblHeader/>
        </w:trPr>
        <w:tc>
          <w:tcPr>
            <w:tcW w:type="dxa" w:w="33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Adversarial case</w:t>
            </w:r>
          </w:p>
        </w:tc>
        <w:tc>
          <w:tcPr>
            <w:tcW w:type="dxa" w:w="15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Result</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Unsigned forged decision; decision bit modified after issue</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Amount changed; recipient or target changed; wrong action or tool</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Wrong run or session; wrong checkpoint or pending action; wrong audience</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Expired artifact; replay of consumed nonce; concurrent second use</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Reviewed context changed</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w:t>
            </w:r>
          </w:p>
        </w:tc>
      </w:tr>
      <w:tr>
        <w:tc>
          <w:tcPr>
            <w:tcW w:type="dxa" w:w="33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Approval policy downgraded without authorized policy artifact</w:t>
            </w:r>
          </w:p>
        </w:tc>
        <w:tc>
          <w:tcPr>
            <w:tcW w:type="dxa" w:w="15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Rejected; strict policy restored</w:t>
            </w:r>
          </w:p>
        </w:tc>
      </w:tr>
      <w:tr>
        <w:tc>
          <w:tcPr>
            <w:tcW w:type="dxa" w:w="33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Legitimate artifact with exact bindings</w:t>
            </w:r>
          </w:p>
        </w:tc>
        <w:tc>
          <w:tcPr>
            <w:tcW w:type="dxa" w:w="15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Accepted</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XI</w:t>
      </w:r>
      <w:r>
        <w:rPr>
          <w:rFonts w:ascii="Times New Roman" w:cs="Times New Roman" w:eastAsia="Times New Roman" w:hAnsi="Times New Roman"/>
          <w:b w:val="false"/>
          <w:bCs w:val="false"/>
          <w:i w:val="false"/>
          <w:iCs w:val="false"/>
          <w:smallCaps w:val="false"/>
          <w:sz w:val="16"/>
          <w:szCs w:val="16"/>
        </w:rPr>
        <w:t xml:space="preserve">: Binding ablation.</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600"/>
        <w:gridCol w:w="2260"/>
      </w:tblGrid>
      <w:tr>
        <w:trPr>
          <w:tblHeader/>
        </w:trPr>
        <w:tc>
          <w:tcPr>
            <w:tcW w:type="dxa" w:w="26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Removed property</w:t>
            </w:r>
          </w:p>
        </w:tc>
        <w:tc>
          <w:tcPr>
            <w:tcW w:type="dxa" w:w="22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Reopened failure</w:t>
            </w:r>
          </w:p>
        </w:tc>
      </w:tr>
      <w:tr>
        <w:tc>
          <w:tcPr>
            <w:tcW w:type="dxa" w:w="26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Action/argument hash</w:t>
            </w:r>
          </w:p>
        </w:tc>
        <w:tc>
          <w:tcPr>
            <w:tcW w:type="dxa" w:w="22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Rebind</w:t>
            </w:r>
          </w:p>
        </w:tc>
      </w:tr>
      <w:tr>
        <w:tc>
          <w:tcPr>
            <w:tcW w:type="dxa" w:w="26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Run/checkpoint/pending action</w:t>
            </w:r>
          </w:p>
        </w:tc>
        <w:tc>
          <w:tcPr>
            <w:tcW w:type="dxa" w:w="22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Replay/forking</w:t>
            </w:r>
          </w:p>
        </w:tc>
      </w:tr>
      <w:tr>
        <w:tc>
          <w:tcPr>
            <w:tcW w:type="dxa" w:w="26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Audience</w:t>
            </w:r>
          </w:p>
        </w:tc>
        <w:tc>
          <w:tcPr>
            <w:tcW w:type="dxa" w:w="22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Cross-domain reuse</w:t>
            </w:r>
          </w:p>
        </w:tc>
      </w:tr>
      <w:tr>
        <w:tc>
          <w:tcPr>
            <w:tcW w:type="dxa" w:w="26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Reviewed-context hash</w:t>
            </w:r>
          </w:p>
        </w:tc>
        <w:tc>
          <w:tcPr>
            <w:tcW w:type="dxa" w:w="22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Changed-review context</w:t>
            </w:r>
          </w:p>
        </w:tc>
      </w:tr>
      <w:tr>
        <w:tc>
          <w:tcPr>
            <w:tcW w:type="dxa" w:w="26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Expiry/nonce/atomic consume</w:t>
            </w:r>
          </w:p>
        </w:tc>
        <w:tc>
          <w:tcPr>
            <w:tcW w:type="dxa" w:w="22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Temporal or concurrent replay</w:t>
            </w:r>
          </w:p>
        </w:tc>
      </w:tr>
      <w:tr>
        <w:tc>
          <w:tcPr>
            <w:tcW w:type="dxa" w:w="26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Policy integrity/version</w:t>
            </w:r>
          </w:p>
        </w:tc>
        <w:tc>
          <w:tcPr>
            <w:tcW w:type="dxa" w:w="22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Suppress</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50"/>
        <w:jc w:val="left"/>
      </w:pPr>
      <w:r>
        <w:rPr>
          <w:rFonts w:ascii="Times New Roman" w:cs="Times New Roman" w:eastAsia="Times New Roman" w:hAnsi="Times New Roman"/>
          <w:b w:val="false"/>
          <w:bCs w:val="false"/>
          <w:i/>
          <w:iCs/>
          <w:smallCaps w:val="false"/>
          <w:sz w:val="20"/>
          <w:szCs w:val="20"/>
        </w:rPr>
        <w:t xml:space="preserve">G. Verification Cost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local microbenchmark measured canonical-payload authentication only, not networking, storage, scheduling, or external identity. The payload was 469 bytes. The environment was an x86_64 Linux virtual machine running CPython 3.13.5. HMAC-SHA-256 verification used 200,000 operations. Ed25519 signing used 20,000 operations and verification used 50,000 operations after warm-up.</w:t>
      </w:r>
    </w:p>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XII</w:t>
      </w:r>
      <w:r>
        <w:rPr>
          <w:rFonts w:ascii="Times New Roman" w:cs="Times New Roman" w:eastAsia="Times New Roman" w:hAnsi="Times New Roman"/>
          <w:b w:val="false"/>
          <w:bCs w:val="false"/>
          <w:i w:val="false"/>
          <w:iCs w:val="false"/>
          <w:smallCaps w:val="false"/>
          <w:sz w:val="16"/>
          <w:szCs w:val="16"/>
        </w:rPr>
        <w:t xml:space="preserve">: Local cryptographic microbenchmark.</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620"/>
        <w:gridCol w:w="1080"/>
        <w:gridCol w:w="1080"/>
        <w:gridCol w:w="1080"/>
      </w:tblGrid>
      <w:tr>
        <w:trPr>
          <w:tblHeader/>
        </w:trPr>
        <w:tc>
          <w:tcPr>
            <w:tcW w:type="dxa" w:w="16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Operation</w:t>
            </w:r>
          </w:p>
        </w:tc>
        <w:tc>
          <w:tcPr>
            <w:tcW w:type="dxa" w:w="10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Median</w:t>
            </w:r>
          </w:p>
        </w:tc>
        <w:tc>
          <w:tcPr>
            <w:tcW w:type="dxa" w:w="10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p95</w:t>
            </w:r>
          </w:p>
        </w:tc>
        <w:tc>
          <w:tcPr>
            <w:tcW w:type="dxa" w:w="108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p99</w:t>
            </w:r>
          </w:p>
        </w:tc>
      </w:tr>
      <w:tr>
        <w:tc>
          <w:tcPr>
            <w:tcW w:type="dxa" w:w="16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HMAC verify</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1.665 µs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2.244 µs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2.455 µs</w:t>
            </w:r>
          </w:p>
        </w:tc>
      </w:tr>
      <w:tr>
        <w:tc>
          <w:tcPr>
            <w:tcW w:type="dxa" w:w="162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Ed25519 sign</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32.250 µs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32.955 µs</w:t>
            </w:r>
          </w:p>
        </w:tc>
        <w:tc>
          <w:tcPr>
            <w:tcW w:type="dxa" w:w="108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33.803 µs</w:t>
            </w:r>
          </w:p>
        </w:tc>
      </w:tr>
      <w:tr>
        <w:tc>
          <w:tcPr>
            <w:tcW w:type="dxa" w:w="16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Ed25519 verify</w:t>
            </w:r>
          </w:p>
        </w:tc>
        <w:tc>
          <w:tcPr>
            <w:tcW w:type="dxa" w:w="10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103.360 µs</w:t>
            </w:r>
          </w:p>
        </w:tc>
        <w:tc>
          <w:tcPr>
            <w:tcW w:type="dxa" w:w="10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113.131 µs</w:t>
            </w:r>
          </w:p>
        </w:tc>
        <w:tc>
          <w:tcPr>
            <w:tcW w:type="dxa" w:w="108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123.766 µs</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benchmark excludes durable nonce storage, external identity verification, network latency, and key management. Within that scope, verification cost is negligible relative to human-review latency and workflow persistence/resumption.</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IX. Related Work</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APF extends a systems-security lineage rather than an AI-methods lineage. IsolateGPT treats the agent runtime as a security boundary and confines mutually distrustful applications behind mediated interfaces [29]. APF is complementary: it assumes the protected tool and runtime isolation can work correctly and asks whether resume reconstructs human authorization from evidence with the wrong authoring authority.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Provenance-based intrusion detection uses causal history to distinguish malicious from benign activity. ProvGuard derives contextual semantics from controller provenance to detect policy manipulation [30], while CAPTAIN adapts provenance-based detection rules and evaluates their efficiency and ablation [31]. APF uses provenance as an authorization property rather than an intrusion feature: the decisive question is whether the accepted decision can be linked to the trusted human path and the exact effect.</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Forge-security work identifies centralized forges as unverifiable trust points and decentralizes policy, activity tracking, and enforcement [23]. Our Gitea chain demonstrates a complementary failure at the stored-review boundary: a correct downstream deployment gate inherits a forged upstream decision. in-toto binds statements to identified actors and materials [22]. We apply the same principle to a human decision and the execution waiting behind it. Work on LLM and agent security examines malicious adapters, prompt injection, tool misuse, and execution isolation [10], [11], [29]. Those attacks change model behavior, supplied inputs, or tool interaction. APF assumes the model can stop correctly at the gate; the later resume path fails because it treats writable state as authority.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OWASP’s Lies-in-the-Loop pattern concerns what the reviewer sees [9]. APF begins after that interaction, or avoids it through policy suppression. A human gate therefore needs three distinct guarantees: the reviewer saw the right request, the decision has verifiable provenance, and execution matches what was approved.</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Classic access-control work separates permission from authority and warns against confused deputies [2], [3]. Macaroons show how contextual caveats can scope delegated authorization [28]. Durable-workflow and event-sourcing systems provide correct persistence semantics, but an append-only log is authoritative only when the attacker cannot append the accepted event. APF’s contribution is to identify authoring topology as the cross-system law at the pause-resume boundary and to validate the required bindings by ablation.</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X. Detection and Incident Response</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Detection must reconstruct the authorization origin chain rather than trust the workflow-native approval record. Three signals are specific to APF: a protected action with no verified approval-artifact identifier; a confirmation-policy change by a principal outside the policy-administration path; and a resume whose approval evidence has no matching issuance event from the trusted approval service. Additional high-value fields are the writer identity, verified action and argument hash, run and checkpoint binding, audience, nonce-consumption result, policy version, and timing between state mutation, approval issuance, resume, and execution.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Incident response should preserve the workflow store, approval-service logs, policy history, nonce-consumption state, service-account action logs, and upstream review or identity-governance records. Investigators should not treat the recorded approver field as proof of who acted. Forge may assign a real person’s identity to a decision that never occurred, while Suppress may leave no approval record to collect.</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XI. Limitations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results have limits. N2 harnesses implement resume contracts, not native production runs. N4 resistance rests on a trust anchor outside the writer, not exhaustive testing. Each verdict applies to the examined path; another workflow may use another boundary.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Conditional findings keep their preconditions. Vercel AI SDK requires server persistence of approval-bearing messages. Dapr Workflow and Azure Durable Functions require writable accepted history. A deployment that deliberately gives the same principal both state-write and approval authority has no cross-principal separation-of-duty boundary to test, although it may still have governance risk.</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500-pair audit result is limited to the stated projection and generated pairing method. Deployments that already correlate an external signed approval event, independent writer identity, or approval-service log may separate the paths. The expanded corpus therefore reports representative field-level observations rather than claiming universal audit indistinguishability.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Finally, a research verdict under the stated adversary is not equivalent to a vendor-accepted vulnerability or CVE. Vendor positions, acknowledgements, and pending responses are reported separately. The experiments use isolated, version-pinned environments and do not establish unauthorized access to live vendor infrastructure.</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XII. Conclusion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Operational persistence can turn writable state into accepted human authorization. The writer needs neither the reviewer’s credential nor the protected-tool credential; it supplies an approval-shaped record, and the workflow supplies the stronger execution authority. We observed the pattern in checkpoint values, serialized sessions, execution rows, lifecycle records, confirmation policy, review votes, and writable history. Of 43 systems, 25 were directly exposed, three conditionally exposed, one transitively exposed, twelve resisted, and two had no qualifying persisted gate. Resistant paths obtained decisive evidence from an authority the operational writer could not reproduce.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remedy is to verify a provenance-bound artifact tied to issuer, decision, exact action, canonical arguments, run, pending checkpoint, reviewed context, audience, policy version, freshness, and single use; the policy deciding whether approval is required must itself be authenticated. State may record an approval. It must never be able to create one.</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Ethics Considerations</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All experiments ran in isolated environments with synthetic transfers, mock protected actions, pinned versions, and test infrastructure. We did not target live vendor services, move real funds, alter production repositories, or use third-party accounts. Exact exploit commands, state diffs, private correspondence, and recordings remained in the embargoed evidence package during coordinated disclosure.</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We reported roughly thirty direct, conditional, and transitive cases through vendor security channels. One vendor assigned Medium severity under CWE-345 and coordinated remediation. Two vendors committed documentation changes on state ownership and integrity. Other reports were acknowledged, under review, or unanswered at the cutoff. We treat those responses as confirmation of behavior or deployment positions, not agreement that every finding is a product vulnerability.</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Public release is staged to protect users and preserve double-blind review. The anonymous artifact retains sanitized state, blocked controls, negative cases, and mitigation evidence. High-risk details remain withheld until the relevant embargo permits release.</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References</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 </w:t>
      </w:r>
      <w:r>
        <w:rPr>
          <w:rFonts w:ascii="Times New Roman" w:cs="Times New Roman" w:eastAsia="Times New Roman" w:hAnsi="Times New Roman"/>
          <w:b w:val="false"/>
          <w:bCs w:val="false"/>
          <w:i w:val="false"/>
          <w:iCs w:val="false"/>
          <w:smallCaps w:val="false"/>
          <w:sz w:val="16"/>
          <w:szCs w:val="16"/>
        </w:rPr>
        <w:t xml:space="preserve">Anonymous, “Ghost approvals: Approval-provenance failure in agentic AI frameworks,” 2026, manuscript under review; cited in the third person for double-blind review.</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 </w:t>
      </w:r>
      <w:r>
        <w:rPr>
          <w:rFonts w:ascii="Times New Roman" w:cs="Times New Roman" w:eastAsia="Times New Roman" w:hAnsi="Times New Roman"/>
          <w:b w:val="false"/>
          <w:bCs w:val="false"/>
          <w:i w:val="false"/>
          <w:iCs w:val="false"/>
          <w:smallCaps w:val="false"/>
          <w:sz w:val="16"/>
          <w:szCs w:val="16"/>
        </w:rPr>
        <w:t xml:space="preserve">J. H. Saltzer and M. D. Schroeder, “The protection of information in computer systems,” Proceedings of the IEEE, vol. 63, no. 9, pp. 1278–1308, 1975.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[3] </w:t>
      </w:r>
      <w:r>
        <w:rPr>
          <w:rFonts w:ascii="Times New Roman" w:cs="Times New Roman" w:eastAsia="Times New Roman" w:hAnsi="Times New Roman"/>
          <w:b w:val="false"/>
          <w:bCs w:val="false"/>
          <w:i w:val="false"/>
          <w:iCs w:val="false"/>
          <w:smallCaps w:val="false"/>
          <w:sz w:val="16"/>
          <w:szCs w:val="16"/>
        </w:rPr>
        <w:t xml:space="preserve">N. Hardy, “The confused deputy: (or why capabilities might have been invented),” ACM SIGOPS Operating Systems Review, vol. 22, no. 4, pp. 36–38, 1988.</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[4] </w:t>
      </w:r>
      <w:r>
        <w:rPr>
          <w:rFonts w:ascii="Times New Roman" w:cs="Times New Roman" w:eastAsia="Times New Roman" w:hAnsi="Times New Roman"/>
          <w:b w:val="false"/>
          <w:bCs w:val="false"/>
          <w:i w:val="false"/>
          <w:iCs w:val="false"/>
          <w:smallCaps w:val="false"/>
          <w:sz w:val="16"/>
          <w:szCs w:val="16"/>
        </w:rPr>
        <w:t xml:space="preserve">ConductorOSS, “Conductor documentation and source repository,” https://github.com/conductor-oss/conductor,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[5] </w:t>
      </w:r>
      <w:r>
        <w:rPr>
          <w:rFonts w:ascii="Times New Roman" w:cs="Times New Roman" w:eastAsia="Times New Roman" w:hAnsi="Times New Roman"/>
          <w:b w:val="false"/>
          <w:bCs w:val="false"/>
          <w:i w:val="false"/>
          <w:iCs w:val="false"/>
          <w:smallCaps w:val="false"/>
          <w:sz w:val="16"/>
          <w:szCs w:val="16"/>
        </w:rPr>
        <w:t xml:space="preserve">n8n, “n8n documentation,” https://docs.n8n.io/,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[6] </w:t>
      </w:r>
      <w:r>
        <w:rPr>
          <w:rFonts w:ascii="Times New Roman" w:cs="Times New Roman" w:eastAsia="Times New Roman" w:hAnsi="Times New Roman"/>
          <w:b w:val="false"/>
          <w:bCs w:val="false"/>
          <w:i w:val="false"/>
          <w:iCs w:val="false"/>
          <w:smallCaps w:val="false"/>
          <w:sz w:val="16"/>
          <w:szCs w:val="16"/>
        </w:rPr>
        <w:t xml:space="preserve">LangChain, “LangGraph interrupts and persistence documentation,” https://docs.langchain.com/oss/python/langgraph/,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[7] </w:t>
      </w:r>
      <w:r>
        <w:rPr>
          <w:rFonts w:ascii="Times New Roman" w:cs="Times New Roman" w:eastAsia="Times New Roman" w:hAnsi="Times New Roman"/>
          <w:b w:val="false"/>
          <w:bCs w:val="false"/>
          <w:i w:val="false"/>
          <w:iCs w:val="false"/>
          <w:smallCaps w:val="false"/>
          <w:sz w:val="16"/>
          <w:szCs w:val="16"/>
        </w:rPr>
        <w:t xml:space="preserve">Dapr Authors, “Dapr workflow documentation,” https://docs.dapr.io/developing-applications/building-blocks/workflow/,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[8] </w:t>
      </w:r>
      <w:r>
        <w:rPr>
          <w:rFonts w:ascii="Times New Roman" w:cs="Times New Roman" w:eastAsia="Times New Roman" w:hAnsi="Times New Roman"/>
          <w:b w:val="false"/>
          <w:bCs w:val="false"/>
          <w:i w:val="false"/>
          <w:iCs w:val="false"/>
          <w:smallCaps w:val="false"/>
          <w:sz w:val="16"/>
          <w:szCs w:val="16"/>
        </w:rPr>
        <w:t xml:space="preserve">Apache Software Foundation, “Apache Airflow documentation,” https://airflow.apache.org/docs/,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[9] </w:t>
      </w:r>
      <w:r>
        <w:rPr>
          <w:rFonts w:ascii="Times New Roman" w:cs="Times New Roman" w:eastAsia="Times New Roman" w:hAnsi="Times New Roman"/>
          <w:b w:val="false"/>
          <w:bCs w:val="false"/>
          <w:i w:val="false"/>
          <w:iCs w:val="false"/>
          <w:smallCaps w:val="false"/>
          <w:sz w:val="16"/>
          <w:szCs w:val="16"/>
        </w:rPr>
        <w:t xml:space="preserve">OWASP Foundation, “Lies-in-the-loop,” https://owasp.org/www-community/attacks/Lies_in_the_Loop, 2025.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[10] </w:t>
      </w:r>
      <w:r>
        <w:rPr>
          <w:rFonts w:ascii="Times New Roman" w:cs="Times New Roman" w:eastAsia="Times New Roman" w:hAnsi="Times New Roman"/>
          <w:b w:val="false"/>
          <w:bCs w:val="false"/>
          <w:i w:val="false"/>
          <w:iCs w:val="false"/>
          <w:smallCaps w:val="false"/>
          <w:sz w:val="16"/>
          <w:szCs w:val="16"/>
        </w:rPr>
        <w:t xml:space="preserve">K. Greshake, S. Abdelnabi, S. Mishra, C. Endres, T. Holz, and M. Fritz, “Not what you’ve signed up for: Compromising real-world LLM-integrated applications with indirect prompt injection,” arXiv preprint arXiv:2302.12173, 2023.</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[11] </w:t>
      </w:r>
      <w:r>
        <w:rPr>
          <w:rFonts w:ascii="Times New Roman" w:cs="Times New Roman" w:eastAsia="Times New Roman" w:hAnsi="Times New Roman"/>
          <w:b w:val="false"/>
          <w:bCs w:val="false"/>
          <w:i w:val="false"/>
          <w:iCs w:val="false"/>
          <w:smallCaps w:val="false"/>
          <w:sz w:val="16"/>
          <w:szCs w:val="16"/>
        </w:rPr>
        <w:t xml:space="preserve">T. Dong, M. Xue, G. Chen, R. Holland, Y. Meng, S. Li, Z. Liu, and H. Zhu, “The philosopher’s stone: Trojaning plugins of large language models,” in Network and Distributed System Security Symposium, 2025.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[12] </w:t>
      </w:r>
      <w:r>
        <w:rPr>
          <w:rFonts w:ascii="Times New Roman" w:cs="Times New Roman" w:eastAsia="Times New Roman" w:hAnsi="Times New Roman"/>
          <w:b w:val="false"/>
          <w:bCs w:val="false"/>
          <w:i w:val="false"/>
          <w:iCs w:val="false"/>
          <w:smallCaps w:val="false"/>
          <w:sz w:val="16"/>
          <w:szCs w:val="16"/>
        </w:rPr>
        <w:t xml:space="preserve">Temporal Technologies, “Temporal documentation: Workflow messages and event history,” https://docs.temporal.io/,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[13] </w:t>
      </w:r>
      <w:r>
        <w:rPr>
          <w:rFonts w:ascii="Times New Roman" w:cs="Times New Roman" w:eastAsia="Times New Roman" w:hAnsi="Times New Roman"/>
          <w:b w:val="false"/>
          <w:bCs w:val="false"/>
          <w:i w:val="false"/>
          <w:iCs w:val="false"/>
          <w:smallCaps w:val="false"/>
          <w:sz w:val="16"/>
          <w:szCs w:val="16"/>
        </w:rPr>
        <w:t xml:space="preserve">Restate, “Restate documentation: Awakeables and durable journal,” https://docs.restate.dev/,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[14] </w:t>
      </w:r>
      <w:r>
        <w:rPr>
          <w:rFonts w:ascii="Times New Roman" w:cs="Times New Roman" w:eastAsia="Times New Roman" w:hAnsi="Times New Roman"/>
          <w:b w:val="false"/>
          <w:bCs w:val="false"/>
          <w:i w:val="false"/>
          <w:iCs w:val="false"/>
          <w:smallCaps w:val="false"/>
          <w:sz w:val="16"/>
          <w:szCs w:val="16"/>
        </w:rPr>
        <w:t xml:space="preserve">Inngest, “waitForEvent documentation,” https://www.inngest.com/docs/reference/functions/step-wait-for-event,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[15] </w:t>
      </w:r>
      <w:r>
        <w:rPr>
          <w:rFonts w:ascii="Times New Roman" w:cs="Times New Roman" w:eastAsia="Times New Roman" w:hAnsi="Times New Roman"/>
          <w:b w:val="false"/>
          <w:bCs w:val="false"/>
          <w:i w:val="false"/>
          <w:iCs w:val="false"/>
          <w:smallCaps w:val="false"/>
          <w:sz w:val="16"/>
          <w:szCs w:val="16"/>
        </w:rPr>
        <w:t xml:space="preserve">Amazon Web Services, “Step Functions callback pattern with task token,” https://docs.aws.amazon.com/step-functions/latest/dg/connect-to-resource.html#connect-wait-token,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[16] </w:t>
      </w:r>
      <w:r>
        <w:rPr>
          <w:rFonts w:ascii="Times New Roman" w:cs="Times New Roman" w:eastAsia="Times New Roman" w:hAnsi="Times New Roman"/>
          <w:b w:val="false"/>
          <w:bCs w:val="false"/>
          <w:i w:val="false"/>
          <w:iCs w:val="false"/>
          <w:smallCaps w:val="false"/>
          <w:sz w:val="16"/>
          <w:szCs w:val="16"/>
        </w:rPr>
        <w:t xml:space="preserve">Gerrit Project, “Gerrit code review documentation: NoteDb and submit requirements,” https://gerrit-review.googlesource.com/Documentation/,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[17] </w:t>
      </w:r>
      <w:r>
        <w:rPr>
          <w:rFonts w:ascii="Times New Roman" w:cs="Times New Roman" w:eastAsia="Times New Roman" w:hAnsi="Times New Roman"/>
          <w:b w:val="false"/>
          <w:bCs w:val="false"/>
          <w:i w:val="false"/>
          <w:iCs w:val="false"/>
          <w:smallCaps w:val="false"/>
          <w:sz w:val="16"/>
          <w:szCs w:val="16"/>
        </w:rPr>
        <w:t xml:space="preserve">Gitea Authors, “Gitea pull-request reviews and branch protection,” https://docs.gitea.com/,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[18] </w:t>
      </w:r>
      <w:r>
        <w:rPr>
          <w:rFonts w:ascii="Times New Roman" w:cs="Times New Roman" w:eastAsia="Times New Roman" w:hAnsi="Times New Roman"/>
          <w:b w:val="false"/>
          <w:bCs w:val="false"/>
          <w:i w:val="false"/>
          <w:iCs w:val="false"/>
          <w:smallCaps w:val="false"/>
          <w:sz w:val="16"/>
          <w:szCs w:val="16"/>
        </w:rPr>
        <w:t xml:space="preserve">Prefect Technologies, “Pausing flows for input,” https://docs.prefect.io/,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[19] </w:t>
      </w:r>
      <w:r>
        <w:rPr>
          <w:rFonts w:ascii="Times New Roman" w:cs="Times New Roman" w:eastAsia="Times New Roman" w:hAnsi="Times New Roman"/>
          <w:b w:val="false"/>
          <w:bCs w:val="false"/>
          <w:i w:val="false"/>
          <w:iCs w:val="false"/>
          <w:smallCaps w:val="false"/>
          <w:sz w:val="16"/>
          <w:szCs w:val="16"/>
        </w:rPr>
        <w:t xml:space="preserve">Google, “Genkit documentation,” https://genkit.dev/docs/,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[20] </w:t>
      </w:r>
      <w:r>
        <w:rPr>
          <w:rFonts w:ascii="Times New Roman" w:cs="Times New Roman" w:eastAsia="Times New Roman" w:hAnsi="Times New Roman"/>
          <w:b w:val="false"/>
          <w:bCs w:val="false"/>
          <w:i w:val="false"/>
          <w:iCs w:val="false"/>
          <w:smallCaps w:val="false"/>
          <w:sz w:val="16"/>
          <w:szCs w:val="16"/>
        </w:rPr>
        <w:t xml:space="preserve">Atlantis Authors, “Atlantis apply requirements and VCS integration,” https://www.runatlantis.io/docs/,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[21] </w:t>
      </w:r>
      <w:r>
        <w:rPr>
          <w:rFonts w:ascii="Times New Roman" w:cs="Times New Roman" w:eastAsia="Times New Roman" w:hAnsi="Times New Roman"/>
          <w:b w:val="false"/>
          <w:bCs w:val="false"/>
          <w:i w:val="false"/>
          <w:iCs w:val="false"/>
          <w:smallCaps w:val="false"/>
          <w:sz w:val="16"/>
          <w:szCs w:val="16"/>
        </w:rPr>
        <w:t xml:space="preserve">HashiCorp, “Terraform documentation,” https://developer.hashicorp.com/terraform/docs,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[22] </w:t>
      </w:r>
      <w:r>
        <w:rPr>
          <w:rFonts w:ascii="Times New Roman" w:cs="Times New Roman" w:eastAsia="Times New Roman" w:hAnsi="Times New Roman"/>
          <w:b w:val="false"/>
          <w:bCs w:val="false"/>
          <w:i w:val="false"/>
          <w:iCs w:val="false"/>
          <w:smallCaps w:val="false"/>
          <w:sz w:val="16"/>
          <w:szCs w:val="16"/>
        </w:rPr>
        <w:t xml:space="preserve">S. Torres-Arias, H. Afzali, T. K. Kuppusamy, R. Curtmola, and J. Cappos, “in-toto: Providing farm-to-table guarantees for bits and bytes,” in 28th USENIX Security Symposium, 2019, pp. 1393–1410.</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[23] </w:t>
      </w:r>
      <w:r>
        <w:rPr>
          <w:rFonts w:ascii="Times New Roman" w:cs="Times New Roman" w:eastAsia="Times New Roman" w:hAnsi="Times New Roman"/>
          <w:b w:val="false"/>
          <w:bCs w:val="false"/>
          <w:i w:val="false"/>
          <w:iCs w:val="false"/>
          <w:smallCaps w:val="false"/>
          <w:sz w:val="16"/>
          <w:szCs w:val="16"/>
        </w:rPr>
        <w:t xml:space="preserve">A. S. A. Yelgundhalli, P. Zielinski, R. Curtmola, and J. Cappos, “Rethinking trust in forge-based git security,” in Network and Distributed System Security Symposium, 2025.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[24] </w:t>
      </w:r>
      <w:r>
        <w:rPr>
          <w:rFonts w:ascii="Times New Roman" w:cs="Times New Roman" w:eastAsia="Times New Roman" w:hAnsi="Times New Roman"/>
          <w:b w:val="false"/>
          <w:bCs w:val="false"/>
          <w:i w:val="false"/>
          <w:iCs w:val="false"/>
          <w:smallCaps w:val="false"/>
          <w:sz w:val="16"/>
          <w:szCs w:val="16"/>
        </w:rPr>
        <w:t xml:space="preserve">OpenHands Contributors, “OpenHands source repository and security controls,” https://github.com/All-Hands-AI/OpenHands,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[25] </w:t>
      </w:r>
      <w:r>
        <w:rPr>
          <w:rFonts w:ascii="Times New Roman" w:cs="Times New Roman" w:eastAsia="Times New Roman" w:hAnsi="Times New Roman"/>
          <w:b w:val="false"/>
          <w:bCs w:val="false"/>
          <w:i w:val="false"/>
          <w:iCs w:val="false"/>
          <w:smallCaps w:val="false"/>
          <w:sz w:val="16"/>
          <w:szCs w:val="16"/>
        </w:rPr>
        <w:t xml:space="preserve">deepset, “Haystack documentation and source repository,” https://github.com/deepset-ai/haystack, 2026.</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[26] </w:t>
      </w:r>
      <w:r>
        <w:rPr>
          <w:rFonts w:ascii="Times New Roman" w:cs="Times New Roman" w:eastAsia="Times New Roman" w:hAnsi="Times New Roman"/>
          <w:b w:val="false"/>
          <w:bCs w:val="false"/>
          <w:i w:val="false"/>
          <w:iCs w:val="false"/>
          <w:smallCaps w:val="false"/>
          <w:sz w:val="16"/>
          <w:szCs w:val="16"/>
        </w:rPr>
        <w:t xml:space="preserve">European Union, “Regulation (EU) 2024/1689, Article 14: Human oversight,” https://eur-lex.europa.eu/eli/reg/2024/1689/oj, 2024.</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[27] </w:t>
      </w:r>
      <w:r>
        <w:rPr>
          <w:rFonts w:ascii="Times New Roman" w:cs="Times New Roman" w:eastAsia="Times New Roman" w:hAnsi="Times New Roman"/>
          <w:b w:val="false"/>
          <w:bCs w:val="false"/>
          <w:i w:val="false"/>
          <w:iCs w:val="false"/>
          <w:smallCaps w:val="false"/>
          <w:sz w:val="16"/>
          <w:szCs w:val="16"/>
        </w:rPr>
        <w:t xml:space="preserve">“ISO/IEC 42001:2023 Information technology – Artificial intelligence – Management system,” International Organization for Standardization, 2023.</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[28] </w:t>
      </w:r>
      <w:r>
        <w:rPr>
          <w:rFonts w:ascii="Times New Roman" w:cs="Times New Roman" w:eastAsia="Times New Roman" w:hAnsi="Times New Roman"/>
          <w:b w:val="false"/>
          <w:bCs w:val="false"/>
          <w:i w:val="false"/>
          <w:iCs w:val="false"/>
          <w:smallCaps w:val="false"/>
          <w:sz w:val="16"/>
          <w:szCs w:val="16"/>
        </w:rPr>
        <w:t xml:space="preserve">A. Birgisson, J. G. Politz, Ú. Erlingsson, A. Taly, M. Vrable, and M. Lentczner, “Macaroons: Cookies with contextual caveats for decentralized authorization in the cloud,” in Network and Distributed System Security Symposium, 2014.</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[29] </w:t>
      </w:r>
      <w:r>
        <w:rPr>
          <w:rFonts w:ascii="Times New Roman" w:cs="Times New Roman" w:eastAsia="Times New Roman" w:hAnsi="Times New Roman"/>
          <w:b w:val="false"/>
          <w:bCs w:val="false"/>
          <w:i w:val="false"/>
          <w:iCs w:val="false"/>
          <w:smallCaps w:val="false"/>
          <w:sz w:val="16"/>
          <w:szCs w:val="16"/>
        </w:rPr>
        <w:t xml:space="preserve">Y. Wu, F. Roesner, T. Kohno, N. Zhang, and U. Iqbal, “IsolateGPT: An execution isolation architecture for LLM-based agentic systems,” in Network and Distributed System Security Symposium, 2025.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[30] </w:t>
      </w:r>
      <w:r>
        <w:rPr>
          <w:rFonts w:ascii="Times New Roman" w:cs="Times New Roman" w:eastAsia="Times New Roman" w:hAnsi="Times New Roman"/>
          <w:b w:val="false"/>
          <w:bCs w:val="false"/>
          <w:i w:val="false"/>
          <w:iCs w:val="false"/>
          <w:smallCaps w:val="false"/>
          <w:sz w:val="16"/>
          <w:szCs w:val="16"/>
        </w:rPr>
        <w:t xml:space="preserve">Z. Liu, J. Mao, J. Zeng, J. Li, Q. Lin, J. Liu, J. Zhuge, and Z. Liang, “ProvGuard: Detecting SDN control policy manipulation via contextual semantics of provenance graphs,” in Network and Distributed System Security Symposium, 2025.</w:t>
      </w:r>
    </w:p>
    <w:p>
      <w:pPr>
        <w:spacing w:after="30" w:before="0" w:line="210" w:lineRule="auto"/>
        <w:ind w:left="300" w:hanging="300"/>
        <w:jc w:val="both"/>
      </w:pPr>
      <w:r>
        <w:rPr>
          <w:rFonts w:ascii="Times New Roman" w:cs="Times New Roman" w:eastAsia="Times New Roman" w:hAnsi="Times New Roman"/>
          <w:b w:val="false"/>
          <w:bCs w:val="false"/>
          <w:i w:val="false"/>
          <w:iCs w:val="false"/>
          <w:smallCaps w:val="false"/>
          <w:sz w:val="16"/>
          <w:szCs w:val="16"/>
        </w:rPr>
        <w:t xml:space="preserve">[31] </w:t>
      </w:r>
      <w:r>
        <w:rPr>
          <w:rFonts w:ascii="Times New Roman" w:cs="Times New Roman" w:eastAsia="Times New Roman" w:hAnsi="Times New Roman"/>
          <w:b w:val="false"/>
          <w:bCs w:val="false"/>
          <w:i w:val="false"/>
          <w:iCs w:val="false"/>
          <w:smallCaps w:val="false"/>
          <w:sz w:val="16"/>
          <w:szCs w:val="16"/>
        </w:rPr>
        <w:t xml:space="preserve">L. Wang, X. Shen, W. Li, Z. Li, R. Sekar, H. Liu, and Y. Chen, “Incorporating gradients to rules: Towards lightweight, adaptive provenance-based intrusion detection,” in Network and Distributed System Security Symposium, 2025.</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Appendix A</w:t>
      </w:r>
    </w:p>
    <w:p>
      <w:pPr>
        <w:spacing w:after="110" w:before="0"/>
        <w:jc w:val="center"/>
      </w:pPr>
      <w:r>
        <w:rPr>
          <w:rFonts w:ascii="Times New Roman" w:cs="Times New Roman" w:eastAsia="Times New Roman" w:hAnsi="Times New Roman"/>
          <w:b w:val="false"/>
          <w:bCs w:val="false"/>
          <w:i w:val="false"/>
          <w:iCs w:val="false"/>
          <w:smallCaps/>
          <w:sz w:val="20"/>
          <w:szCs w:val="20"/>
        </w:rPr>
        <w:t xml:space="preserve">Open Science and Artifact Plan</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anonymous artifact is organized as follows: 00-corpus contains the canonical matrix, verdict definitions, mechanism codes, evidence tiers, and disclosure map; 01-harnesses contains native and executable resume-contract harnesses with independent control, forge, and mitigation commands; 02-negative-controls contains runtime and trust-anchor evidence for resistant and no-gate systems; 03-reachability contains the five deployment shapes, insecure and hardened twins, capability probes, and Redis/PostgreSQL evidence; 04-audit-evidence contains genuine and forged record captures, field diffs, validators, and provenance-gap checks; 05-mitigation contains the approval artifact, policy integrity, replay tests, binding ablation, benchmark script, and raw measurements; 06-demos contains reset scripts, offline fixtures, and backup recordings; and 07-disclosure contains sanitized report status and patch verification.</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Every executable system entry includes a README, version or commit pin, environment file, independent control command, forge command, mitigation command, and expected outputs. The anonymous repository URL and cycle identifier are submission metadata and are intentionally left as placeholders. Exploit details and private correspondence remain withheld where disclosure restrictions apply; sanitized state shapes, blocked controls, and mitigation artifacts remain available for review.</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Appendix B</w:t>
      </w:r>
    </w:p>
    <w:p>
      <w:pPr>
        <w:spacing w:after="110" w:before="0"/>
        <w:jc w:val="center"/>
      </w:pPr>
      <w:r>
        <w:rPr>
          <w:rFonts w:ascii="Times New Roman" w:cs="Times New Roman" w:eastAsia="Times New Roman" w:hAnsi="Times New Roman"/>
          <w:b w:val="false"/>
          <w:bCs w:val="false"/>
          <w:i w:val="false"/>
          <w:iCs w:val="false"/>
          <w:smallCaps/>
          <w:sz w:val="20"/>
          <w:szCs w:val="20"/>
        </w:rPr>
        <w:t xml:space="preserve">Per-System Reproducibility Ledger</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The ledger records the tested basis, verdict, decisive state or trust anchor, and evidence tier for all 43 systems. Mechanism labels may overlap and are not outcome counts.</w:t>
      </w:r>
    </w:p>
    <w:p>
      <w:pPr>
        <w:sectPr>
          <w:footerReference w:type="default" r:id="rId30"/>
          <w:type w:val="continuous"/>
          <w:pgSz w:w="12240" w:h="15840" w:orient="portrait"/>
          <w:pgMar w:top="1080" w:right="1080" w:bottom="1260" w:left="1080" w:header="720" w:footer="720" w:gutter="0"/>
          <w:pgNumType/>
          <w:cols w:space="360" w:num="2" w:sep="false"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XIII</w:t>
      </w:r>
      <w:r>
        <w:rPr>
          <w:rFonts w:ascii="Times New Roman" w:cs="Times New Roman" w:eastAsia="Times New Roman" w:hAnsi="Times New Roman"/>
          <w:b w:val="false"/>
          <w:bCs w:val="false"/>
          <w:i w:val="false"/>
          <w:iCs w:val="false"/>
          <w:smallCaps w:val="false"/>
          <w:sz w:val="16"/>
          <w:szCs w:val="16"/>
        </w:rPr>
        <w:t xml:space="preserve">: Agentic AI systems.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1240"/>
        <w:gridCol w:w="1200"/>
        <w:gridCol w:w="3960"/>
        <w:gridCol w:w="1120"/>
      </w:tblGrid>
      <w:tr>
        <w:trPr>
          <w:tblHeader/>
        </w:trPr>
        <w:tc>
          <w:tcPr>
            <w:tcW w:type="dxa" w:w="25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System / tested basis</w:t>
            </w:r>
          </w:p>
        </w:tc>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Verdict</w:t>
            </w:r>
          </w:p>
        </w:tc>
        <w:tc>
          <w:tcPr>
            <w:tcW w:type="dxa" w:w="12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Mechanism</w:t>
            </w:r>
          </w:p>
        </w:tc>
        <w:tc>
          <w:tcPr>
            <w:tcW w:type="dxa" w:w="3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surface or trust anchor</w:t>
            </w:r>
          </w:p>
        </w:tc>
        <w:tc>
          <w:tcPr>
            <w:tcW w:type="dxa" w:w="11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Evidence</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 Haystack / haystack-ai 2.30.0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TCA</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AgentSnapshot tool-call approval field and restored arguments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 Dify / langgenius/dify, commit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Workflow execution-data JSON, human-review node status and output.approved</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 Microsoft Agent Framework / semantic-kernel 1.43.0 line</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 channel value and approval field</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4. Agno / agno 2.6.11</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Persisted approval-lifecycle status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5. AutoGen / microsoft/autogen, commit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SRS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Serialized team and run state containing approval-shaped data</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6. FlowiseAI / vendor-confirmed affected line</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 / WED</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executionData resolved-proceed shape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 / Vendor-confirmed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7. Google ADK / google-adk 2.2.0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SRS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sessions.state approval and run value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N1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8. LlamaIndex Workflows / run-llama/llama_index, pinned runtime</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Serialized Workflow Context JSON</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N1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9. OpenAI Agents SDK / openai-agents 0.17.4</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SRS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Serialized RunState approvals dictionary</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10. Semantic Kernel / semantic-kernel 1.43.0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Checkpointed step-state approval boolean</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11. n8n / n8n-core 2.16.1; n8n-workflow 2.16.0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Wait or human-interaction output in execution_entity.data and runData</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12. CrewAI / crewai 1.14.6</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FlowPersistence state across save_state() and Flow.kickoff()</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N1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13. LangGraph / langgraph 1.2.5; checkpoint-sqlite 3.1.0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Checkpointer resume value consumed by Command(resume)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N1 / 9/9</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14. PydanticAI / pydantic-ai 1.107.0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DeferredToolResults keyed to the pending tool-call ID</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N3 / 5/5</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15. BeeAI / beeai-framework 0.1.81</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permission-handler callback</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N3 / 8/8</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16. Mastra / @mastra/core 1.45.0</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Schema-validated live resumeData</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N3 / 3/3</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17. CAMEL / project basis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N/A</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NONE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 qualifying persisted human-approval gate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Scope / N/A</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18. Langroid / project basis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N/A</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NONE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conversational input only</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Scope / N/A</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19. Apache Burr / DAGWorks-Inc/burr, commit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Persisted application State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20. Strands Agents SDK / strands-agents/sdk-python, commit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SRS / APS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Session snapshot plus persisted trust or confirmation policy</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21. OpenHands Agent SDK / All-Hands-AI/OpenHands,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APS / SRS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ConversationState confirmation policy in state.json</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22. Vercel AI SDK / vercel/ai, commit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Conditional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TCA</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Tool-part approval inside persisted UIMessages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23. Google Genkit / Genkit design basis</w:t>
            </w:r>
          </w:p>
        </w:tc>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Restart and anti-forgery validation on resume</w:t>
            </w:r>
          </w:p>
        </w:tc>
        <w:tc>
          <w:tcPr>
            <w:tcW w:type="dxa" w:w="11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bl>
    <w:p>
      <w:pPr>
        <w:spacing w:after="12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XIV</w:t>
      </w:r>
      <w:r>
        <w:rPr>
          <w:rFonts w:ascii="Times New Roman" w:cs="Times New Roman" w:eastAsia="Times New Roman" w:hAnsi="Times New Roman"/>
          <w:b w:val="false"/>
          <w:bCs w:val="false"/>
          <w:i w:val="false"/>
          <w:iCs w:val="false"/>
          <w:smallCaps w:val="false"/>
          <w:sz w:val="16"/>
          <w:szCs w:val="16"/>
        </w:rPr>
        <w:t xml:space="preserve">: Durable-execution systems.</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1240"/>
        <w:gridCol w:w="1200"/>
        <w:gridCol w:w="3960"/>
        <w:gridCol w:w="1120"/>
      </w:tblGrid>
      <w:tr>
        <w:trPr>
          <w:tblHeader/>
        </w:trPr>
        <w:tc>
          <w:tcPr>
            <w:tcW w:type="dxa" w:w="25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System / tested basis</w:t>
            </w:r>
          </w:p>
        </w:tc>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Verdict</w:t>
            </w:r>
          </w:p>
        </w:tc>
        <w:tc>
          <w:tcPr>
            <w:tcW w:type="dxa" w:w="12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Mechanism</w:t>
            </w:r>
          </w:p>
        </w:tc>
        <w:tc>
          <w:tcPr>
            <w:tcW w:type="dxa" w:w="3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surface or trust anchor</w:t>
            </w:r>
          </w:p>
        </w:tc>
        <w:tc>
          <w:tcPr>
            <w:tcW w:type="dxa" w:w="11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Evidence</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24. DBOS / DBOS Transact on Postgres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CRV</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Checkpointed step output in operation_outputs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25. Temporal / Temporal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Signal or update recorded in server-owned event history</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26. Restate / Restate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Awakeable resolution in server-owned journal</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27. Inngest / Inngest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waitForEvent through managed state service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28. Dapr Workflow / dapr/dapr,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Conditional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JRN-writable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Workflow history stored as actor-state keys in Redis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29. AWS Step Functions / service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token</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Capability task token bound to pending execution</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30. Azure Durable Functions / durable extension, pinned</w:t>
            </w:r>
          </w:p>
        </w:tc>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Conditional exposed</w:t>
            </w:r>
          </w:p>
        </w:tc>
        <w:tc>
          <w:tcPr>
            <w:tcW w:type="dxa" w:w="12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JRN-writable</w:t>
            </w:r>
          </w:p>
        </w:tc>
        <w:tc>
          <w:tcPr>
            <w:tcW w:type="dxa" w:w="3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EventRaised row in Azure Storage History or Instances tables</w:t>
            </w:r>
          </w:p>
        </w:tc>
        <w:tc>
          <w:tcPr>
            <w:tcW w:type="dxa" w:w="11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31"/>
          <w:type w:val="continuous"/>
          <w:pgSz w:w="12240" w:h="15840" w:orient="portrait"/>
          <w:pgMar w:top="1080" w:right="1080" w:bottom="1260" w:left="1080" w:header="720" w:footer="720" w:gutter="0"/>
          <w:pgNumType/>
          <w:cols w:space="360" w:num="1" w:equalWidth="true"/>
          <w:docGrid w:linePitch="360"/>
        </w:sectPr>
      </w:pPr>
    </w:p>
    <w:p>
      <w:pPr>
        <w:spacing w:after="4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XV</w:t>
      </w:r>
      <w:r>
        <w:rPr>
          <w:rFonts w:ascii="Times New Roman" w:cs="Times New Roman" w:eastAsia="Times New Roman" w:hAnsi="Times New Roman"/>
          <w:b w:val="false"/>
          <w:bCs w:val="false"/>
          <w:i w:val="false"/>
          <w:iCs w:val="false"/>
          <w:smallCaps w:val="false"/>
          <w:sz w:val="16"/>
          <w:szCs w:val="16"/>
        </w:rPr>
        <w:t xml:space="preserve">: Orchestration, BPMN, and CI/CD.</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1240"/>
        <w:gridCol w:w="1200"/>
        <w:gridCol w:w="3960"/>
        <w:gridCol w:w="1120"/>
      </w:tblGrid>
      <w:tr>
        <w:trPr>
          <w:tblHeader/>
        </w:trPr>
        <w:tc>
          <w:tcPr>
            <w:tcW w:type="dxa" w:w="25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System / tested basis</w:t>
            </w:r>
          </w:p>
        </w:tc>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Verdict</w:t>
            </w:r>
          </w:p>
        </w:tc>
        <w:tc>
          <w:tcPr>
            <w:tcW w:type="dxa" w:w="12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Mechanism</w:t>
            </w:r>
          </w:p>
        </w:tc>
        <w:tc>
          <w:tcPr>
            <w:tcW w:type="dxa" w:w="3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surface or trust anchor</w:t>
            </w:r>
          </w:p>
        </w:tc>
        <w:tc>
          <w:tcPr>
            <w:tcW w:type="dxa" w:w="11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Evidence</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31. Prefect / Prefect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Validated RunInput supplied through resume path</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32. Apache Airflow / apache/airflow,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 / 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XCom or HITL response in metadata database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33. SpiffWorkflow / sartography/SpiffWorkflow,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 / 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Serialized workflow and user-task state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34. Kestra OSS / kestra-io/kestra,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 / WED</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Execution state PAUSED to RUNNING plus onResume inputs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35. Flowable OSS / flowable/flowable-engine,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 / 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ACT_RU execution token, task row and approval variable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36. Jenkins Pipeline input / Jenkins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identity</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Identity-checked live Proceed action</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37. GoCD / GoCD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role</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Role-authorized live trigger</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38. Conductor OSS / conductor-oss/conductor,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 / 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HUMAN task status and output</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39. Kogito / apache/incubator-kie-kogito-runtimes, pinned</w:t>
            </w:r>
          </w:p>
        </w:tc>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WED / ALS</w:t>
            </w:r>
          </w:p>
        </w:tc>
        <w:tc>
          <w:tcPr>
            <w:tcW w:type="dxa" w:w="3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Persisted process-instance snapshot, active nodes and user-task phase</w:t>
            </w:r>
          </w:p>
        </w:tc>
        <w:tc>
          <w:tcPr>
            <w:tcW w:type="dxa" w:w="11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bl>
    <w:p>
      <w:pPr>
        <w:spacing w:after="12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XVI</w:t>
      </w:r>
      <w:r>
        <w:rPr>
          <w:rFonts w:ascii="Times New Roman" w:cs="Times New Roman" w:eastAsia="Times New Roman" w:hAnsi="Times New Roman"/>
          <w:b w:val="false"/>
          <w:bCs w:val="false"/>
          <w:i w:val="false"/>
          <w:iCs w:val="false"/>
          <w:smallCaps w:val="false"/>
          <w:sz w:val="16"/>
          <w:szCs w:val="16"/>
        </w:rPr>
        <w:t xml:space="preserve">: Review, governance, and composition.</w:t>
      </w:r>
    </w:p>
    <w:tbl>
      <w:tblPr>
        <w:tblW w:type="dxa" w:w="1008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560"/>
        <w:gridCol w:w="1240"/>
        <w:gridCol w:w="1200"/>
        <w:gridCol w:w="3960"/>
        <w:gridCol w:w="1120"/>
      </w:tblGrid>
      <w:tr>
        <w:trPr>
          <w:tblHeader/>
        </w:trPr>
        <w:tc>
          <w:tcPr>
            <w:tcW w:type="dxa" w:w="25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System / tested basis</w:t>
            </w:r>
          </w:p>
        </w:tc>
        <w:tc>
          <w:tcPr>
            <w:tcW w:type="dxa" w:w="124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Verdict</w:t>
            </w:r>
          </w:p>
        </w:tc>
        <w:tc>
          <w:tcPr>
            <w:tcW w:type="dxa" w:w="12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Mechanism</w:t>
            </w:r>
          </w:p>
        </w:tc>
        <w:tc>
          <w:tcPr>
            <w:tcW w:type="dxa" w:w="3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Decisive surface or trust anchor</w:t>
            </w:r>
          </w:p>
        </w:tc>
        <w:tc>
          <w:tcPr>
            <w:tcW w:type="dxa" w:w="112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Evidence</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40. Gitea / go-gitea/gitea,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 / WED</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Relational pull-request review-vote rows</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41. Gerrit / Gerrit design basis</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Resistant</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LIVE identity</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NoteDb identity-bound votes plus submit-time freeze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N4 / Design verified</w:t>
            </w:r>
          </w:p>
        </w:tc>
      </w:tr>
      <w:tr>
        <w:tc>
          <w:tcPr>
            <w:tcW w:type="dxa" w:w="25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42. midPoint / Evolveum midPoint, pinned</w:t>
            </w:r>
          </w:p>
        </w:tc>
        <w:tc>
          <w:tcPr>
            <w:tcW w:type="dxa" w:w="124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Direct exposed</w:t>
            </w:r>
          </w:p>
        </w:tc>
        <w:tc>
          <w:tcPr>
            <w:tcW w:type="dxa" w:w="120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ALS</w:t>
            </w:r>
          </w:p>
        </w:tc>
        <w:tc>
          <w:tcPr>
            <w:tcW w:type="dxa" w:w="396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Persisted approval-case outcome and work-item closure</w:t>
            </w:r>
          </w:p>
        </w:tc>
        <w:tc>
          <w:tcPr>
            <w:tcW w:type="dxa" w:w="1120"/>
            <w:tcBorders>
              <w:top w:val="none" w:color="FFFFFF" w:sz="0"/>
              <w:left w:val="none" w:color="FFFFFF" w:sz="0"/>
              <w:bottom w:val="single" w:color="BFBFBF" w:sz="2"/>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r>
        <w:tc>
          <w:tcPr>
            <w:tcW w:type="dxa" w:w="25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43. Atlantis + Gitea / runatlantis/atlantis with Gitea, pinned</w:t>
            </w:r>
          </w:p>
        </w:tc>
        <w:tc>
          <w:tcPr>
            <w:tcW w:type="dxa" w:w="124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Transitive exposed</w:t>
            </w:r>
          </w:p>
        </w:tc>
        <w:tc>
          <w:tcPr>
            <w:tcW w:type="dxa" w:w="12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Inherits Gitea</w:t>
            </w:r>
          </w:p>
        </w:tc>
        <w:tc>
          <w:tcPr>
            <w:tcW w:type="dxa" w:w="3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Atlantis live query of upstream VCS approval status</w:t>
            </w:r>
          </w:p>
        </w:tc>
        <w:tc>
          <w:tcPr>
            <w:tcW w:type="dxa" w:w="112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N2 / 10/10</w:t>
            </w:r>
          </w:p>
        </w:tc>
      </w:tr>
    </w:tbl>
    <w:p>
      <w:pPr>
        <w:spacing w:after="60" w:before="0"/>
      </w:pPr>
      <w:r>
        <w:rPr>
          <w:rFonts w:ascii="Times New Roman" w:cs="Times New Roman" w:eastAsia="Times New Roman" w:hAnsi="Times New Roman"/>
          <w:b w:val="false"/>
          <w:bCs w:val="false"/>
          <w:i w:val="false"/>
          <w:iCs w:val="false"/>
          <w:smallCaps w:val="false"/>
          <w:sz w:val="8"/>
          <w:szCs w:val="8"/>
        </w:rPr>
        <w:t xml:space="preserve"/>
      </w:r>
    </w:p>
    <w:p>
      <w:pPr>
        <w:sectPr>
          <w:footerReference w:type="default" r:id="rId32"/>
          <w:type w:val="continuous"/>
          <w:pgSz w:w="12240" w:h="15840" w:orient="portrait"/>
          <w:pgMar w:top="1080" w:right="1080" w:bottom="1260" w:left="1080" w:header="720" w:footer="720" w:gutter="0"/>
          <w:pgNumType/>
          <w:cols w:space="360" w:num="1" w:equalWidth="true"/>
          <w:docGrid w:linePitch="360"/>
        </w:sectPr>
      </w:pP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Appendix C</w:t>
      </w:r>
    </w:p>
    <w:p>
      <w:pPr>
        <w:spacing w:after="110" w:before="0"/>
        <w:jc w:val="center"/>
      </w:pPr>
      <w:r>
        <w:rPr>
          <w:rFonts w:ascii="Times New Roman" w:cs="Times New Roman" w:eastAsia="Times New Roman" w:hAnsi="Times New Roman"/>
          <w:b w:val="false"/>
          <w:bCs w:val="false"/>
          <w:i w:val="false"/>
          <w:iCs w:val="false"/>
          <w:smallCaps/>
          <w:sz w:val="20"/>
          <w:szCs w:val="20"/>
        </w:rPr>
        <w:t xml:space="preserve">One-Question Test</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 reviewer can begin with one question: after a pause, does continuation merely read a stored value saying approval occurred, or does it verify that the authorized path issued a decision for this action and execution? A gate is exposed when an operational writer can create the value that resume accepts. A state-only attempt fails when continuation instead requires a live identity decision, a capability for pending work, a server-owned event, a signed artifact, or other evidence the writer cannot author.</w:t>
      </w:r>
    </w:p>
    <w:p>
      <w:pPr>
        <w:keepNext w:val="false"/>
        <w:spacing w:after="0" w:before="0" w:line="232" w:lineRule="auto"/>
        <w:ind w:firstLine="200"/>
        <w:jc w:val="both"/>
      </w:pPr>
      <w:r>
        <w:rPr>
          <w:rFonts w:ascii="Times New Roman" w:cs="Times New Roman" w:eastAsia="Times New Roman" w:hAnsi="Times New Roman"/>
          <w:b w:val="false"/>
          <w:bCs w:val="false"/>
          <w:i w:val="false"/>
          <w:iCs w:val="false"/>
          <w:smallCaps w:val="false"/>
          <w:sz w:val="20"/>
          <w:szCs w:val="20"/>
        </w:rPr>
        <w:t xml:space="preserve">The practical test follows the same distinction. Put a minimal protected action behind a human gate and force a pause. Identify the evidence consumed at resume. Give a principal write access only to that evidence, leaving code, business data, secrets, and tool credentials out of reach. Change the evidence, resume normally, and compare the protected effect and audit record with a genuine approval. Repeat after changing the arguments, run, audience, lifetime, and the policy that decides whether the gate is invoked.</w:t>
      </w:r>
    </w:p>
    <w:p>
      <w:pPr>
        <w:keepNext/>
        <w:spacing w:after="110" w:before="220"/>
        <w:jc w:val="center"/>
      </w:pPr>
      <w:r>
        <w:rPr>
          <w:rFonts w:ascii="Times New Roman" w:cs="Times New Roman" w:eastAsia="Times New Roman" w:hAnsi="Times New Roman"/>
          <w:b w:val="false"/>
          <w:bCs w:val="false"/>
          <w:i w:val="false"/>
          <w:iCs w:val="false"/>
          <w:smallCaps/>
          <w:sz w:val="20"/>
          <w:szCs w:val="20"/>
        </w:rPr>
        <w:t xml:space="preserve">Appendix D</w:t>
      </w:r>
    </w:p>
    <w:p>
      <w:pPr>
        <w:spacing w:after="110" w:before="0"/>
        <w:jc w:val="center"/>
      </w:pPr>
      <w:r>
        <w:rPr>
          <w:rFonts w:ascii="Times New Roman" w:cs="Times New Roman" w:eastAsia="Times New Roman" w:hAnsi="Times New Roman"/>
          <w:b w:val="false"/>
          <w:bCs w:val="false"/>
          <w:i w:val="false"/>
          <w:iCs w:val="false"/>
          <w:smallCaps/>
          <w:sz w:val="20"/>
          <w:szCs w:val="20"/>
        </w:rPr>
        <w:t xml:space="preserve">Disclosure Register</w:t>
      </w:r>
    </w:p>
    <w:p>
      <w:pPr>
        <w:keepNext w:val="false"/>
        <w:spacing w:after="0" w:before="0" w:line="232" w:lineRule="auto"/>
        <w:ind w:firstLine="0"/>
        <w:jc w:val="both"/>
      </w:pPr>
      <w:r>
        <w:rPr>
          <w:rFonts w:ascii="Times New Roman" w:cs="Times New Roman" w:eastAsia="Times New Roman" w:hAnsi="Times New Roman"/>
          <w:b w:val="false"/>
          <w:bCs w:val="false"/>
          <w:i w:val="false"/>
          <w:iCs w:val="false"/>
          <w:smallCaps w:val="false"/>
          <w:sz w:val="20"/>
          <w:szCs w:val="20"/>
        </w:rPr>
        <w:t xml:space="preserve">At the study cutoff, the register contained one vendor-confirmed advisory, four vendor-position or documentation responses, two acknowledged or escalated reports awaiting classification, three reports under active vendor review, nineteen notified cases awaiting a response, and fourteen resistant or non-applicable systems for which no report was required. The research verdict and vendor position are separate fields. For double-blind review, private correspondence, reporter identifiers, and report URLs are omitted; the complete non-anonymous register can be provided to the chairs if required.</w:t>
      </w:r>
    </w:p>
    <w:p>
      <w:pPr>
        <w:spacing w:after="80" w:before="0"/>
      </w:pPr>
      <w:r>
        <w:rPr>
          <w:rFonts w:ascii="Times New Roman" w:cs="Times New Roman" w:eastAsia="Times New Roman" w:hAnsi="Times New Roman"/>
          <w:b w:val="false"/>
          <w:bCs w:val="false"/>
          <w:i w:val="false"/>
          <w:iCs w:val="false"/>
          <w:smallCaps w:val="false"/>
          <w:sz w:val="8"/>
          <w:szCs w:val="8"/>
        </w:rPr>
        <w:t xml:space="preserve"/>
      </w:r>
    </w:p>
    <w:p>
      <w:pPr>
        <w:keepNext/>
        <w:spacing w:after="60" w:before="130"/>
        <w:jc w:val="center"/>
      </w:pPr>
      <w:r>
        <w:rPr>
          <w:rFonts w:ascii="Times New Roman" w:cs="Times New Roman" w:eastAsia="Times New Roman" w:hAnsi="Times New Roman"/>
          <w:b w:val="false"/>
          <w:bCs w:val="false"/>
          <w:i w:val="false"/>
          <w:iCs w:val="false"/>
          <w:smallCaps/>
          <w:sz w:val="16"/>
          <w:szCs w:val="16"/>
        </w:rPr>
        <w:t xml:space="preserve">Table XVII</w:t>
      </w:r>
      <w:r>
        <w:rPr>
          <w:rFonts w:ascii="Times New Roman" w:cs="Times New Roman" w:eastAsia="Times New Roman" w:hAnsi="Times New Roman"/>
          <w:b w:val="false"/>
          <w:bCs w:val="false"/>
          <w:i w:val="false"/>
          <w:iCs w:val="false"/>
          <w:smallCaps w:val="false"/>
          <w:sz w:val="16"/>
          <w:szCs w:val="16"/>
        </w:rPr>
        <w:t xml:space="preserve">: Disclosure outcomes at the study cutoff.</w:t>
      </w:r>
    </w:p>
    <w:tbl>
      <w:tblPr>
        <w:tblW w:type="dxa" w:w="486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900"/>
        <w:gridCol w:w="960"/>
      </w:tblGrid>
      <w:tr>
        <w:trPr>
          <w:tblHeader/>
        </w:trPr>
        <w:tc>
          <w:tcPr>
            <w:tcW w:type="dxa" w:w="390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bCs/>
                <w:i w:val="false"/>
                <w:iCs w:val="false"/>
                <w:smallCaps w:val="false"/>
                <w:sz w:val="16"/>
                <w:szCs w:val="16"/>
              </w:rPr>
              <w:t xml:space="preserve">Status</w:t>
            </w:r>
          </w:p>
        </w:tc>
        <w:tc>
          <w:tcPr>
            <w:tcW w:type="dxa" w:w="960"/>
            <w:tcBorders>
              <w:top w:val="single" w:color="000000" w:sz="6"/>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bCs/>
                <w:i w:val="false"/>
                <w:iCs w:val="false"/>
                <w:smallCaps w:val="false"/>
                <w:sz w:val="16"/>
                <w:szCs w:val="16"/>
              </w:rPr>
              <w:t xml:space="preserve">Count</w:t>
            </w:r>
          </w:p>
        </w:tc>
      </w:tr>
      <w:tr>
        <w:tc>
          <w:tcPr>
            <w:tcW w:type="dxa" w:w="3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Vendor-confirmed advisory</w:t>
            </w:r>
          </w:p>
        </w:tc>
        <w:tc>
          <w:tcPr>
            <w:tcW w:type="dxa" w:w="9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w:t>
            </w:r>
          </w:p>
        </w:tc>
      </w:tr>
      <w:tr>
        <w:tc>
          <w:tcPr>
            <w:tcW w:type="dxa" w:w="3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Vendor position / documentation response</w:t>
            </w:r>
          </w:p>
        </w:tc>
        <w:tc>
          <w:tcPr>
            <w:tcW w:type="dxa" w:w="9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4</w:t>
            </w:r>
          </w:p>
        </w:tc>
      </w:tr>
      <w:tr>
        <w:tc>
          <w:tcPr>
            <w:tcW w:type="dxa" w:w="3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Acknowledged or escalated; pending</w:t>
            </w:r>
          </w:p>
        </w:tc>
        <w:tc>
          <w:tcPr>
            <w:tcW w:type="dxa" w:w="9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2</w:t>
            </w:r>
          </w:p>
        </w:tc>
      </w:tr>
      <w:tr>
        <w:tc>
          <w:tcPr>
            <w:tcW w:type="dxa" w:w="3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Submitted; vendor review pending</w:t>
            </w:r>
          </w:p>
        </w:tc>
        <w:tc>
          <w:tcPr>
            <w:tcW w:type="dxa" w:w="9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3</w:t>
            </w:r>
          </w:p>
        </w:tc>
      </w:tr>
      <w:tr>
        <w:tc>
          <w:tcPr>
            <w:tcW w:type="dxa" w:w="390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Notified; response awaited</w:t>
            </w:r>
          </w:p>
        </w:tc>
        <w:tc>
          <w:tcPr>
            <w:tcW w:type="dxa" w:w="960"/>
            <w:tcBorders>
              <w:top w:val="none" w:color="FFFFFF" w:sz="0"/>
              <w:left w:val="none" w:color="FFFFFF" w:sz="0"/>
              <w:bottom w:val="none" w:color="FFFFFF" w:sz="0"/>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19</w:t>
            </w:r>
          </w:p>
        </w:tc>
      </w:tr>
      <w:tr>
        <w:tc>
          <w:tcPr>
            <w:tcW w:type="dxa" w:w="390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left"/>
            </w:pPr>
            <w:r>
              <w:rPr>
                <w:rFonts w:ascii="Times New Roman" w:cs="Times New Roman" w:eastAsia="Times New Roman" w:hAnsi="Times New Roman"/>
                <w:b w:val="false"/>
                <w:bCs w:val="false"/>
                <w:i w:val="false"/>
                <w:iCs w:val="false"/>
                <w:smallCaps w:val="false"/>
                <w:sz w:val="16"/>
                <w:szCs w:val="16"/>
              </w:rPr>
              <w:t xml:space="preserve">No report required</w:t>
            </w:r>
          </w:p>
        </w:tc>
        <w:tc>
          <w:tcPr>
            <w:tcW w:type="dxa" w:w="960"/>
            <w:tcBorders>
              <w:top w:val="none" w:color="FFFFFF" w:sz="0"/>
              <w:left w:val="none" w:color="FFFFFF" w:sz="0"/>
              <w:bottom w:val="single" w:color="000000" w:sz="6"/>
              <w:right w:val="none" w:color="FFFFFF" w:sz="0"/>
            </w:tcBorders>
            <w:tcMar>
              <w:top w:type="dxa" w:w="12"/>
              <w:left w:type="dxa" w:w="60"/>
              <w:bottom w:type="dxa" w:w="12"/>
              <w:right w:type="dxa" w:w="60"/>
            </w:tcMar>
          </w:tcPr>
          <w:p>
            <w:pPr>
              <w:spacing w:after="22" w:before="22" w:line="210" w:lineRule="auto"/>
              <w:ind w:firstLine="0"/>
              <w:jc w:val="center"/>
            </w:pPr>
            <w:r>
              <w:rPr>
                <w:rFonts w:ascii="Times New Roman" w:cs="Times New Roman" w:eastAsia="Times New Roman" w:hAnsi="Times New Roman"/>
                <w:b w:val="false"/>
                <w:bCs w:val="false"/>
                <w:i w:val="false"/>
                <w:iCs w:val="false"/>
                <w:smallCaps w:val="false"/>
                <w:sz w:val="16"/>
                <w:szCs w:val="16"/>
              </w:rPr>
              <w:t xml:space="preserve">14</w:t>
            </w:r>
          </w:p>
        </w:tc>
      </w:tr>
    </w:tbl>
    <w:sectPr>
      <w:footerReference w:type="default" r:id="rId33"/>
      <w:type w:val="continuous"/>
      <w:pgSz w:w="12240" w:h="15840" w:orient="portrait"/>
      <w:pgMar w:top="1080" w:right="1080" w:bottom="1260" w:left="1080" w:header="720" w:footer="720" w:gutter="0"/>
      <w:pgNumType/>
      <w:cols w:space="360" w:num="2" w:sep="false" w:equalWidth="tru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pPr>
        <w:spacing w:line="232"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footer" Target="footer5.xml"/><Relationship Id="rId12" Type="http://schemas.openxmlformats.org/officeDocument/2006/relationships/footer" Target="footer6.xml"/><Relationship Id="rId13" Type="http://schemas.openxmlformats.org/officeDocument/2006/relationships/footer" Target="footer7.xml"/><Relationship Id="rId14" Type="http://schemas.openxmlformats.org/officeDocument/2006/relationships/footer" Target="footer8.xml"/><Relationship Id="rId15" Type="http://schemas.openxmlformats.org/officeDocument/2006/relationships/footer" Target="footer9.xml"/><Relationship Id="rId16" Type="http://schemas.openxmlformats.org/officeDocument/2006/relationships/footer" Target="footer10.xml"/><Relationship Id="rId17" Type="http://schemas.openxmlformats.org/officeDocument/2006/relationships/footer" Target="footer11.xml"/><Relationship Id="rId18" Type="http://schemas.openxmlformats.org/officeDocument/2006/relationships/footer" Target="footer12.xml"/><Relationship Id="rId19" Type="http://schemas.openxmlformats.org/officeDocument/2006/relationships/footer" Target="footer13.xml"/><Relationship Id="rId20" Type="http://schemas.openxmlformats.org/officeDocument/2006/relationships/footer" Target="footer14.xml"/><Relationship Id="rId21" Type="http://schemas.openxmlformats.org/officeDocument/2006/relationships/footer" Target="footer15.xml"/><Relationship Id="rId22" Type="http://schemas.openxmlformats.org/officeDocument/2006/relationships/footer" Target="footer16.xml"/><Relationship Id="rId23" Type="http://schemas.openxmlformats.org/officeDocument/2006/relationships/footer" Target="footer17.xml"/><Relationship Id="rId24" Type="http://schemas.openxmlformats.org/officeDocument/2006/relationships/footer" Target="footer18.xml"/><Relationship Id="rId25" Type="http://schemas.openxmlformats.org/officeDocument/2006/relationships/footer" Target="footer19.xml"/><Relationship Id="rId26" Type="http://schemas.openxmlformats.org/officeDocument/2006/relationships/footer" Target="footer20.xml"/><Relationship Id="rId27" Type="http://schemas.openxmlformats.org/officeDocument/2006/relationships/footer" Target="footer21.xml"/><Relationship Id="rId28" Type="http://schemas.openxmlformats.org/officeDocument/2006/relationships/footer" Target="footer22.xml"/><Relationship Id="rId29" Type="http://schemas.openxmlformats.org/officeDocument/2006/relationships/footer" Target="footer23.xml"/><Relationship Id="rId30" Type="http://schemas.openxmlformats.org/officeDocument/2006/relationships/footer" Target="footer24.xml"/><Relationship Id="rId31" Type="http://schemas.openxmlformats.org/officeDocument/2006/relationships/footer" Target="footer25.xml"/><Relationship Id="rId32" Type="http://schemas.openxmlformats.org/officeDocument/2006/relationships/footer" Target="footer26.xml"/><Relationship Id="rId33" Type="http://schemas.openxmlformats.org/officeDocument/2006/relationships/footer" Target="footer27.xml"/><Relationship Id="rId34" Type="http://schemas.openxmlformats.org/officeDocument/2006/relationships/image" Target="media/dde5f8061b8a03a2b686b8123643350d0122d7bf.png"/><Relationship Id="rId35" Type="http://schemas.openxmlformats.org/officeDocument/2006/relationships/image" Target="media/4d2e1470e20bab8ab013177bdb42eddfaa44e446.png"/><Relationship Id="rId36" Type="http://schemas.openxmlformats.org/officeDocument/2006/relationships/image" Target="media/78f128a4af11fe67a553e0d634fcde97f7ce94bd.png"/><Relationship Id="rId37" Type="http://schemas.openxmlformats.org/officeDocument/2006/relationships/image" Target="media/68fa1d688aec0abd190b9405d09a5699c255e333.png"/><Relationship Id="rId3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Approval-Provenance Failure: Resume-Time Authorization Forgery in Agentic AI, Durable Workflows, and CI/CD</dc:title>
  <dc:creator>Anonymous Author(s)</dc:creator>
  <cp:lastModifiedBy>Un-named</cp:lastModifiedBy>
  <cp:revision>1</cp:revision>
  <dcterms:created xsi:type="dcterms:W3CDTF">2026-08-03T16:49:13.873Z</dcterms:created>
  <dcterms:modified xsi:type="dcterms:W3CDTF">2026-08-03T16:49:13.873Z</dcterms:modified>
</cp:coreProperties>
</file>

<file path=docProps/custom.xml><?xml version="1.0" encoding="utf-8"?>
<Properties xmlns="http://schemas.openxmlformats.org/officeDocument/2006/custom-properties" xmlns:vt="http://schemas.openxmlformats.org/officeDocument/2006/docPropsVTypes"/>
</file>