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Broadway Creation Property Management</w:t>
      </w:r>
    </w:p>
    <w:p>
      <w:pPr>
        <w:spacing w:after="400"/>
        <w:jc w:val="center"/>
      </w:pPr>
      <w:r>
        <w:rPr>
          <w:sz w:val="28"/>
          <w:szCs w:val="28"/>
        </w:rPr>
        <w:t xml:space="preserve">Business Plan &amp; Revenue Model (Rwanda)</w:t>
      </w:r>
    </w:p>
    <w:p>
      <w:pPr>
        <w:spacing w:after="120"/>
      </w:pPr>
      <w:r>
        <w:t xml:space="preserve">Prepared for: internal strategy &amp; investor / bank discussions. Adjust all figures for your cost base and tax advice.</w:t>
      </w:r>
    </w:p>
    <w:p>
      <w:pPr>
        <w:spacing w:after="120"/>
      </w:pPr>
      <w:r>
        <w:rPr>
          <w:i/>
          <w:iCs/>
        </w:rPr>
        <w:t xml:space="preserve">Date note: regenerate this file anytime with: node scripts/generate-business-plan-docx.js</w:t>
      </w:r>
    </w:p>
    <w:p>
      <w:pPr>
        <w:pStyle w:val="Heading1"/>
        <w:spacing w:after="200"/>
      </w:pPr>
      <w:r>
        <w:t xml:space="preserve">1. Executive summary</w:t>
      </w:r>
    </w:p>
    <w:p>
      <w:pPr>
        <w:spacing w:after="120"/>
      </w:pPr>
      <w:r>
        <w:t xml:space="preserve">Broadway is a multi-tenant property operations platform for Rwanda: commercial and residential rentals, land parcels (UPI), contracts, rent collection workflows, EBM/purchase-code tracking, Rwanda-oriented tax obligation registers, and audit trails. You make money primarily through recurring subscriptions, with optional revenue from onboarding, integrations, and platform-partner (B2B2B) fees.</w:t>
      </w:r>
    </w:p>
    <w:p>
      <w:pPr>
        <w:pStyle w:val="Heading1"/>
        <w:spacing w:after="200"/>
      </w:pPr>
      <w:r>
        <w:t xml:space="preserve">2. Problem &amp; opportunity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Landlords and property managers juggle spreadsheets, WhatsApp, and paper — weak traceability for documents and payments.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VAT, immovable property-related charges, and PIT/CIT posture need disciplined records; RRA compliance is event-driven and easy to miss.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Rwanda’s digital economy expects mobile-first experiences (MTN/Airtel, banks) even when APIs are phased 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Larger operators want one dashboard: occupancy, rent, vacancy loss, expenses, and tax prep exports.</w:t>
      </w:r>
    </w:p>
    <w:p>
      <w:pPr>
        <w:pStyle w:val="Heading1"/>
        <w:spacing w:after="200"/>
      </w:pPr>
      <w:r>
        <w:t xml:space="preserve">3. Solution (product)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Workspace per landlord (or platform partner managing many landlords).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Roles: owner, accountant, lawyer, tenant — granular workflows and audit events.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Assets: buildings and land parcels with UPI and location fields.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Rent: contract-linked amounts, multi-month quotes, reminders, invoice PDFs (RWF, VAT-inclusive).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Payments: proof upload, landlord-configured channels; EBM flow with RRA purchase codes.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Compliance: tax profile + obligation register + PDF for advisors; links to official RRA resources.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Platform mode: activate/suspend landlord clients, rolled-up analytics — for B2B2B partners.</w:t>
      </w:r>
    </w:p>
    <w:p>
      <w:pPr>
        <w:pStyle w:val="Heading1"/>
        <w:spacing w:after="200"/>
      </w:pPr>
      <w:r>
        <w:t xml:space="preserve">4. Target customers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Primary: Rwandan property owners (Kigali and secondary cities) with 5–200 units.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Secondary: property management firms and asset managers.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Tertiary: platform partners (real estate networks, banks’ landlord programs) white-labeling or reselling.</w:t>
      </w:r>
    </w:p>
    <w:p>
      <w:pPr>
        <w:pStyle w:val="Heading1"/>
        <w:spacing w:after="200"/>
      </w:pPr>
      <w:r>
        <w:t xml:space="preserve">5. Business model — how you make money</w:t>
      </w:r>
    </w:p>
    <w:p>
      <w:pPr>
        <w:pStyle w:val="Heading2"/>
        <w:spacing w:after="120" w:before="240"/>
      </w:pPr>
      <w:r>
        <w:t xml:space="preserve">5.1 Subscription (MRR)</w:t>
      </w:r>
    </w:p>
    <w:p>
      <w:pPr>
        <w:spacing w:after="120"/>
      </w:pPr>
      <w:r>
        <w:t xml:space="preserve">Charge per landlord workspace monthly (or annual with discount). This is your core engine. Align tier limits (units, seats) with support cost.</w:t>
      </w:r>
    </w:p>
    <w:p>
      <w:pPr>
        <w:pStyle w:val="Heading2"/>
        <w:spacing w:after="120" w:before="240"/>
      </w:pPr>
      <w:r>
        <w:t xml:space="preserve">5.2 Implementation &amp; training</w:t>
      </w:r>
    </w:p>
    <w:p>
      <w:pPr>
        <w:spacing w:after="120"/>
      </w:pPr>
      <w:r>
        <w:t xml:space="preserve">One-time onboarding (e.g. 150,000–750,000 RWF depending on portfolio size) for data import, chart of accounts mapping, and staff training.</w:t>
      </w:r>
    </w:p>
    <w:p>
      <w:pPr>
        <w:pStyle w:val="Heading2"/>
        <w:spacing w:after="120" w:before="240"/>
      </w:pPr>
      <w:r>
        <w:t xml:space="preserve">5.3 Usage / overage</w:t>
      </w:r>
    </w:p>
    <w:p>
      <w:pPr>
        <w:spacing w:after="120"/>
      </w:pPr>
      <w:r>
        <w:t xml:space="preserve">When a client exceeds plan limits, sell seat packs or migrate to the next tier. Optionally SMS/WhatsApp message packs if you meter notifications.</w:t>
      </w:r>
    </w:p>
    <w:p>
      <w:pPr>
        <w:pStyle w:val="Heading2"/>
        <w:spacing w:after="120" w:before="240"/>
      </w:pPr>
      <w:r>
        <w:t xml:space="preserve">5.4 Platform partner (B2B2B)</w:t>
      </w:r>
    </w:p>
    <w:p>
      <w:pPr>
        <w:spacing w:after="120"/>
      </w:pPr>
      <w:r>
        <w:t xml:space="preserve">Charge the partner a fee per active landlord workspace plus optional revenue share on payment facilitation when you add gateways. The partner marks up to their clients.</w:t>
      </w:r>
    </w:p>
    <w:p>
      <w:pPr>
        <w:pStyle w:val="Heading2"/>
        <w:spacing w:after="120" w:before="240"/>
      </w:pPr>
      <w:r>
        <w:t xml:space="preserve">5.5 Professional services</w:t>
      </w:r>
    </w:p>
    <w:p>
      <w:pPr>
        <w:spacing w:after="120"/>
      </w:pPr>
      <w:r>
        <w:t xml:space="preserve">Custom reports, API integrations (ERP, core banking), and compliance workshops billed time-and-materials or fixed SOW.</w:t>
      </w:r>
    </w:p>
    <w:p>
      <w:pPr>
        <w:pStyle w:val="Heading2"/>
        <w:spacing w:after="120" w:before="240"/>
      </w:pPr>
      <w:r>
        <w:t xml:space="preserve">5.6 Future: payments &amp; float (careful regulation)</w:t>
      </w:r>
    </w:p>
    <w:p>
      <w:pPr>
        <w:spacing w:after="120"/>
      </w:pPr>
      <w:r>
        <w:t xml:space="preserve">Long-term, licensed payment facilitation or partnerships with PSPs can earn transaction fees — requires legal and Bank of Rwanda rules; treat as a phase-2 roadmap item.</w:t>
      </w:r>
    </w:p>
    <w:p>
      <w:pPr>
        <w:pStyle w:val="Heading1"/>
        <w:spacing w:after="200"/>
      </w:pPr>
      <w:r>
        <w:t xml:space="preserve">6. Suggested retail pricing (RWF / month)</w:t>
      </w:r>
    </w:p>
    <w:p>
      <w:pPr>
        <w:spacing w:after="120"/>
      </w:pPr>
      <w:r>
        <w:t xml:space="preserve">These align with the in-app /billing/plans catalog. VAT and withholding may apply to your invoices — seek local accounting advice.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</w:tcPr>
          <w:p>
            <w:r>
              <w:rPr>
                <w:sz w:val="22"/>
                <w:szCs w:val="22"/>
              </w:rPr>
              <w:t xml:space="preserve">Plan</w:t>
            </w:r>
          </w:p>
        </w:tc>
        <w:tc>
          <w:tcPr>
            <w:tcW w:type="pct" w:w="18%"/>
          </w:tcPr>
          <w:p>
            <w:r>
              <w:rPr>
                <w:sz w:val="22"/>
                <w:szCs w:val="22"/>
              </w:rPr>
              <w:t xml:space="preserve">Monthly (from)</w:t>
            </w:r>
          </w:p>
        </w:tc>
        <w:tc>
          <w:tcPr>
            <w:tcW w:type="pct" w:w="32%"/>
          </w:tcPr>
          <w:p>
            <w:r>
              <w:rPr>
                <w:sz w:val="22"/>
                <w:szCs w:val="22"/>
              </w:rPr>
              <w:t xml:space="preserve">Who it is for</w:t>
            </w:r>
          </w:p>
        </w:tc>
        <w:tc>
          <w:tcPr>
            <w:tcW w:type="pct" w:w="32%"/>
          </w:tcPr>
          <w:p>
            <w:r>
              <w:rPr>
                <w:sz w:val="22"/>
                <w:szCs w:val="22"/>
              </w:rPr>
              <w:t xml:space="preserve">How you earn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Starter</w:t>
            </w:r>
          </w:p>
        </w:tc>
        <w:tc>
          <w:p>
            <w:r>
              <w:rPr>
                <w:sz w:val="22"/>
                <w:szCs w:val="22"/>
              </w:rPr>
              <w:t xml:space="preserve">35,000 RWF</w:t>
            </w:r>
          </w:p>
        </w:tc>
        <w:tc>
          <w:p>
            <w:r>
              <w:rPr>
                <w:sz w:val="22"/>
                <w:szCs w:val="22"/>
              </w:rPr>
              <w:t xml:space="preserve">Solo landlords, small portfolios</w:t>
            </w:r>
          </w:p>
        </w:tc>
        <w:tc>
          <w:p>
            <w:r>
              <w:rPr>
                <w:sz w:val="22"/>
                <w:szCs w:val="22"/>
              </w:rPr>
              <w:t xml:space="preserve">Recurring SaaS subscription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Professional</w:t>
            </w:r>
          </w:p>
        </w:tc>
        <w:tc>
          <w:p>
            <w:r>
              <w:rPr>
                <w:sz w:val="22"/>
                <w:szCs w:val="22"/>
              </w:rPr>
              <w:t xml:space="preserve">95,000 RWF</w:t>
            </w:r>
          </w:p>
        </w:tc>
        <w:tc>
          <w:p>
            <w:r>
              <w:rPr>
                <w:sz w:val="22"/>
                <w:szCs w:val="22"/>
              </w:rPr>
              <w:t xml:space="preserve">Owners + accountant, mixed use</w:t>
            </w:r>
          </w:p>
        </w:tc>
        <w:tc>
          <w:p>
            <w:r>
              <w:rPr>
                <w:sz w:val="22"/>
                <w:szCs w:val="22"/>
              </w:rPr>
              <w:t xml:space="preserve">Higher ARPU + upsell training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</w:t>
            </w:r>
          </w:p>
        </w:tc>
        <w:tc>
          <w:p>
            <w:r>
              <w:rPr>
                <w:sz w:val="22"/>
                <w:szCs w:val="22"/>
              </w:rPr>
              <w:t xml:space="preserve">185,000 RWF</w:t>
            </w:r>
          </w:p>
        </w:tc>
        <w:tc>
          <w:p>
            <w:r>
              <w:rPr>
                <w:sz w:val="22"/>
                <w:szCs w:val="22"/>
              </w:rPr>
              <w:t xml:space="preserve">PM firms, many buildings</w:t>
            </w:r>
          </w:p>
        </w:tc>
        <w:tc>
          <w:p>
            <w:r>
              <w:rPr>
                <w:sz w:val="22"/>
                <w:szCs w:val="22"/>
              </w:rPr>
              <w:t xml:space="preserve">Seat expansion + onboarding fees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Enterprise</w:t>
            </w:r>
          </w:p>
        </w:tc>
        <w:tc>
          <w:p>
            <w:r>
              <w:rPr>
                <w:sz w:val="22"/>
                <w:szCs w:val="22"/>
              </w:rPr>
              <w:t xml:space="preserve">Custom (~450k+ RWF)</w:t>
            </w:r>
          </w:p>
        </w:tc>
        <w:tc>
          <w:p>
            <w:r>
              <w:rPr>
                <w:sz w:val="22"/>
                <w:szCs w:val="22"/>
              </w:rPr>
              <w:t xml:space="preserve">Large orgs, integrations</w:t>
            </w:r>
          </w:p>
        </w:tc>
        <w:tc>
          <w:p>
            <w:r>
              <w:rPr>
                <w:sz w:val="22"/>
                <w:szCs w:val="22"/>
              </w:rPr>
              <w:t xml:space="preserve">MSA, SLA, professional services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Platform Partner</w:t>
            </w:r>
          </w:p>
        </w:tc>
        <w:tc>
          <w:p>
            <w:r>
              <w:rPr>
                <w:sz w:val="22"/>
                <w:szCs w:val="22"/>
              </w:rPr>
              <w:t xml:space="preserve">Per client + rev share</w:t>
            </w:r>
          </w:p>
        </w:tc>
        <w:tc>
          <w:p>
            <w:r>
              <w:rPr>
                <w:sz w:val="22"/>
                <w:szCs w:val="22"/>
              </w:rPr>
              <w:t xml:space="preserve">You resell to landlords</w:t>
            </w:r>
          </w:p>
        </w:tc>
        <w:tc>
          <w:p>
            <w:r>
              <w:rPr>
                <w:sz w:val="22"/>
                <w:szCs w:val="22"/>
              </w:rPr>
              <w:t xml:space="preserve">B2B2B markup on your clients</w:t>
            </w:r>
          </w:p>
        </w:tc>
      </w:tr>
    </w:tbl>
    <w:p>
      <w:pPr>
        <w:pStyle w:val="Heading1"/>
        <w:spacing w:after="200"/>
      </w:pPr>
      <w:r>
        <w:t xml:space="preserve">7. Go-to-market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 with pilot landlords (your network) — case studies with occupancy and time saved.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Partner with accounting firms: they bring clients; you offer accountant seats and compliance PDFs.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Content: short Kinyarwanda/English explainers on UPI, rent receipts, and RRA links (not legal advice).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Enterprise pipeline: banks and housing funds — long cycle but high contract value.</w:t>
      </w:r>
    </w:p>
    <w:p>
      <w:pPr>
        <w:pStyle w:val="Heading1"/>
        <w:spacing w:after="200"/>
      </w:pPr>
      <w:r>
        <w:t xml:space="preserve">8. Operating costs (planning buckets)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hosting (API + DB + file storage).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Email/SMS/WhatsApp providers.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and success (especially for Business+).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Legal, audit, and insurance as you scale.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processing fees when live.</w:t>
      </w:r>
    </w:p>
    <w:p>
      <w:pPr>
        <w:pStyle w:val="Heading1"/>
        <w:spacing w:after="200"/>
      </w:pPr>
      <w:r>
        <w:t xml:space="preserve">9. KPIs to track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MRR, churn, NRR (expansion from tier upgrades).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CAC vs LTV by channel.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Time-to-value: days until first rent reminder or first paid invoice on platform.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tickets per 100 units.</w:t>
      </w:r>
    </w:p>
    <w:p>
      <w:pPr>
        <w:pStyle w:val="Heading1"/>
        <w:spacing w:after="200"/>
      </w:pPr>
      <w:r>
        <w:t xml:space="preserve">10. Risks &amp; mitigation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Regulatory: position as software + records, not tax advice; link to RRA for authoritative guidance.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Adoption: invest in onboarding; offer migration from spreadsheets.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Concentration: diversify beyond one large client; use standard MSAs.</w:t>
      </w:r>
    </w:p>
    <w:p>
      <w:pPr>
        <w:pStyle w:val="Heading1"/>
        <w:spacing w:after="200"/>
      </w:pPr>
      <w:r>
        <w:t xml:space="preserve">11. Roadmap (high level)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A: subscriptions + plans at signup + manual payments (current direction).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B: MoMo/bank orchestration with production APIs; dunning automation.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C: deeper RRA e-filing integrations where APIs exist; mobile apps in stores.</w:t>
      </w:r>
    </w:p>
    <w:p>
      <w:pPr>
        <w:pStyle w:val="Heading1"/>
        <w:spacing w:after="200"/>
      </w:pPr>
      <w:r>
        <w:t xml:space="preserve">12. Action checklist for you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Finalize retail prices with your accountant (VAT, discounts, annual prepay).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Publish Terms of Service, Privacy Policy, and data retention for Rwanda PDPL.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 business bank account for subscription collections.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one “success” playbook: signup → plan → first property → first tenant → first invoice.</w:t>
      </w:r>
    </w:p>
    <w:p>
      <w:pPr>
        <w:spacing w:before="400"/>
      </w:pPr>
    </w:p>
    <w:p>
      <w:pPr>
        <w:spacing w:after="120"/>
        <w:jc w:val="center"/>
      </w:pPr>
      <w:r>
        <w:rPr>
          <w:i/>
          <w:iCs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2026-05-06T19:55:21.169Z</dcterms:created>
  <dcterms:modified xsi:type="dcterms:W3CDTF">2026-05-06T19:55:21.174Z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