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Hạ tầng IT &amp; Kỹ năng bổ trợ: </w:t>
      </w:r>
      <w:r>
        <w:rPr>
          <w:rFonts w:ascii="Arial" w:hAnsi="Arial"/>
          <w:color w:val="1F2937"/>
          <w:sz w:val="22"/>
        </w:rPr>
        <w:t>Lắp ráp &amp; cài đặt máy tính trạm làm việc PC/Laptop, chuẩn đoán và xử lý sự cố phần cứng, phần mềm, thiết lập mạng nội bộ LAN/Wi-Fi văn phòng; 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banner quảng cáo, giao diện website trực quan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