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Công cụ chuyên ngành: </w:t>
      </w:r>
      <w:r>
        <w:rPr>
          <w:rFonts w:ascii="Arial" w:hAnsi="Arial"/>
          <w:color w:val="1F2937"/>
          <w:sz w:val="22"/>
        </w:rPr>
        <w:t>Google Search Console, Google Analytics 4, Screaming Frog SEO Spider, Ahrefs, SEMrush, Google Tag Manager, PageSpeed Insights, Rank Math SEO, Yoast SEO.</w:t>
      </w:r>
    </w:p>
    <w:p>
      <w:pPr>
        <w:pStyle w:val="ListBullet"/>
        <w:spacing w:before="40" w:after="60" w:line="288" w:lineRule="auto"/>
      </w:pPr>
      <w:r>
        <w:rPr>
          <w:rFonts w:ascii="Arial" w:hAnsi="Arial"/>
          <w:b/>
          <w:color w:val="1F2937"/>
          <w:sz w:val="22"/>
        </w:rPr>
        <w:t xml:space="preserve">Kỹ năng lập trình &amp; Thiết kế bổ trợ: </w:t>
      </w:r>
      <w:r>
        <w:rPr>
          <w:rFonts w:ascii="Arial" w:hAnsi="Arial"/>
          <w:color w:val="1F2937"/>
          <w:sz w:val="22"/>
        </w:rPr>
        <w:t>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Tùy biến Flatsome Child Theme hoàng gia, 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Smartphone E-commerce (smartphone.taichinhtaithanh.com): </w:t>
      </w:r>
      <w:r>
        <w:rPr>
          <w:rFonts w:ascii="Arial" w:hAnsi="Arial"/>
          <w:color w:val="1F2937"/>
          <w:sz w:val="22"/>
        </w:rPr>
        <w:t>Tự lập trình WordPress Theme sạch từ đầu (Custom Theme), chuẩn hóa cấu trúc URL, Semantic Heading H1-H3, tối ưu tốc độ Core Web Vitals đạt PageSpeed 90+.</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