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9F21" w14:textId="2F9A0CD3" w:rsidR="00F952A9" w:rsidRPr="00174B11" w:rsidRDefault="00254436" w:rsidP="007069B8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Results</w:t>
      </w:r>
    </w:p>
    <w:p w14:paraId="3D96B0D1" w14:textId="77777777" w:rsidR="00F952A9" w:rsidRPr="00174B11" w:rsidRDefault="00F952A9" w:rsidP="00F952A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ABE594F" w14:textId="1092AF13" w:rsidR="004B16AE" w:rsidRPr="00174B11" w:rsidRDefault="00DF3CB8" w:rsidP="004B16A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order to perform data analysis, the two-way ANOVA method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used. Before this analysis can be performed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data needs to meet the prerequisite assumptions of homoscedasticity and zero outliers. To test for outliers, the data </w:t>
      </w:r>
      <w:r w:rsidR="008E03AA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arranged in the table shown in Figure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with 9 samples and their corresponding FC5 beta values for each stimulus. After this, outlier testing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performed for each individual (column) (see Figure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). When this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done, it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was 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noticed that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Participant 6’s 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timuli 2b value </w:t>
      </w:r>
      <w:r w:rsidR="008E03AA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 outlier</w:t>
      </w:r>
      <w:r w:rsidR="004B16AE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; h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ence,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their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removed. Next, </w:t>
      </w:r>
      <w:r w:rsidR="004B16AE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 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outlier test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performed across all the samples for each difficulty level and time duration (see Figure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); majority of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Participant 8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’s data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found to be outliers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was also removed.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E007C27" w14:textId="51EF2361" w:rsidR="00DF3CB8" w:rsidRDefault="00DF3CB8" w:rsidP="004B16AE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7 samples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were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then left, which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were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then arranged in a table as seen below in Figure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E2D2AA3" w14:textId="77777777" w:rsidR="00A11466" w:rsidRDefault="00A11466" w:rsidP="004B16AE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ABCA62" w14:textId="77777777" w:rsidR="007069B8" w:rsidRPr="00E17A81" w:rsidRDefault="007069B8" w:rsidP="007069B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756B5E" wp14:editId="4AA49B70">
            <wp:extent cx="5731510" cy="89217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5C4" w14:textId="27EBEA8F" w:rsidR="007069B8" w:rsidRDefault="007069B8" w:rsidP="007069B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: FC5 beta values obtained from each participant for each stimulus. The green cells indicate outlier values.</w:t>
      </w:r>
    </w:p>
    <w:p w14:paraId="67C14B75" w14:textId="77777777" w:rsidR="00E17A81" w:rsidRPr="00174B11" w:rsidRDefault="00E17A81" w:rsidP="004B16AE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8F215F9" w14:textId="7A6D386A" w:rsidR="00DF3CB8" w:rsidRPr="00174B11" w:rsidRDefault="00E17A81" w:rsidP="00062F0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1A2ECC" wp14:editId="2B2AC0EB">
            <wp:extent cx="5731510" cy="17202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A42E" w14:textId="2D4BD983" w:rsidR="004B16AE" w:rsidRPr="00174B11" w:rsidRDefault="004B16AE" w:rsidP="004B16AE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: Outlier testing for each participant is performed. In order to find upper-bound the formula used is Q3+(3*IQR). The formula used to find the lower bound is Q1-(3*IQR).</w:t>
      </w:r>
    </w:p>
    <w:p w14:paraId="1766E82E" w14:textId="2B191AE7" w:rsidR="004B16AE" w:rsidRPr="00174B11" w:rsidRDefault="004B16AE" w:rsidP="004B16AE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D29CC4F" w14:textId="77777777" w:rsidR="004B16AE" w:rsidRPr="00174B11" w:rsidRDefault="004B16AE" w:rsidP="004B16AE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F7093CA" w14:textId="77777777" w:rsidR="004B16AE" w:rsidRPr="00174B11" w:rsidRDefault="004B16AE" w:rsidP="004B16AE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CBFD09C" w14:textId="7BD96E7C" w:rsidR="004B16AE" w:rsidRPr="00174B11" w:rsidRDefault="004B16AE" w:rsidP="004B16AE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1CD2C0C0" wp14:editId="5C394A75">
            <wp:extent cx="4991100" cy="14605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40B7" w14:textId="3A1A553E" w:rsidR="004B16AE" w:rsidRPr="00174B11" w:rsidRDefault="004B16AE" w:rsidP="004B16AE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: Outlier testing across different participants. A represents more time duration and B represents less time duration. The formula used to find upper bound is Q3+(3*IQR). The formula used to find the lower bound is Q1-(3*IQR).</w:t>
      </w:r>
    </w:p>
    <w:p w14:paraId="3734FDF5" w14:textId="2E4A78D5" w:rsidR="004B16AE" w:rsidRPr="00174B11" w:rsidRDefault="004B16AE" w:rsidP="004B16AE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E4EFFE8" w14:textId="42C257C2" w:rsidR="00FB27B7" w:rsidRPr="00174B11" w:rsidRDefault="00DF3CB8" w:rsidP="00FB27B7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34AD976D" wp14:editId="0297044C">
            <wp:extent cx="3670300" cy="3073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DF9E" w14:textId="5DF04C4A" w:rsidR="00CD77DD" w:rsidRPr="00174B11" w:rsidRDefault="00CD77DD" w:rsidP="00454C4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FB27B7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research data from </w:t>
      </w:r>
      <w:r w:rsidR="00DF3CB8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  <w:r w:rsidR="000F50C2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subjects. The values indicate </w:t>
      </w:r>
      <w:r w:rsidR="00E17A81" w:rsidRPr="00E17A8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power level of 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E17A81" w:rsidRPr="00E17A81">
        <w:rPr>
          <w:rFonts w:ascii="Times New Roman" w:hAnsi="Times New Roman" w:cs="Times New Roman"/>
          <w:color w:val="000000" w:themeColor="text1"/>
          <w:sz w:val="22"/>
          <w:szCs w:val="22"/>
        </w:rPr>
        <w:t>frequency of activation</w:t>
      </w:r>
      <w:r w:rsidR="00E17A8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74446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measured by the FC5</w:t>
      </w:r>
      <w:r w:rsidR="00913ACF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electrodes</w:t>
      </w:r>
      <w:r w:rsidR="00454C41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’ beta values</w:t>
      </w:r>
    </w:p>
    <w:p w14:paraId="64D69C22" w14:textId="77777777" w:rsidR="00454C41" w:rsidRPr="00174B11" w:rsidRDefault="00454C41" w:rsidP="00454C4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3F0CF0E" w14:textId="0F5049F4" w:rsidR="005C6D0C" w:rsidRPr="00174B11" w:rsidRDefault="00DF3CB8" w:rsidP="00EF57A1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Now, since the required assumption of lack of outliers has been met,</w:t>
      </w:r>
      <w:r w:rsidR="00EA0527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we then move on to testing homoscedasticity. P</w:t>
      </w:r>
      <w:r w:rsidR="00EA0527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erforming the</w:t>
      </w:r>
      <w:r w:rsidR="00BD5A4B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graphical </w:t>
      </w:r>
      <w:proofErr w:type="spellStart"/>
      <w:r w:rsidR="00BD5A4B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>Levene’s</w:t>
      </w:r>
      <w:proofErr w:type="spellEnd"/>
      <w:r w:rsidR="00BD5A4B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test using a box plot,</w:t>
      </w:r>
      <w:r w:rsidR="006E5CA9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it </w:t>
      </w:r>
      <w:r w:rsidR="008E03AA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="006E5CA9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E4147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possible to say </w:t>
      </w:r>
      <w:r w:rsidR="00EA0527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that </w:t>
      </w:r>
      <w:r w:rsidR="00BB6CD9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there </w:t>
      </w:r>
      <w:r w:rsidR="008E03AA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="00BB6CD9" w:rsidRPr="00174B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A052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</w:t>
      </w:r>
      <w:r w:rsidR="00BB6CD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omogeneity of </w:t>
      </w:r>
      <w:r w:rsidR="00454C4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variance,</w:t>
      </w:r>
      <w:r w:rsidR="00BB6CD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C778B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i.e.,</w:t>
      </w:r>
      <w:r w:rsidR="00BB6CD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homoscedastic</w:t>
      </w:r>
      <w:r w:rsidR="00EA052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ity</w:t>
      </w:r>
      <w:r w:rsidR="00A6415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(see Figure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6</w:t>
      </w:r>
      <w:r w:rsidR="0046791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  <w:r w:rsidR="00EA052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. </w:t>
      </w:r>
      <w:r w:rsidR="0092055B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In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</w:t>
      </w:r>
      <w:r w:rsidR="0092055B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box plot,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the 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groups satisf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y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the condition for homoscedasticity if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NL" w:eastAsia="en-GB"/>
        </w:rPr>
        <w:t xml:space="preserve"> the ratio of the largest sample variance to the smallest sample variance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was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approximately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NL" w:eastAsia="en-GB"/>
        </w:rPr>
        <w:t xml:space="preserve"> 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2.0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and the </w:t>
      </w:r>
      <w:r w:rsidR="00EF1AA6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variation around the mean for each group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was</w:t>
      </w:r>
      <w:r w:rsidR="00EF1AA6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similar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; we can see that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was</w:t>
      </w:r>
      <w:r w:rsidR="00EF1AA6" w:rsidRP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true in our case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as the blue box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was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about half the size of the grey one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and the IQR line similar</w:t>
      </w:r>
      <w:r w:rsidR="00D718DE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(</w:t>
      </w:r>
      <w:proofErr w:type="spellStart"/>
      <w:r w:rsidR="00D718DE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Rosopa</w:t>
      </w:r>
      <w:proofErr w:type="spellEnd"/>
      <w:r w:rsidR="00D718DE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et al., 2013, p. 9)</w:t>
      </w:r>
      <w:r w:rsidR="0092055B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. 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Finally, </w:t>
      </w:r>
      <w:r w:rsidR="00FD4D7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having met the </w:t>
      </w:r>
      <w:r w:rsidR="00620D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required assumptions, </w:t>
      </w:r>
      <w:r w:rsidR="00A015D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the two-way </w:t>
      </w:r>
      <w:r w:rsidR="001251EB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ANOVA</w:t>
      </w:r>
      <w:r w:rsidR="00A015D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test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was</w:t>
      </w:r>
      <w:r w:rsidR="00A015D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performed</w:t>
      </w:r>
      <w:r w:rsidR="00C66C6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. </w:t>
      </w:r>
    </w:p>
    <w:p w14:paraId="622F4E20" w14:textId="3FE23CEE" w:rsidR="005C6D0C" w:rsidRPr="00174B11" w:rsidRDefault="00344A90" w:rsidP="005C6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GB"/>
        </w:rPr>
        <w:lastRenderedPageBreak/>
        <w:drawing>
          <wp:inline distT="0" distB="0" distL="0" distR="0" wp14:anchorId="51D95930" wp14:editId="755D20E1">
            <wp:extent cx="4464050" cy="2607349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4374" r="3083" b="4706"/>
                    <a:stretch/>
                  </pic:blipFill>
                  <pic:spPr bwMode="auto">
                    <a:xfrm>
                      <a:off x="0" y="0"/>
                      <a:ext cx="4467886" cy="260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5044F" w14:textId="1459974C" w:rsidR="00454C41" w:rsidRPr="00EF1AA6" w:rsidRDefault="005C6D0C" w:rsidP="00EF1AA6">
      <w:pPr>
        <w:rPr>
          <w:rFonts w:ascii="Times New Roman" w:eastAsia="Times New Roman" w:hAnsi="Times New Roman" w:cs="Times New Roman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Figure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6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: </w:t>
      </w:r>
      <w:r w:rsidR="00344A90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he box plot representation of Leven’s test. The variance around the mean is seen to be minima</w:t>
      </w:r>
      <w:r w:rsidRPr="00344A9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  <w:t>l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with the lines being around the same value and</w:t>
      </w:r>
      <w:r w:rsidR="00344A90" w:rsidRPr="00344A90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eastAsia="en-GB"/>
        </w:rPr>
        <w:t xml:space="preserve">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the blue box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(smallest)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being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>half the size of the grey one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 (largest). </w:t>
      </w:r>
    </w:p>
    <w:p w14:paraId="04F7CDBE" w14:textId="1C32B192" w:rsidR="00BB6CD9" w:rsidRPr="00174B11" w:rsidRDefault="008E03AA" w:rsidP="00EF1AA6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Conducting the two-way ANOVA test yielded</w:t>
      </w:r>
      <w:r w:rsidR="00C66C6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1457D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3</w:t>
      </w:r>
      <w:r w:rsidR="00CA7D7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table</w:t>
      </w:r>
      <w:r w:rsidR="002560E3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</w:t>
      </w:r>
      <w:r w:rsidR="001251EB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 T</w:t>
      </w:r>
      <w:r w:rsidR="00CA7D7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he first </w:t>
      </w:r>
      <w:r w:rsidR="000F7A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table (figure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7</w:t>
      </w:r>
      <w:r w:rsidR="000F7A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) </w:t>
      </w:r>
      <w:r w:rsidR="005331C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provide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d</w:t>
      </w:r>
      <w:r w:rsidR="005331C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the means of</w:t>
      </w:r>
      <w:r w:rsidR="008405D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the EEG FC5 beta values for different participants across </w:t>
      </w:r>
      <w:r w:rsidR="005331C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different difficulty levels</w:t>
      </w:r>
      <w:r w:rsidR="007247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for </w:t>
      </w:r>
      <w:r w:rsidR="00A3543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type </w:t>
      </w:r>
      <w:r w:rsidR="007247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‘more time’</w:t>
      </w:r>
      <w:r w:rsidR="000F7A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  <w:r w:rsidR="007247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</w:t>
      </w:r>
      <w:r w:rsidR="007247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he secon</w:t>
      </w:r>
      <w:r w:rsidR="000F7A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d table (figure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8</w:t>
      </w:r>
      <w:r w:rsidR="000F7A5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 provide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d</w:t>
      </w:r>
      <w:r w:rsidR="002F654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6E38B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the mean </w:t>
      </w:r>
      <w:r w:rsidR="001457D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for </w:t>
      </w:r>
      <w:r w:rsidR="00A3543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type </w:t>
      </w:r>
      <w:r w:rsidR="001457D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‘less time’. Finally, table 3 (figure </w:t>
      </w:r>
      <w:r w:rsidR="00EF1AA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9</w:t>
      </w:r>
      <w:r w:rsidR="001457D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 provide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d</w:t>
      </w:r>
      <w:r w:rsidR="00CD5D83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the two-way ANOVA </w:t>
      </w:r>
      <w:r w:rsidR="003F660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result</w:t>
      </w:r>
      <w:r w:rsidR="003A0CAF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using which </w:t>
      </w:r>
      <w:r w:rsidR="00140C8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the following null hypothesis</w:t>
      </w:r>
      <w:r w:rsidR="0084355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were tested</w:t>
      </w:r>
      <w:r w:rsidR="00140C8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:</w:t>
      </w:r>
    </w:p>
    <w:p w14:paraId="604B3E95" w14:textId="77777777" w:rsidR="004D419D" w:rsidRPr="00174B11" w:rsidRDefault="004D419D" w:rsidP="00AA636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H1: </w:t>
      </w:r>
      <w:r w:rsidR="00250E7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The population means of the first factor are equal. This is like the one-way ANOVA for the row factor.</w:t>
      </w:r>
    </w:p>
    <w:p w14:paraId="60CD283F" w14:textId="2AC35094" w:rsidR="00250E7E" w:rsidRPr="00174B11" w:rsidRDefault="004D419D" w:rsidP="00AA636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H2: </w:t>
      </w:r>
      <w:r w:rsidR="00250E7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The population means of the second factor are equal. This is like the one-way ANOVA for the column factor.</w:t>
      </w:r>
    </w:p>
    <w:p w14:paraId="398DE2B0" w14:textId="4B12FACE" w:rsidR="00250E7E" w:rsidRPr="00174B11" w:rsidRDefault="004D419D" w:rsidP="00AA636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H3: </w:t>
      </w:r>
      <w:r w:rsidR="00250E7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There is no interaction between the two factors. This is similar to performing a test for independence with contingency tables.</w:t>
      </w:r>
    </w:p>
    <w:p w14:paraId="267876F1" w14:textId="77777777" w:rsidR="004B16AE" w:rsidRPr="00174B11" w:rsidRDefault="004B16AE" w:rsidP="00EF57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322C7BD7" w14:textId="4701ADE1" w:rsidR="00454C41" w:rsidRPr="00174B11" w:rsidRDefault="004B16AE" w:rsidP="00EF57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01E35044" wp14:editId="573929B3">
            <wp:extent cx="4191000" cy="12573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DCD1" w14:textId="211E7D7F" w:rsidR="004839C9" w:rsidRPr="00174B11" w:rsidRDefault="004839C9" w:rsidP="00EF57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Figure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7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: The average</w:t>
      </w:r>
      <w:r w:rsidR="00FB12A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sum, and variance 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for each </w:t>
      </w:r>
      <w:r w:rsidR="005F798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difficulty level over type </w:t>
      </w:r>
      <w:r w:rsidR="00A000E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‘More T</w:t>
      </w:r>
      <w:r w:rsidR="005F798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ime</w:t>
      </w:r>
      <w:r w:rsidR="00A000E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’</w:t>
      </w:r>
      <w:r w:rsidR="005F798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A000E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are</w:t>
      </w:r>
      <w:r w:rsidR="005F798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displayed</w:t>
      </w:r>
      <w:r w:rsidR="00A000E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. </w:t>
      </w:r>
    </w:p>
    <w:p w14:paraId="7FD805E9" w14:textId="77777777" w:rsidR="00A83A78" w:rsidRPr="00174B11" w:rsidRDefault="00A83A78" w:rsidP="00EF57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3A1BE65B" w14:textId="742C233B" w:rsidR="00A000E1" w:rsidRPr="00174B11" w:rsidRDefault="004B16AE" w:rsidP="00EF57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5C50947B" wp14:editId="7E770531">
            <wp:extent cx="4178300" cy="10541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7B5C" w14:textId="769FD36A" w:rsidR="00FB12A7" w:rsidRPr="00174B11" w:rsidRDefault="00A83A78" w:rsidP="00EF57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Figure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8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:</w:t>
      </w:r>
      <w:r w:rsidR="00FB12A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The average, sum, and variance for each difficulty level over type ‘Less Time’ are displayed. </w:t>
      </w:r>
    </w:p>
    <w:p w14:paraId="5C48A357" w14:textId="77777777" w:rsidR="00485A47" w:rsidRPr="00174B11" w:rsidRDefault="00485A47" w:rsidP="00EF57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501A7F5B" w14:textId="5A139198" w:rsidR="00DD355D" w:rsidRDefault="00D053F5" w:rsidP="00EF57A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Testing hypothesis 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1</w:t>
      </w:r>
      <w:r w:rsidR="009F294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in 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igure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9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0864D3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for 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row</w:t>
      </w:r>
      <w:r w:rsidR="000864D3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‘Sample’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  <w:r w:rsidR="00BF3F8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0864D3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the F value (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0.5392</w:t>
      </w:r>
      <w:r w:rsidR="00675E9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)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was</w:t>
      </w:r>
      <w:r w:rsidR="00675E9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less </w:t>
      </w:r>
      <w:r w:rsidR="001D5D5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than the </w:t>
      </w:r>
      <w:r w:rsidR="00BF3F8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c</w:t>
      </w:r>
      <w:r w:rsidR="00E71FE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ritical </w:t>
      </w:r>
      <w:r w:rsidR="00BF3F8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f</w:t>
      </w:r>
      <w:r w:rsidR="00E71FE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actor (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4,1132</w:t>
      </w:r>
      <w:r w:rsidR="00E71FE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) and the p-value</w:t>
      </w:r>
      <w:r w:rsidR="0037403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(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0,4675</w:t>
      </w:r>
      <w:r w:rsidR="00FB4D3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)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FB4D3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significantly greater than</w:t>
      </w:r>
      <w:r w:rsidR="0019595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the alpha value of 0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,</w:t>
      </w:r>
      <w:r w:rsidR="0019595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05, </w:t>
      </w:r>
      <w:r w:rsidR="0084355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it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84355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</w:t>
      </w:r>
      <w:r w:rsidR="0019595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hus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wasn’t </w:t>
      </w:r>
      <w:r w:rsidR="0084355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possible to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reject</w:t>
      </w:r>
      <w:r w:rsidR="0019595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the first null hypothesis </w:t>
      </w:r>
      <w:r w:rsidR="004D419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H1</w:t>
      </w:r>
      <w:r w:rsidR="00022B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.</w:t>
      </w:r>
      <w:r w:rsidR="00F5772F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Hence,</w:t>
      </w:r>
      <w:r w:rsidR="003C550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there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3C550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not any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C778B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statistically significant</w:t>
      </w:r>
      <w:r w:rsidR="00022B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difference in</w:t>
      </w:r>
      <w:r w:rsidR="003C550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FC5 beta values</w:t>
      </w:r>
      <w:r w:rsidR="00022B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29562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for </w:t>
      </w:r>
      <w:r w:rsidR="005D5BE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factor </w:t>
      </w:r>
      <w:r w:rsidR="00022B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type</w:t>
      </w:r>
      <w:r w:rsidR="005D5BE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‘duration of test’. </w:t>
      </w:r>
      <w:r w:rsidR="008C1D5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Similarly, t</w:t>
      </w:r>
      <w:r w:rsidR="005D5BE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esting hypothesis 2</w:t>
      </w:r>
      <w:r w:rsidR="008C1D5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in 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figure 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9</w:t>
      </w:r>
      <w:r w:rsidR="00A9733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row</w:t>
      </w:r>
      <w:r w:rsidR="00A9733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594D6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‘</w:t>
      </w:r>
      <w:r w:rsidR="00A843E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Columns</w:t>
      </w:r>
      <w:r w:rsidR="008C397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’; it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8C397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observed that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the F value 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2,1358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)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was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less than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the </w:t>
      </w:r>
      <w:r w:rsidR="00E9334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c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ritical </w:t>
      </w:r>
      <w:r w:rsidR="00E9334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f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actor (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3,2594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) and the p-value (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0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,1328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)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greater than the alpha value of 0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,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05</w:t>
      </w:r>
      <w:r w:rsidR="00E9334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;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A52AC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it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A52AC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thus 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not </w:t>
      </w:r>
      <w:r w:rsidR="00A52AC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feasible to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reject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the </w:t>
      </w:r>
      <w:r w:rsidR="00B065C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second </w:t>
      </w:r>
      <w:r w:rsidR="00520947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null hypothesis H</w:t>
      </w:r>
      <w:r w:rsidR="00B065C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2.</w:t>
      </w:r>
      <w:r w:rsidR="000444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E9334E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Hence, </w:t>
      </w:r>
      <w:r w:rsidR="003471F6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it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3471F6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noted that </w:t>
      </w:r>
      <w:r w:rsidR="000444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there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0444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not any </w:t>
      </w:r>
      <w:r w:rsidR="00C778B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statistically significant</w:t>
      </w:r>
      <w:r w:rsidR="000444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difference in FC5 beta values for factor type ‘difficulty level’</w:t>
      </w:r>
      <w:r w:rsidR="0004448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.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Lastly, t</w:t>
      </w:r>
      <w:r w:rsidR="00F700E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esting hypothesis 3</w:t>
      </w:r>
      <w:r w:rsidR="00B02DB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using 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row</w:t>
      </w:r>
      <w:r w:rsidR="00F700E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7C19C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‘interaction’</w:t>
      </w:r>
      <w:r w:rsidR="00B02DB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  <w:r w:rsidR="007C19C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36337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it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was</w:t>
      </w:r>
      <w:r w:rsidR="0036337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noted 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that the F 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value 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</w:t>
      </w:r>
      <w:r w:rsidR="00F775AC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0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,4600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)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was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DC508F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less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than the </w:t>
      </w:r>
      <w:r w:rsidR="00B02DB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c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ritical </w:t>
      </w:r>
      <w:r w:rsidR="00B02DB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f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actor (</w:t>
      </w:r>
      <w:r w:rsidR="009615A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3,2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594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) and the p-value (</w:t>
      </w:r>
      <w:r w:rsidR="009615A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0,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6349</w:t>
      </w:r>
      <w:r w:rsidR="009615A5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)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significantly greater than the alpha value of 0.05</w:t>
      </w:r>
      <w:r w:rsidR="00B02DB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;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the</w:t>
      </w:r>
      <w:r w:rsidR="0074324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third</w:t>
      </w:r>
      <w:r w:rsidR="0030275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null hypothesis H</w:t>
      </w:r>
      <w:r w:rsidR="0074324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3</w:t>
      </w:r>
      <w:r w:rsidR="0036337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36337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101AD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thus</w:t>
      </w:r>
      <w:r w:rsidR="007069B8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not rejected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, </w:t>
      </w:r>
      <w:r w:rsidR="00C778B4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thereby</w:t>
      </w:r>
      <w:r w:rsidR="00743248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confirming that there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was</w:t>
      </w:r>
      <w:r w:rsid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no </w:t>
      </w:r>
      <w:r w:rsidR="008A693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interaction between the factors ‘difficulty level’ and</w:t>
      </w:r>
      <w:r w:rsidR="0044594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 xml:space="preserve"> </w:t>
      </w:r>
      <w:r w:rsidR="008A6930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9F9FB"/>
          <w:lang w:eastAsia="en-GB"/>
        </w:rPr>
        <w:t>‘duration of test’.</w:t>
      </w:r>
    </w:p>
    <w:p w14:paraId="641FEC9D" w14:textId="6F133D10" w:rsidR="00D053F5" w:rsidRPr="00174B11" w:rsidRDefault="00445942" w:rsidP="00DD355D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7D4B0B05" wp14:editId="11082891">
            <wp:extent cx="5731510" cy="1507490"/>
            <wp:effectExtent l="0" t="0" r="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6C4" w14:textId="4A03647E" w:rsidR="006C0540" w:rsidRPr="00174B11" w:rsidRDefault="00836FC5" w:rsidP="002E06F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Figure </w:t>
      </w:r>
      <w:r w:rsidR="008E03A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9</w:t>
      </w:r>
      <w:r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: The ANOVA </w:t>
      </w:r>
      <w:r w:rsidR="00BA055F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results calculate for SS</w:t>
      </w:r>
      <w:r w:rsidR="009949CB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(sum of squares), df (degree of freedom), </w:t>
      </w:r>
      <w:r w:rsidR="00AD1422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MS (mean sum of squares), </w:t>
      </w:r>
      <w:r w:rsidR="00E8442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 </w:t>
      </w:r>
      <w:r w:rsidR="00D607F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</w:t>
      </w:r>
      <w:r w:rsidR="00AD5D6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test statistic </w:t>
      </w:r>
      <w:r w:rsidR="00E8442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th</w:t>
      </w:r>
      <w:r w:rsidR="0006359A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</w:t>
      </w:r>
      <w:r w:rsidR="00E84421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F-test</w:t>
      </w:r>
      <w:r w:rsidR="00D607F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),</w:t>
      </w:r>
      <w:r w:rsidR="00AD5D69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P-value</w:t>
      </w:r>
      <w:r w:rsidR="00D607FD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(probability statistic) and F crit </w:t>
      </w:r>
      <w:r w:rsidR="002E06FB" w:rsidRPr="00174B1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(Critical value of F)</w:t>
      </w:r>
    </w:p>
    <w:p w14:paraId="4239EF6F" w14:textId="1604DB1C" w:rsidR="00140C87" w:rsidRPr="00174B11" w:rsidRDefault="00140C87" w:rsidP="00EF57A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2F56E89A" w14:textId="319C9850" w:rsidR="004915C4" w:rsidRPr="00174B11" w:rsidRDefault="004915C4" w:rsidP="00EF57A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3B8AC35D" w14:textId="6DB6FAB7" w:rsidR="00254436" w:rsidRPr="00174B11" w:rsidRDefault="00D718DE" w:rsidP="00EF57A1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sectPr w:rsidR="00254436" w:rsidRPr="0017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E04"/>
    <w:multiLevelType w:val="multilevel"/>
    <w:tmpl w:val="D98E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94385"/>
    <w:multiLevelType w:val="multilevel"/>
    <w:tmpl w:val="145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39"/>
    <w:rsid w:val="00022B80"/>
    <w:rsid w:val="00044480"/>
    <w:rsid w:val="00062F07"/>
    <w:rsid w:val="0006359A"/>
    <w:rsid w:val="000864D3"/>
    <w:rsid w:val="000F50C2"/>
    <w:rsid w:val="000F7A5E"/>
    <w:rsid w:val="00101AD0"/>
    <w:rsid w:val="001251EB"/>
    <w:rsid w:val="00140C87"/>
    <w:rsid w:val="00144020"/>
    <w:rsid w:val="001457D2"/>
    <w:rsid w:val="001460C1"/>
    <w:rsid w:val="00174B11"/>
    <w:rsid w:val="00192962"/>
    <w:rsid w:val="0019595C"/>
    <w:rsid w:val="001D5D57"/>
    <w:rsid w:val="00250E7E"/>
    <w:rsid w:val="00254436"/>
    <w:rsid w:val="002560E3"/>
    <w:rsid w:val="0029562D"/>
    <w:rsid w:val="002B66C6"/>
    <w:rsid w:val="002C57B1"/>
    <w:rsid w:val="002C668A"/>
    <w:rsid w:val="002E06FB"/>
    <w:rsid w:val="002F6540"/>
    <w:rsid w:val="00302758"/>
    <w:rsid w:val="00344A90"/>
    <w:rsid w:val="003471F6"/>
    <w:rsid w:val="00363379"/>
    <w:rsid w:val="00374037"/>
    <w:rsid w:val="0039731E"/>
    <w:rsid w:val="003A0CAF"/>
    <w:rsid w:val="003B13C0"/>
    <w:rsid w:val="003C48CA"/>
    <w:rsid w:val="003C550C"/>
    <w:rsid w:val="003F660D"/>
    <w:rsid w:val="0041333D"/>
    <w:rsid w:val="00445942"/>
    <w:rsid w:val="00454C41"/>
    <w:rsid w:val="0046791C"/>
    <w:rsid w:val="004839C9"/>
    <w:rsid w:val="00485A47"/>
    <w:rsid w:val="004915C4"/>
    <w:rsid w:val="004B16AE"/>
    <w:rsid w:val="004D419D"/>
    <w:rsid w:val="004E2C52"/>
    <w:rsid w:val="00520947"/>
    <w:rsid w:val="005331C4"/>
    <w:rsid w:val="00594D64"/>
    <w:rsid w:val="005C4C13"/>
    <w:rsid w:val="005C6D0C"/>
    <w:rsid w:val="005D5BE8"/>
    <w:rsid w:val="005F7984"/>
    <w:rsid w:val="00620D47"/>
    <w:rsid w:val="006569A1"/>
    <w:rsid w:val="00675E9C"/>
    <w:rsid w:val="00677A0F"/>
    <w:rsid w:val="006C0540"/>
    <w:rsid w:val="006E38BE"/>
    <w:rsid w:val="006E51A6"/>
    <w:rsid w:val="006E5CA9"/>
    <w:rsid w:val="007069B8"/>
    <w:rsid w:val="0072475E"/>
    <w:rsid w:val="00743248"/>
    <w:rsid w:val="007C19C1"/>
    <w:rsid w:val="0081312B"/>
    <w:rsid w:val="00836FC5"/>
    <w:rsid w:val="008405DE"/>
    <w:rsid w:val="00843559"/>
    <w:rsid w:val="008A6930"/>
    <w:rsid w:val="008C1D59"/>
    <w:rsid w:val="008C397D"/>
    <w:rsid w:val="008E03AA"/>
    <w:rsid w:val="00913ACF"/>
    <w:rsid w:val="0092055B"/>
    <w:rsid w:val="009615A5"/>
    <w:rsid w:val="009949CB"/>
    <w:rsid w:val="0099504B"/>
    <w:rsid w:val="009C688E"/>
    <w:rsid w:val="009F294D"/>
    <w:rsid w:val="00A000E1"/>
    <w:rsid w:val="00A015D5"/>
    <w:rsid w:val="00A11466"/>
    <w:rsid w:val="00A35435"/>
    <w:rsid w:val="00A52ACC"/>
    <w:rsid w:val="00A64157"/>
    <w:rsid w:val="00A83A78"/>
    <w:rsid w:val="00A843E1"/>
    <w:rsid w:val="00A97335"/>
    <w:rsid w:val="00AA636A"/>
    <w:rsid w:val="00AD1422"/>
    <w:rsid w:val="00AD5D69"/>
    <w:rsid w:val="00B02DBA"/>
    <w:rsid w:val="00B065C0"/>
    <w:rsid w:val="00B74446"/>
    <w:rsid w:val="00BA055F"/>
    <w:rsid w:val="00BB6CD9"/>
    <w:rsid w:val="00BD5A4B"/>
    <w:rsid w:val="00BF3F8A"/>
    <w:rsid w:val="00C66C62"/>
    <w:rsid w:val="00C778B4"/>
    <w:rsid w:val="00CA7D7D"/>
    <w:rsid w:val="00CC76C1"/>
    <w:rsid w:val="00CD5D83"/>
    <w:rsid w:val="00CD77DD"/>
    <w:rsid w:val="00D053F5"/>
    <w:rsid w:val="00D21F77"/>
    <w:rsid w:val="00D45AA0"/>
    <w:rsid w:val="00D607FD"/>
    <w:rsid w:val="00D718DE"/>
    <w:rsid w:val="00DC508F"/>
    <w:rsid w:val="00DD355D"/>
    <w:rsid w:val="00DF2F39"/>
    <w:rsid w:val="00DF3CB8"/>
    <w:rsid w:val="00E17A81"/>
    <w:rsid w:val="00E31272"/>
    <w:rsid w:val="00E35C1E"/>
    <w:rsid w:val="00E71FE4"/>
    <w:rsid w:val="00E84421"/>
    <w:rsid w:val="00E9334E"/>
    <w:rsid w:val="00EA0527"/>
    <w:rsid w:val="00EE4147"/>
    <w:rsid w:val="00EF1AA6"/>
    <w:rsid w:val="00EF57A1"/>
    <w:rsid w:val="00F34638"/>
    <w:rsid w:val="00F57439"/>
    <w:rsid w:val="00F5772F"/>
    <w:rsid w:val="00F700ED"/>
    <w:rsid w:val="00F775AC"/>
    <w:rsid w:val="00F87DE9"/>
    <w:rsid w:val="00F952A9"/>
    <w:rsid w:val="00FB12A7"/>
    <w:rsid w:val="00FB27B7"/>
    <w:rsid w:val="00FB4D31"/>
    <w:rsid w:val="00F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816B4"/>
  <w15:chartTrackingRefBased/>
  <w15:docId w15:val="{AEEDDB8D-851A-224B-A1BB-977D80B1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Hannure</dc:creator>
  <cp:keywords/>
  <dc:description/>
  <cp:lastModifiedBy>Uzair Hannure</cp:lastModifiedBy>
  <cp:revision>2</cp:revision>
  <dcterms:created xsi:type="dcterms:W3CDTF">2020-12-16T21:44:00Z</dcterms:created>
  <dcterms:modified xsi:type="dcterms:W3CDTF">2020-12-16T21:44:00Z</dcterms:modified>
</cp:coreProperties>
</file>