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/>
      <w:r>
        <w:br/>
        <w:t>Project: Cobble AI</w:t>
        <w:br/>
        <w:t>Version: 2.0 (Detailed)</w:t>
        <w:br/>
        <w:t>Date: April 2026</w:t>
        <w:br/>
        <w:t>Confidential &amp; Proprietary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outlines the authoritative requirements for Cobble AI, a multi-modal educational ecosystem. It serves as the comprehensive legal and technical agreement defining what the system must accomplish, encompassing user access paradigms, deep learning ingestion mechanisms, and interactive Socratic capabilities.</w:t>
      </w:r>
    </w:p>
    <w:p>
      <w:pPr>
        <w:pStyle w:val="Heading2"/>
      </w:pPr>
      <w:r>
        <w:t>1.2 Definitions, Acronyms, and Abbreviations</w:t>
      </w:r>
    </w:p>
    <w:p>
      <w:r>
        <w:t>• RAG: Retrieval-Augmented Generation</w:t>
        <w:br/>
        <w:t>• LLM: Large Language Model (e.g., Qwen 3.5)</w:t>
        <w:br/>
        <w:t>• SSE: Server-Sent Events</w:t>
        <w:br/>
        <w:t>• JWT: JSON Web Token</w:t>
        <w:br/>
        <w:t>• ODM: Object Document Mapper (Beanie)</w:t>
      </w:r>
    </w:p>
    <w:p>
      <w:pPr>
        <w:pStyle w:val="Heading2"/>
      </w:pPr>
      <w:r>
        <w:t>1.3 Product Scope</w:t>
      </w:r>
    </w:p>
    <w:p>
      <w:r>
        <w:t>Cobble AI is a transformative platform allowing Professors to digitize entire curriculums. Instead of reading standard PDFs, Students interact with a generated Knowledge Graph representing the curriculum. Clicking any node launches a Socratic AI Tutor scoped strictly to that conceptual space, capable of citing original course text via Qdrant vector retrieval.</w:t>
      </w:r>
    </w:p>
    <w:p>
      <w:r>
        <w:br w:type="page"/>
      </w:r>
    </w:p>
    <w:p>
      <w:pPr>
        <w:pStyle w:val="Heading1"/>
      </w:pPr>
      <w:r>
        <w:t>2. System Features &amp; Functional Requirements</w:t>
      </w:r>
    </w:p>
    <w:p>
      <w:pPr>
        <w:pStyle w:val="Heading2"/>
      </w:pPr>
      <w:r>
        <w:t>2.1 User Management &amp; RBAC</w:t>
      </w:r>
    </w:p>
    <w:p>
      <w:r>
        <w:t>REQ-2.1.1: The system shall implement strict Role-Based Access Control dividing users into "Student" and "Professor" partitions.</w:t>
      </w:r>
    </w:p>
    <w:p>
      <w:r>
        <w:t>REQ-2.1.2: Passwords must be hashed using bcrypt (Cost=12).</w:t>
      </w:r>
    </w:p>
    <w:p>
      <w:r>
        <w:t>REQ-2.1.3: Authentication shall be handled statelessly utilizing HS256 JWTs holding the `user_id` and `role` claims, terminating after 14 days.</w:t>
      </w:r>
    </w:p>
    <w:p>
      <w:r>
        <w:t>REQ-2.1.4: Upon 401 Unauthorized API responses, the React client must intercept and flush the Zustand authentication store automatically.</w:t>
      </w:r>
    </w:p>
    <w:p>
      <w:pPr>
        <w:pStyle w:val="Heading2"/>
      </w:pPr>
      <w:r>
        <w:t>2.2 Course &amp; Enrolment Lifecycle</w:t>
      </w:r>
    </w:p>
    <w:p>
      <w:r>
        <w:t>REQ-2.2.1: Professors can instantiate Course spaces and receive URL-safe cryptographic invite codes.</w:t>
      </w:r>
    </w:p>
    <w:p>
      <w:r>
        <w:t>REQ-2.2.2: Invite codes must have an explicit expiration timestamp (default 24 hours) handled by the FastAPI `/invite` endpoint.</w:t>
      </w:r>
    </w:p>
    <w:p>
      <w:r>
        <w:t>REQ-2.2.3: Students utilizing an invite code will trigger an atomic MongoDB insertion into the `Enrolment` collection.</w:t>
      </w:r>
    </w:p>
    <w:p>
      <w:pPr>
        <w:pStyle w:val="Heading2"/>
      </w:pPr>
      <w:r>
        <w:t>2.3 Multi-Modal RAG Pipeline</w:t>
      </w:r>
    </w:p>
    <w:p>
      <w:r>
        <w:t>REQ-2.3.1: The system must accept `multipart/form-data` uploads up to 50MB per document (PDF, DOCX, PPTX).</w:t>
      </w:r>
    </w:p>
    <w:p>
      <w:r>
        <w:t>REQ-2.3.2: Raw physical inputs must be shuttled immediately to MinIO object storage, returning an asynchronous Task ID.</w:t>
      </w:r>
    </w:p>
    <w:p>
      <w:r>
        <w:t>REQ-2.3.3: A Celery worker must execute the `split_into_chunks` logic. Requirements dictate a primary chunk size of 400 tokens accompanied by an 80-token overlapping window to prevent critical sentence shearing.</w:t>
      </w:r>
    </w:p>
    <w:p>
      <w:r>
        <w:t>REQ-2.3.4: Chunks must be embedded via `sentence-transformers/all-MiniLM-L6-v2` and injected concurrently into an isolated Qdrant index bound directly to `course_{id}`.</w:t>
      </w:r>
    </w:p>
    <w:p>
      <w:pPr>
        <w:pStyle w:val="Heading2"/>
      </w:pPr>
      <w:r>
        <w:t>2.4 Socratic AI Tutor Operations</w:t>
      </w:r>
    </w:p>
    <w:p>
      <w:r>
        <w:t>REQ-2.4.1: The tutor agent must operate strictly via the provided `StudySession` architecture, tracking `current_node_id` and extracting up to 40 previous conversational turns.</w:t>
      </w:r>
    </w:p>
    <w:p>
      <w:r>
        <w:t>REQ-2.4.2: System Prompting: The LLM must be injected with the target Graph Node, local Edge connections, and top-3 Qdrant textual retrievals.</w:t>
      </w:r>
    </w:p>
    <w:p>
      <w:r>
        <w:t>REQ-2.4.3: Constraint Enforcement: The AI must never validate or yield direct answers. If a student demands the answer, the LLM must construct a reflective question that guides the student closer to the answer via logical deduction.</w:t>
      </w:r>
    </w:p>
    <w:p>
      <w:pPr>
        <w:pStyle w:val="Heading2"/>
      </w:pPr>
      <w:r>
        <w:t>2.5 Professor Observability &amp; Analytics</w:t>
      </w:r>
    </w:p>
    <w:p>
      <w:r>
        <w:t>REQ-2.5.1: Calculate cross-matched telemetry mapping total nodes against `completed_topics` within the `StudyProgress` collection.</w:t>
      </w:r>
    </w:p>
    <w:p>
      <w:r>
        <w:t>REQ-2.5.2: Any student without a `last_accessed_at` pulse for 7+ days must be tagged with an "Inactive" boolean on the Professor Dashboard.</w:t>
      </w:r>
    </w:p>
    <w:p>
      <w:r>
        <w:br w:type="page"/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3.1 Performance &amp; Throughput</w:t>
      </w:r>
    </w:p>
    <w:p>
      <w:r>
        <w:t>NFR-3.1.1: Relational queries over the MongoDB Beanie ODM must remain under 200ms latency.</w:t>
      </w:r>
    </w:p>
    <w:p>
      <w:r>
        <w:t>NFR-3.1.2: Chat streams must initiate their first HTTP SSE token chunk within 3 seconds of a student querying the LLM.</w:t>
      </w:r>
    </w:p>
    <w:p>
      <w:pPr>
        <w:pStyle w:val="Heading2"/>
      </w:pPr>
      <w:r>
        <w:t>3.2 Reliability &amp; Fault Tolerance</w:t>
      </w:r>
    </w:p>
    <w:p>
      <w:r>
        <w:t>NFR-3.2.1: The Celery queue requires an active Redis persistence backplane. Restarting the broker must not lose pending Celery tasks.</w:t>
      </w:r>
    </w:p>
    <w:p>
      <w:r>
        <w:t>NFR-3.2.2: LLM Service unavailability must trigger graceful frontend downgrades stating "Tutor is currently resting" rather than emitting unhandled 500 crashes.</w:t>
      </w:r>
    </w:p>
    <w:p>
      <w:pPr>
        <w:pStyle w:val="Heading2"/>
      </w:pPr>
      <w:r>
        <w:t>3.3 Security &amp; Data Sovereignty</w:t>
      </w:r>
    </w:p>
    <w:p>
      <w:r>
        <w:t>NFR-3.3.1: Academic FERPA/GDPR regulations dictate that user chat histories and tracking data must be strictly tenant-isolated to their respective Course structures.</w:t>
      </w:r>
    </w:p>
    <w:p>
      <w:r>
        <w:t>NFR-3.3.2: CORS Headers implemented in FastAPI must whitelist exclusively the designated Vite frontend origin.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55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4477A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2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