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0BA32" w14:textId="4187BB5F" w:rsidR="00116F6A" w:rsidRDefault="00116F6A" w:rsidP="000517F9">
      <w:pPr>
        <w:pStyle w:val="1"/>
      </w:pPr>
      <w:r>
        <w:t>مقدمة</w:t>
      </w:r>
    </w:p>
    <w:p w14:paraId="3BA3669F" w14:textId="6F640489" w:rsidR="00ED4CAD" w:rsidRPr="00322074" w:rsidRDefault="006B278A">
      <w:pPr>
        <w:rPr>
          <w:rFonts w:cs="Arial"/>
          <w:szCs w:val="20"/>
        </w:rPr>
      </w:pPr>
      <w:r w:rsidRPr="00322074">
        <w:rPr>
          <w:rFonts w:cs="Arial"/>
          <w:szCs w:val="20"/>
        </w:rPr>
        <w:t>الغرض من ملف القراءة</w:t>
      </w:r>
      <w:r w:rsidR="00486BC5" w:rsidRPr="00322074">
        <w:rPr>
          <w:rFonts w:cs="Arial"/>
          <w:szCs w:val="20"/>
        </w:rPr>
        <w:t>الآلية</w:t>
      </w:r>
      <w:r w:rsidRPr="00322074">
        <w:rPr>
          <w:rFonts w:cs="Arial"/>
          <w:szCs w:val="20"/>
        </w:rPr>
        <w:t>(the file) هو توفير معايير التراجع والتقاطع للمكونات المختلفة</w:t>
      </w:r>
      <w:r w:rsidR="005D062F" w:rsidRPr="00322074">
        <w:rPr>
          <w:rFonts w:cs="Arial"/>
          <w:szCs w:val="20"/>
        </w:rPr>
        <w:t>لحساب</w:t>
      </w:r>
      <w:r w:rsidRPr="00322074">
        <w:rPr>
          <w:rFonts w:cs="Arial"/>
          <w:szCs w:val="20"/>
        </w:rPr>
        <w:t>تقديرات أسعار</w:t>
      </w:r>
      <w:r w:rsidRPr="00322074">
        <w:rPr>
          <w:rFonts w:cs="Arial"/>
          <w:szCs w:val="20"/>
          <w:vertAlign w:val="superscript"/>
        </w:rPr>
        <w:t>المواد</w:t>
      </w:r>
      <w:r w:rsidRPr="00322074">
        <w:rPr>
          <w:rFonts w:cs="Arial"/>
          <w:szCs w:val="20"/>
        </w:rPr>
        <w:t>المنخفضة</w:t>
      </w:r>
      <w:r w:rsidRPr="00322074">
        <w:rPr>
          <w:rFonts w:cs="Arial"/>
          <w:szCs w:val="20"/>
          <w:vertAlign w:val="superscript"/>
        </w:rPr>
        <w:t>والمتوسطة</w:t>
      </w:r>
      <w:r w:rsidRPr="00322074">
        <w:rPr>
          <w:rFonts w:cs="Arial"/>
          <w:szCs w:val="20"/>
        </w:rPr>
        <w:t>والعالية</w:t>
      </w:r>
      <w:r w:rsidRPr="00322074">
        <w:rPr>
          <w:rFonts w:cs="Arial"/>
          <w:szCs w:val="20"/>
          <w:vertAlign w:val="superscript"/>
        </w:rPr>
        <w:t>(10</w:t>
      </w:r>
      <w:r w:rsidRPr="00322074">
        <w:rPr>
          <w:rFonts w:cs="Arial"/>
          <w:szCs w:val="20"/>
        </w:rPr>
        <w:t>و50 و90 مئوية) ومضاعفات العمالة / إضافات</w:t>
      </w:r>
      <w:r w:rsidR="00EC5D31" w:rsidRPr="00322074">
        <w:rPr>
          <w:rFonts w:cs="Arial"/>
          <w:szCs w:val="20"/>
        </w:rPr>
        <w:t>لتقدير</w:t>
      </w:r>
      <w:r w:rsidR="00EF512C" w:rsidRPr="00322074">
        <w:rPr>
          <w:rFonts w:cs="Arial"/>
          <w:szCs w:val="20"/>
        </w:rPr>
        <w:t>تكاليف</w:t>
      </w:r>
      <w:r w:rsidRPr="00322074">
        <w:rPr>
          <w:rFonts w:cs="Arial"/>
          <w:szCs w:val="20"/>
        </w:rPr>
        <w:t>المشروعات</w:t>
      </w:r>
      <w:r w:rsidR="005D062F" w:rsidRPr="00322074">
        <w:rPr>
          <w:rFonts w:cs="Arial"/>
          <w:szCs w:val="20"/>
        </w:rPr>
        <w:t>الجديدة</w:t>
      </w:r>
      <w:r w:rsidRPr="00322074">
        <w:rPr>
          <w:rFonts w:cs="Arial"/>
          <w:szCs w:val="20"/>
        </w:rPr>
        <w:t>في البناء والتعديل. يقدم الملف</w:t>
      </w:r>
      <w:r w:rsidR="002E6257" w:rsidRPr="00322074">
        <w:rPr>
          <w:rFonts w:cs="Arial"/>
          <w:szCs w:val="20"/>
        </w:rPr>
        <w:t>قائمة بالمكونات</w:t>
      </w:r>
      <w:r w:rsidR="002A62CF" w:rsidRPr="00322074">
        <w:rPr>
          <w:rFonts w:cs="Arial"/>
          <w:szCs w:val="20"/>
        </w:rPr>
        <w:t>الغلافية</w:t>
      </w:r>
      <w:r w:rsidR="00EF13C2" w:rsidRPr="00322074">
        <w:rPr>
          <w:rFonts w:cs="Arial"/>
          <w:szCs w:val="20"/>
        </w:rPr>
        <w:t>وغير الغلافية (مثل</w:t>
      </w:r>
      <w:r w:rsidR="002A62CF" w:rsidRPr="00322074">
        <w:rPr>
          <w:rFonts w:cs="Arial"/>
          <w:szCs w:val="20"/>
        </w:rPr>
        <w:t>Windows و</w:t>
      </w:r>
      <w:r w:rsidR="00EF13C2" w:rsidRPr="00322074">
        <w:rPr>
          <w:rFonts w:cs="Arial"/>
          <w:szCs w:val="20"/>
        </w:rPr>
        <w:t>Heaters</w:t>
      </w:r>
      <w:r w:rsidR="001F3C26" w:rsidRPr="00322074">
        <w:rPr>
          <w:rFonts w:cs="Arial"/>
          <w:szCs w:val="20"/>
        </w:rPr>
        <w:t>Water)</w:t>
      </w:r>
      <w:r w:rsidR="00EF13C2" w:rsidRPr="00322074">
        <w:rPr>
          <w:rFonts w:cs="Arial"/>
          <w:szCs w:val="20"/>
        </w:rPr>
        <w:t>وأي</w:t>
      </w:r>
      <w:r w:rsidR="001F3C26" w:rsidRPr="00322074">
        <w:rPr>
          <w:rFonts w:cs="Arial"/>
          <w:szCs w:val="20"/>
        </w:rPr>
        <w:t>فئات مرتبطة ضمن تلك المكونات (مثل Low</w:t>
      </w:r>
      <w:r w:rsidR="002B2047" w:rsidRPr="00322074">
        <w:rPr>
          <w:rFonts w:cs="Arial"/>
          <w:szCs w:val="20"/>
        </w:rPr>
        <w:t>Emissivity</w:t>
      </w:r>
      <w:r w:rsidR="001F3C26" w:rsidRPr="00322074">
        <w:rPr>
          <w:rFonts w:cs="Arial"/>
          <w:szCs w:val="20"/>
        </w:rPr>
        <w:t>و Electric</w:t>
      </w:r>
      <w:r w:rsidR="00EF34E6" w:rsidRPr="00322074">
        <w:rPr>
          <w:rFonts w:cs="Arial"/>
          <w:szCs w:val="20"/>
        </w:rPr>
        <w:t>Instantaneous).</w:t>
      </w:r>
    </w:p>
    <w:p w14:paraId="2717934E" w14:textId="3E01BE5A" w:rsidR="000517F9" w:rsidRDefault="000517F9" w:rsidP="000517F9">
      <w:pPr>
        <w:pStyle w:val="1"/>
      </w:pPr>
      <w:r>
        <w:t>انخفاض</w:t>
      </w:r>
      <w:r w:rsidR="006578DF">
        <w:t>أسعار المواد</w:t>
      </w:r>
    </w:p>
    <w:p w14:paraId="29C68E47" w14:textId="332D82AF" w:rsidR="00567395" w:rsidRDefault="005024EE">
      <w:pPr>
        <w:rPr>
          <w:rFonts w:cs="Arial"/>
          <w:szCs w:val="20"/>
        </w:rPr>
      </w:pPr>
      <w:r w:rsidRPr="00322074">
        <w:rPr>
          <w:rFonts w:cs="Arial"/>
          <w:szCs w:val="20"/>
        </w:rPr>
        <w:t>يظهر</w:t>
      </w:r>
      <w:r w:rsidRPr="00322074" w:rsidDel="00A25322">
        <w:rPr>
          <w:rFonts w:cs="Arial"/>
          <w:szCs w:val="20"/>
        </w:rPr>
        <w:t>جزء Component</w:t>
      </w:r>
      <w:r w:rsidR="00A25322">
        <w:rPr>
          <w:rFonts w:cs="Arial"/>
          <w:szCs w:val="20"/>
        </w:rPr>
        <w:t>&amp; Class من الملف المكون والفئة ووحدات الخروج.</w:t>
      </w:r>
      <w:r w:rsidR="00A25322" w:rsidRPr="00322074">
        <w:rPr>
          <w:rFonts w:cs="Arial"/>
          <w:szCs w:val="20"/>
        </w:rPr>
        <w:t>يصف</w:t>
      </w:r>
      <w:r w:rsidR="00B52B95" w:rsidRPr="00322074">
        <w:rPr>
          <w:rFonts w:cs="Arial"/>
          <w:szCs w:val="20"/>
        </w:rPr>
        <w:t>عمود</w:t>
      </w:r>
      <w:r w:rsidR="002B58B8" w:rsidRPr="00322074">
        <w:rPr>
          <w:rFonts w:cs="Arial"/>
          <w:szCs w:val="20"/>
        </w:rPr>
        <w:t>output</w:t>
      </w:r>
      <w:r w:rsidR="00B52B95" w:rsidRPr="00322074">
        <w:rPr>
          <w:rFonts w:cs="Arial"/>
          <w:szCs w:val="20"/>
        </w:rPr>
        <w:t>units</w:t>
      </w:r>
      <w:r w:rsidR="00B25C9D" w:rsidRPr="00322074">
        <w:rPr>
          <w:rFonts w:cs="Arial"/>
          <w:szCs w:val="20"/>
        </w:rPr>
        <w:t>ما</w:t>
      </w:r>
      <w:r w:rsidR="00B52B95" w:rsidRPr="00322074">
        <w:rPr>
          <w:rFonts w:cs="Arial"/>
          <w:szCs w:val="20"/>
        </w:rPr>
        <w:t>هي</w:t>
      </w:r>
      <w:r w:rsidR="002B58B8" w:rsidRPr="00322074">
        <w:rPr>
          <w:rFonts w:cs="Arial"/>
          <w:szCs w:val="20"/>
        </w:rPr>
        <w:t>وحدات الخروج النهائي</w:t>
      </w:r>
      <w:r w:rsidR="00B25C9D" w:rsidRPr="00322074">
        <w:rPr>
          <w:rFonts w:cs="Arial"/>
          <w:szCs w:val="20"/>
        </w:rPr>
        <w:t>للعودة</w:t>
      </w:r>
      <w:r w:rsidR="002B58B8" w:rsidRPr="00322074">
        <w:rPr>
          <w:rFonts w:cs="Arial"/>
          <w:szCs w:val="20"/>
        </w:rPr>
        <w:t>(على سبيل المثال، 2023$،</w:t>
      </w:r>
      <w:r w:rsidR="00B25C9D" w:rsidRPr="00322074">
        <w:rPr>
          <w:rFonts w:cs="Arial"/>
          <w:szCs w:val="20"/>
        </w:rPr>
        <w:t>2023$/sqft).</w:t>
      </w:r>
      <w:r w:rsidR="00FD2881" w:rsidRPr="00322074">
        <w:rPr>
          <w:rFonts w:cs="Arial"/>
          <w:szCs w:val="20"/>
        </w:rPr>
      </w:r>
      <w:r w:rsidR="00B25C9D" w:rsidRPr="00322074">
        <w:rPr>
          <w:rFonts w:cs="Arial"/>
          <w:szCs w:val="20"/>
        </w:rPr>
      </w:r>
      <w:r w:rsidR="00FD2881" w:rsidRPr="00322074">
        <w:rPr>
          <w:rFonts w:cs="Arial"/>
          <w:szCs w:val="20"/>
        </w:rPr>
      </w:r>
      <w:proofErr w:type="spellStart"/>
      <w:r w:rsidR="00FD2881" w:rsidRPr="00322074">
        <w:rPr>
          <w:rFonts w:cs="Arial"/>
          <w:szCs w:val="20"/>
        </w:rPr>
      </w:r>
      <w:proofErr w:type="spellEnd"/>
      <w:r w:rsidR="00FD2881" w:rsidRPr="00322074">
        <w:rPr>
          <w:rFonts w:cs="Arial"/>
          <w:szCs w:val="20"/>
        </w:rPr>
      </w:r>
    </w:p>
    <w:p w14:paraId="49EC068C" w14:textId="77777777" w:rsidR="001508F2" w:rsidRPr="00322074" w:rsidRDefault="001508F2">
      <w:pPr>
        <w:rPr>
          <w:rFonts w:cs="Arial"/>
          <w:szCs w:val="20"/>
        </w:rPr>
      </w:pPr>
    </w:p>
    <w:tbl>
      <w:tblPr>
        <w:tblW w:w="7190" w:type="dxa"/>
        <w:jc w:val="center"/>
        <w:tblLook w:val="04A0" w:firstRow="1" w:lastRow="0" w:firstColumn="1" w:lastColumn="0" w:noHBand="0" w:noVBand="1"/>
      </w:tblPr>
      <w:tblGrid>
        <w:gridCol w:w="3207"/>
        <w:gridCol w:w="2558"/>
        <w:gridCol w:w="1425"/>
      </w:tblGrid>
      <w:tr w:rsidR="00567395" w:rsidRPr="00567395" w14:paraId="2819FCB5" w14:textId="77777777" w:rsidTr="006F4F85">
        <w:trPr>
          <w:trHeight w:val="290"/>
          <w:jc w:val="center"/>
        </w:trPr>
        <w:tc>
          <w:tcPr>
            <w:tcW w:w="7190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D8D12DF" w14:textId="77777777" w:rsidR="00567395" w:rsidRPr="00567395" w:rsidRDefault="00567395" w:rsidP="005673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>
              <w:t>المكونات والفئة</w:t>
            </w:r>
          </w:p>
        </w:tc>
      </w:tr>
      <w:tr w:rsidR="00567395" w:rsidRPr="00567395" w14:paraId="53AF12B4" w14:textId="77777777" w:rsidTr="006F4F85">
        <w:trPr>
          <w:trHeight w:val="300"/>
          <w:jc w:val="center"/>
        </w:trPr>
        <w:tc>
          <w:tcPr>
            <w:tcW w:w="320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080083CC" w14:textId="77777777" w:rsidR="00567395" w:rsidRPr="00567395" w:rsidRDefault="00567395" w:rsidP="005673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t>المكون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16CCECFF" w14:textId="77777777" w:rsidR="00567395" w:rsidRPr="00567395" w:rsidRDefault="00567395" w:rsidP="005673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t>الفئة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EACBBD7" w14:textId="77777777" w:rsidR="00567395" w:rsidRPr="00567395" w:rsidRDefault="00567395" w:rsidP="005673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t>وحدات الإنتاج</w:t>
            </w:r>
          </w:p>
        </w:tc>
      </w:tr>
      <w:tr w:rsidR="00567395" w:rsidRPr="00567395" w14:paraId="45C29476" w14:textId="77777777" w:rsidTr="004D29FC">
        <w:trPr>
          <w:trHeight w:val="290"/>
          <w:jc w:val="center"/>
        </w:trPr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56EF" w14:textId="653230FA" w:rsidR="00567395" w:rsidRPr="00567395" w:rsidRDefault="00567395" w:rsidP="0056739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t>حرارة المياه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FCF8" w14:textId="0BB70FF5" w:rsidR="00567395" w:rsidRPr="00567395" w:rsidRDefault="00397391" w:rsidP="00567395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t>حاوية HP w/ غاز غطاء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9088" w14:textId="17BB3653" w:rsidR="00567395" w:rsidRPr="00567395" w:rsidRDefault="00397391" w:rsidP="00567395">
            <w:pPr>
              <w:spacing w:after="0" w:line="240" w:lineRule="auto"/>
              <w:rPr>
                <w:rFonts w:eastAsia="Times New Roman" w:cstheme="minorHAnsi"/>
              </w:rPr>
            </w:pPr>
            <w:r>
              <w:t>2023$</w:t>
            </w:r>
          </w:p>
        </w:tc>
      </w:tr>
    </w:tbl>
    <w:p w14:paraId="39BA8AF9" w14:textId="77777777" w:rsidR="006578DF" w:rsidRDefault="006578DF" w:rsidP="000517F9"/>
    <w:p w14:paraId="758A788F" w14:textId="28C57B7E" w:rsidR="000517F9" w:rsidRPr="00322074" w:rsidRDefault="00301B52" w:rsidP="000517F9">
      <w:pPr>
        <w:rPr>
          <w:rFonts w:cs="Arial"/>
          <w:szCs w:val="20"/>
        </w:rPr>
      </w:pPr>
      <w:r w:rsidRPr="00322074">
        <w:rPr>
          <w:rFonts w:cs="Arial"/>
          <w:szCs w:val="20"/>
        </w:rPr>
        <w:t>يظهر القسمين الثاني والثالث</w:t>
      </w:r>
      <w:r w:rsidR="00961EAB">
        <w:rPr>
          <w:rFonts w:cs="Arial"/>
          <w:szCs w:val="20"/>
        </w:rPr>
        <w:t>من الملف</w:t>
      </w:r>
      <w:r w:rsidRPr="00322074">
        <w:rPr>
          <w:rFonts w:cs="Arial"/>
          <w:szCs w:val="20"/>
        </w:rPr>
        <w:t>(عودة أسعار التجزئة) قيم Coefficient-Low، Coefficient-Mid،</w:t>
      </w:r>
      <w:r w:rsidR="00EF512C" w:rsidRPr="00322074">
        <w:rPr>
          <w:rFonts w:cs="Arial"/>
          <w:szCs w:val="20"/>
        </w:rPr>
        <w:t>و Coefficient-High</w:t>
      </w:r>
      <w:r w:rsidR="00586365" w:rsidRPr="00322074">
        <w:rPr>
          <w:rFonts w:cs="Arial"/>
          <w:szCs w:val="20"/>
        </w:rPr>
        <w:t>التي تتماشى</w:t>
      </w:r>
      <w:r w:rsidR="00653EDC" w:rsidRPr="00322074">
        <w:rPr>
          <w:rFonts w:cs="Arial"/>
          <w:szCs w:val="20"/>
        </w:rPr>
        <w:t>مع</w:t>
      </w:r>
      <w:r w:rsidR="00961EAB">
        <w:rPr>
          <w:rFonts w:cs="Arial"/>
          <w:szCs w:val="20"/>
        </w:rPr>
        <w:t>معدلات التراجعة</w:t>
      </w:r>
      <w:r w:rsidR="00653EDC" w:rsidRPr="00322074">
        <w:rPr>
          <w:rFonts w:cs="Arial"/>
          <w:szCs w:val="20"/>
        </w:rPr>
        <w:t>الكمية المنخفضة والمتوسطة والعالية التي تستخدم</w:t>
      </w:r>
      <w:r w:rsidR="00132F67" w:rsidRPr="00322074">
        <w:rPr>
          <w:rFonts w:cs="Arial"/>
          <w:szCs w:val="20"/>
        </w:rPr>
        <w:t>لتضاعف القيمات</w:t>
      </w:r>
      <w:r w:rsidR="00B512F3" w:rsidRPr="00322074">
        <w:rPr>
          <w:rFonts w:cs="Arial"/>
          <w:szCs w:val="20"/>
        </w:rPr>
        <w:t>المقياسية</w:t>
      </w:r>
      <w:r w:rsidR="00653EDC" w:rsidRPr="00322074">
        <w:rPr>
          <w:rFonts w:cs="Arial"/>
          <w:szCs w:val="20"/>
        </w:rPr>
        <w:t>للأداء المختارة.</w:t>
      </w:r>
      <w:r w:rsidR="00B44BF4">
        <w:rPr>
          <w:rFonts w:cs="Arial"/>
          <w:szCs w:val="20"/>
        </w:rPr>
        <w:t>تحتوي هذه</w:t>
      </w:r>
      <w:r w:rsidR="00653EDC" w:rsidRPr="00322074">
        <w:rPr>
          <w:rFonts w:cs="Arial"/>
          <w:szCs w:val="20"/>
        </w:rPr>
        <w:t>القسمات</w:t>
      </w:r>
      <w:r w:rsidR="009D7AA8" w:rsidRPr="00322074">
        <w:rPr>
          <w:rFonts w:cs="Arial"/>
          <w:szCs w:val="20"/>
        </w:rPr>
        <w:t>أيضًا على اسم ووحدات كل</w:t>
      </w:r>
      <w:r w:rsidR="00653EDC" w:rsidRPr="00322074">
        <w:rPr>
          <w:rFonts w:cs="Arial"/>
          <w:szCs w:val="20"/>
        </w:rPr>
        <w:t>متريك للأداء والوحدة المرتبطة والحدود السفلى والعليا للتراجعة. يتم تثبيت كل مكون عن طريق التراجعة الكمية إلى واحد (مثل مجففات الملابس) أو اثنين (مثل مجففات المياه) متريكات</w:t>
      </w:r>
      <w:r w:rsidR="00B965A7">
        <w:rPr>
          <w:rFonts w:cs="Arial"/>
          <w:szCs w:val="20"/>
        </w:rPr>
        <w:t>الأداء المطبقة. لا توجد</w:t>
      </w:r>
      <w:r w:rsidR="00755236" w:rsidRPr="00322074">
        <w:rPr>
          <w:rFonts w:cs="Arial"/>
          <w:szCs w:val="20"/>
        </w:rPr>
        <w:t>بعض</w:t>
      </w:r>
      <w:r w:rsidR="0033218D" w:rsidRPr="00322074">
        <w:rPr>
          <w:rFonts w:cs="Arial"/>
          <w:szCs w:val="20"/>
        </w:rPr>
        <w:t>المكونات،</w:t>
      </w:r>
      <w:r w:rsidR="00495866" w:rsidRPr="00322074">
        <w:rPr>
          <w:rFonts w:cs="Arial"/>
          <w:szCs w:val="20"/>
        </w:rPr>
        <w:t>مثل الحرارات</w:t>
      </w:r>
      <w:r w:rsidR="00857310" w:rsidRPr="00322074">
        <w:rPr>
          <w:rFonts w:cs="Arial"/>
          <w:szCs w:val="20"/>
        </w:rPr>
        <w:t>الحرارية،</w:t>
      </w:r>
      <w:r w:rsidR="00005FA2" w:rsidRPr="00322074">
        <w:rPr>
          <w:rFonts w:cs="Arial"/>
          <w:szCs w:val="20"/>
        </w:rPr>
        <w:t>تحليلات</w:t>
      </w:r>
      <w:r w:rsidR="00755236" w:rsidRPr="00322074">
        <w:rPr>
          <w:rFonts w:cs="Arial"/>
          <w:szCs w:val="20"/>
        </w:rPr>
        <w:t>التراجعة حيث لا</w:t>
      </w:r>
      <w:r w:rsidR="00005FA2" w:rsidRPr="00322074">
        <w:rPr>
          <w:rFonts w:cs="Arial"/>
          <w:szCs w:val="20"/>
        </w:rPr>
        <w:t>توجد</w:t>
      </w:r>
      <w:r w:rsidR="00755236" w:rsidRPr="00322074">
        <w:rPr>
          <w:rFonts w:cs="Arial"/>
          <w:szCs w:val="20"/>
        </w:rPr>
        <w:t>متريكات</w:t>
      </w:r>
      <w:r w:rsidR="00005FA2" w:rsidRPr="00322074">
        <w:rPr>
          <w:rFonts w:cs="Arial"/>
          <w:szCs w:val="20"/>
        </w:rPr>
        <w:t>الأداء القياسية المرتبطة بالمنتج.</w:t>
      </w:r>
      <w:r w:rsidR="00755236" w:rsidRPr="00322074">
        <w:rPr>
          <w:rFonts w:cs="Arial"/>
          <w:szCs w:val="20"/>
        </w:rPr>
        <w:t>تمت أبحاث</w:t>
      </w:r>
      <w:r w:rsidR="00E814EB" w:rsidRPr="00322074">
        <w:rPr>
          <w:rFonts w:cs="Arial"/>
          <w:szCs w:val="20"/>
        </w:rPr>
        <w:t>بعض</w:t>
      </w:r>
      <w:r w:rsidR="00D3475E" w:rsidRPr="00322074">
        <w:rPr>
          <w:rFonts w:cs="Arial"/>
          <w:szCs w:val="20"/>
        </w:rPr>
        <w:t>المقاييس الأداء</w:t>
      </w:r>
      <w:r w:rsidR="00F244DC" w:rsidRPr="00322074">
        <w:rPr>
          <w:rFonts w:cs="Arial"/>
          <w:szCs w:val="20"/>
        </w:rPr>
        <w:t>على</w:t>
      </w:r>
      <w:r w:rsidR="00F244DC" w:rsidRPr="00322074" w:rsidDel="00BC3696">
        <w:rPr>
          <w:rFonts w:cs="Arial"/>
          <w:szCs w:val="20"/>
        </w:rPr>
        <w:t>أساس</w:t>
      </w:r>
      <w:r w:rsidR="00BC3696">
        <w:rPr>
          <w:rFonts w:cs="Arial"/>
          <w:szCs w:val="20"/>
        </w:rPr>
        <w:t>عوامل</w:t>
      </w:r>
      <w:r w:rsidR="00BC3696" w:rsidRPr="00322074">
        <w:rPr>
          <w:rFonts w:cs="Arial"/>
          <w:szCs w:val="20"/>
        </w:rPr>
        <w:t>تسعير</w:t>
      </w:r>
      <w:r w:rsidR="00F244DC" w:rsidRPr="00322074">
        <w:rPr>
          <w:rFonts w:cs="Arial"/>
          <w:szCs w:val="20"/>
        </w:rPr>
        <w:t>الأسعار</w:t>
      </w:r>
      <w:r w:rsidR="00BC3696">
        <w:rPr>
          <w:rFonts w:cs="Arial"/>
          <w:szCs w:val="20"/>
        </w:rPr>
        <w:t>وتتبعيد</w:t>
      </w:r>
      <w:r w:rsidR="00F244DC" w:rsidRPr="00322074">
        <w:rPr>
          <w:rFonts w:cs="Arial"/>
          <w:szCs w:val="20"/>
        </w:rPr>
        <w:t>احتياجات العملاء. لا توجد أيضًا أي معادلات التراجة الكمية للقسمات المختارة.</w:t>
      </w:r>
      <w:r w:rsidR="000517F9" w:rsidRPr="00322074">
        <w:rPr>
          <w:rFonts w:cs="Arial"/>
          <w:szCs w:val="20"/>
        </w:rPr>
      </w:r>
      <w:r w:rsidR="00F244DC" w:rsidRPr="00322074">
        <w:rPr>
          <w:rFonts w:cs="Arial"/>
          <w:szCs w:val="20"/>
        </w:rPr>
      </w:r>
      <w:r w:rsidR="003D46D5">
        <w:rPr>
          <w:rFonts w:cs="Arial"/>
          <w:szCs w:val="20"/>
        </w:rPr>
      </w:r>
      <w:r w:rsidR="000517F9" w:rsidRPr="00322074">
        <w:rPr>
          <w:rFonts w:cs="Arial"/>
          <w:szCs w:val="20"/>
        </w:rPr>
      </w:r>
    </w:p>
    <w:p w14:paraId="4A6C965F" w14:textId="04209C29" w:rsidR="003D46D5" w:rsidRPr="00322074" w:rsidRDefault="003D46D5" w:rsidP="001508F2">
      <w:pPr>
        <w:rPr>
          <w:rFonts w:cs="Arial"/>
          <w:b/>
          <w:bCs/>
          <w:szCs w:val="20"/>
        </w:rPr>
      </w:pPr>
    </w:p>
    <w:tbl>
      <w:tblPr>
        <w:tblW w:w="10061" w:type="dxa"/>
        <w:jc w:val="center"/>
        <w:tblLook w:val="04A0" w:firstRow="1" w:lastRow="0" w:firstColumn="1" w:lastColumn="0" w:noHBand="0" w:noVBand="1"/>
      </w:tblPr>
      <w:tblGrid>
        <w:gridCol w:w="1726"/>
        <w:gridCol w:w="1712"/>
        <w:gridCol w:w="1772"/>
        <w:gridCol w:w="897"/>
        <w:gridCol w:w="1017"/>
        <w:gridCol w:w="1462"/>
        <w:gridCol w:w="1475"/>
      </w:tblGrid>
      <w:tr w:rsidR="0076576F" w:rsidRPr="0076576F" w14:paraId="3383BEB2" w14:textId="77777777" w:rsidTr="006F4F85">
        <w:trPr>
          <w:trHeight w:val="295"/>
          <w:jc w:val="center"/>
        </w:trPr>
        <w:tc>
          <w:tcPr>
            <w:tcW w:w="10061" w:type="dxa"/>
            <w:gridSpan w:val="7"/>
            <w:tcBorders>
              <w:left w:val="single" w:sz="8" w:space="0" w:color="auto"/>
              <w:bottom w:val="nil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73A59CF8" w14:textId="77777777" w:rsidR="0076576F" w:rsidRPr="0076576F" w:rsidRDefault="0076576F" w:rsidP="00765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u w:val="single"/>
              </w:rPr>
            </w:pPr>
            <w:r>
              <w:t>انخفاض أسعار التجزئة مقياس الأداء 1</w:t>
            </w:r>
          </w:p>
        </w:tc>
      </w:tr>
      <w:tr w:rsidR="00C513F7" w:rsidRPr="0076576F" w14:paraId="4AE1E7E8" w14:textId="77777777" w:rsidTr="00F057E6">
        <w:trPr>
          <w:trHeight w:val="307"/>
          <w:jc w:val="center"/>
        </w:trPr>
        <w:tc>
          <w:tcPr>
            <w:tcW w:w="172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002060"/>
            <w:noWrap/>
            <w:vAlign w:val="bottom"/>
            <w:hideMark/>
          </w:tcPr>
          <w:p w14:paraId="60377C04" w14:textId="77777777" w:rsidR="0076576F" w:rsidRPr="0076576F" w:rsidRDefault="0076576F" w:rsidP="007657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t>انخفاض المعدل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2060"/>
            <w:noWrap/>
            <w:vAlign w:val="bottom"/>
            <w:hideMark/>
          </w:tcPr>
          <w:p w14:paraId="4B9D9EFD" w14:textId="77777777" w:rsidR="0076576F" w:rsidRPr="0076576F" w:rsidRDefault="0076576F" w:rsidP="00765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t>المعدل المتوسط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2060"/>
            <w:noWrap/>
            <w:vAlign w:val="bottom"/>
            <w:hideMark/>
          </w:tcPr>
          <w:p w14:paraId="78E91B36" w14:textId="77777777" w:rsidR="0076576F" w:rsidRPr="0076576F" w:rsidRDefault="0076576F" w:rsidP="00765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t>معايير عالية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2060"/>
            <w:noWrap/>
            <w:vAlign w:val="bottom"/>
            <w:hideMark/>
          </w:tcPr>
          <w:p w14:paraId="21C5D583" w14:textId="77777777" w:rsidR="0076576F" w:rsidRPr="0076576F" w:rsidRDefault="0076576F" w:rsidP="00765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t>الميترات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2060"/>
            <w:noWrap/>
            <w:vAlign w:val="bottom"/>
            <w:hideMark/>
          </w:tcPr>
          <w:p w14:paraId="3D9CD5D6" w14:textId="77777777" w:rsidR="0076576F" w:rsidRPr="0076576F" w:rsidRDefault="0076576F" w:rsidP="00765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t>الوحدة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2060"/>
            <w:noWrap/>
            <w:vAlign w:val="bottom"/>
            <w:hideMark/>
          </w:tcPr>
          <w:p w14:paraId="44C44503" w14:textId="77777777" w:rsidR="0076576F" w:rsidRPr="0076576F" w:rsidRDefault="0076576F" w:rsidP="00765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t>الحد الأدنى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38986EDD" w14:textId="77777777" w:rsidR="0076576F" w:rsidRPr="0076576F" w:rsidRDefault="0076576F" w:rsidP="007657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t>الحدود العليا</w:t>
            </w:r>
          </w:p>
        </w:tc>
      </w:tr>
      <w:tr w:rsidR="002704C5" w:rsidRPr="0076576F" w14:paraId="58C425F8" w14:textId="77777777" w:rsidTr="00F057E6">
        <w:trPr>
          <w:trHeight w:val="295"/>
          <w:jc w:val="center"/>
        </w:trPr>
        <w:tc>
          <w:tcPr>
            <w:tcW w:w="17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A7E08" w14:textId="439E78FD" w:rsidR="0076576F" w:rsidRPr="00F057E6" w:rsidRDefault="00F057E6" w:rsidP="0076576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102.33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1CF12" w14:textId="35D2FEF1" w:rsidR="0076576F" w:rsidRPr="00F057E6" w:rsidRDefault="00F057E6" w:rsidP="0076576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248.33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1E166" w14:textId="6255262D" w:rsidR="0076576F" w:rsidRPr="00F057E6" w:rsidRDefault="00F057E6" w:rsidP="0076576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888.75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0C345" w14:textId="535A3E2E" w:rsidR="0076576F" w:rsidRPr="00F057E6" w:rsidRDefault="0076576F" w:rsidP="0076576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(UEF)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01745" w14:textId="3716795F" w:rsidR="0076576F" w:rsidRPr="00F057E6" w:rsidRDefault="0076576F" w:rsidP="0076576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بدون وحدة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971E8" w14:textId="193201BB" w:rsidR="0076576F" w:rsidRPr="00F057E6" w:rsidRDefault="0076576F" w:rsidP="0076576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3A1D5" w14:textId="7834F69B" w:rsidR="0076576F" w:rsidRPr="00F057E6" w:rsidRDefault="0076576F" w:rsidP="0076576F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4.07</w:t>
            </w:r>
          </w:p>
        </w:tc>
      </w:tr>
    </w:tbl>
    <w:p w14:paraId="2154F7D9" w14:textId="77777777" w:rsidR="0076576F" w:rsidRDefault="0076576F"/>
    <w:tbl>
      <w:tblPr>
        <w:tblW w:w="10054" w:type="dxa"/>
        <w:jc w:val="center"/>
        <w:tblLook w:val="04A0" w:firstRow="1" w:lastRow="0" w:firstColumn="1" w:lastColumn="0" w:noHBand="0" w:noVBand="1"/>
      </w:tblPr>
      <w:tblGrid>
        <w:gridCol w:w="1710"/>
        <w:gridCol w:w="1615"/>
        <w:gridCol w:w="1620"/>
        <w:gridCol w:w="1620"/>
        <w:gridCol w:w="810"/>
        <w:gridCol w:w="1350"/>
        <w:gridCol w:w="1329"/>
      </w:tblGrid>
      <w:tr w:rsidR="002704C5" w:rsidRPr="002704C5" w14:paraId="5FB66494" w14:textId="77777777" w:rsidTr="006F4F85">
        <w:trPr>
          <w:trHeight w:val="316"/>
          <w:jc w:val="center"/>
        </w:trPr>
        <w:tc>
          <w:tcPr>
            <w:tcW w:w="1005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BC3C056" w14:textId="77777777" w:rsidR="002704C5" w:rsidRPr="002704C5" w:rsidRDefault="002704C5" w:rsidP="00270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u w:val="single"/>
              </w:rPr>
            </w:pPr>
            <w:r>
              <w:t>انخفاض أسعار التجزئة مقياس الأداء 2</w:t>
            </w:r>
          </w:p>
        </w:tc>
      </w:tr>
      <w:tr w:rsidR="00C513F7" w:rsidRPr="002704C5" w14:paraId="12C9248F" w14:textId="77777777" w:rsidTr="008518BD">
        <w:trPr>
          <w:trHeight w:val="327"/>
          <w:jc w:val="center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733D6A96" w14:textId="77777777" w:rsidR="002704C5" w:rsidRPr="002704C5" w:rsidRDefault="002704C5" w:rsidP="002704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t>انخفاض المعدل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162F011E" w14:textId="77777777" w:rsidR="002704C5" w:rsidRPr="002704C5" w:rsidRDefault="002704C5" w:rsidP="00270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t>المعدل المتوسط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244AA2DC" w14:textId="77777777" w:rsidR="002704C5" w:rsidRPr="002704C5" w:rsidRDefault="002704C5" w:rsidP="00270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t>معايير عالية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5E5685EC" w14:textId="77777777" w:rsidR="002704C5" w:rsidRPr="002704C5" w:rsidRDefault="002704C5" w:rsidP="00270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t>الميترات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385C8AD2" w14:textId="77777777" w:rsidR="002704C5" w:rsidRPr="002704C5" w:rsidRDefault="002704C5" w:rsidP="00270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t>الوحدة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51467D32" w14:textId="77777777" w:rsidR="002704C5" w:rsidRPr="002704C5" w:rsidRDefault="002704C5" w:rsidP="00270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t>الحد الأدنى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83DB804" w14:textId="77777777" w:rsidR="002704C5" w:rsidRPr="002704C5" w:rsidRDefault="002704C5" w:rsidP="00270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t>الحدود العليا</w:t>
            </w:r>
          </w:p>
        </w:tc>
      </w:tr>
      <w:tr w:rsidR="002704C5" w:rsidRPr="002704C5" w14:paraId="24A1511E" w14:textId="77777777" w:rsidTr="008518BD">
        <w:trPr>
          <w:trHeight w:val="316"/>
          <w:jc w:val="center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C30C7" w14:textId="5E3D633E" w:rsidR="002704C5" w:rsidRPr="008518BD" w:rsidRDefault="002704C5" w:rsidP="002704C5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28.81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8304A" w14:textId="07EC4FF6" w:rsidR="002704C5" w:rsidRPr="008518BD" w:rsidRDefault="00F0330A" w:rsidP="002704C5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19.33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1533C" w14:textId="4B5FE6E5" w:rsidR="002704C5" w:rsidRPr="008518BD" w:rsidRDefault="00F0330A" w:rsidP="002704C5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8.39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30229" w14:textId="3F527F67" w:rsidR="002704C5" w:rsidRPr="008518BD" w:rsidRDefault="008518BD" w:rsidP="002704C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الحجم الاسمي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69ED0" w14:textId="08264CDE" w:rsidR="002704C5" w:rsidRPr="008518BD" w:rsidRDefault="008518BD" w:rsidP="002704C5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الجالونات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B742B7" w14:textId="2DD68065" w:rsidR="002704C5" w:rsidRPr="008518BD" w:rsidRDefault="002704C5" w:rsidP="002704C5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40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74651" w14:textId="713A51A4" w:rsidR="002704C5" w:rsidRPr="008518BD" w:rsidRDefault="002704C5" w:rsidP="002704C5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80</w:t>
            </w:r>
          </w:p>
        </w:tc>
      </w:tr>
    </w:tbl>
    <w:p w14:paraId="72502A6F" w14:textId="77777777" w:rsidR="005D062F" w:rsidRDefault="005D062F"/>
    <w:tbl>
      <w:tblPr>
        <w:tblW w:w="4140" w:type="dxa"/>
        <w:jc w:val="center"/>
        <w:tblLook w:val="04A0" w:firstRow="1" w:lastRow="0" w:firstColumn="1" w:lastColumn="0" w:noHBand="0" w:noVBand="1"/>
      </w:tblPr>
      <w:tblGrid>
        <w:gridCol w:w="1380"/>
        <w:gridCol w:w="1380"/>
        <w:gridCol w:w="1380"/>
      </w:tblGrid>
      <w:tr w:rsidR="00E5231A" w:rsidRPr="00E5231A" w14:paraId="50D74E57" w14:textId="77777777" w:rsidTr="006F4F85">
        <w:trPr>
          <w:cantSplit/>
          <w:trHeight w:val="290"/>
          <w:jc w:val="center"/>
        </w:trPr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630952A" w14:textId="77777777" w:rsidR="00E5231A" w:rsidRPr="00E5231A" w:rsidRDefault="00E5231A" w:rsidP="00E52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u w:val="single"/>
              </w:rPr>
            </w:pPr>
            <w:r>
              <w:t>انخفاض أسعار التجزئة</w:t>
            </w:r>
          </w:p>
        </w:tc>
      </w:tr>
      <w:tr w:rsidR="001A5E8B" w:rsidRPr="00E5231A" w14:paraId="3E080292" w14:textId="77777777" w:rsidTr="003B6863">
        <w:trPr>
          <w:cantSplit/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6EE53087" w14:textId="77777777" w:rsidR="00E5231A" w:rsidRPr="00E5231A" w:rsidRDefault="00E5231A" w:rsidP="00E52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t>منخفضة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bottom"/>
            <w:hideMark/>
          </w:tcPr>
          <w:p w14:paraId="69838B79" w14:textId="77777777" w:rsidR="00E5231A" w:rsidRPr="00E5231A" w:rsidRDefault="00E5231A" w:rsidP="00E52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t>في الوسط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68A9877" w14:textId="77777777" w:rsidR="00E5231A" w:rsidRPr="00E5231A" w:rsidRDefault="00E5231A" w:rsidP="00E523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t>المعدات المعدنية</w:t>
            </w:r>
          </w:p>
        </w:tc>
      </w:tr>
      <w:tr w:rsidR="00E5231A" w:rsidRPr="00E5231A" w14:paraId="152D9339" w14:textId="77777777">
        <w:trPr>
          <w:cantSplit/>
          <w:trHeight w:val="290"/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75FE6" w14:textId="108CF6EA" w:rsidR="00E5231A" w:rsidRPr="00127807" w:rsidRDefault="00F0330A" w:rsidP="00E5231A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155.30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6D19F" w14:textId="145428D4" w:rsidR="00E5231A" w:rsidRPr="00127807" w:rsidRDefault="00F0330A" w:rsidP="00E5231A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436.45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49D27" w14:textId="69125D45" w:rsidR="00E5231A" w:rsidRPr="00127807" w:rsidRDefault="00F0330A" w:rsidP="00E5231A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-651.90</w:t>
            </w:r>
          </w:p>
        </w:tc>
      </w:tr>
    </w:tbl>
    <w:p w14:paraId="09A08841" w14:textId="77777777" w:rsidR="003B6863" w:rsidRDefault="003B6863">
      <w:pPr>
        <w:rPr>
          <w:rFonts w:cs="Arial"/>
          <w:b/>
          <w:bCs/>
          <w:szCs w:val="20"/>
        </w:rPr>
      </w:pPr>
    </w:p>
    <w:p w14:paraId="2B4EC80C" w14:textId="0352A490" w:rsidR="003B6863" w:rsidRPr="005218FC" w:rsidRDefault="0052305B">
      <w:pPr>
        <w:rPr>
          <w:rFonts w:cs="Arial"/>
          <w:b/>
          <w:szCs w:val="20"/>
        </w:rPr>
      </w:pPr>
      <w:r>
        <w:rPr>
          <w:rFonts w:cs="Arial"/>
          <w:b/>
          <w:bCs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388472E7" wp14:editId="7788A3EC">
                <wp:extent cx="6066790" cy="1169670"/>
                <wp:effectExtent l="0" t="0" r="635" b="1905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6790" cy="11696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8CE6D" w14:textId="77777777" w:rsidR="003B6863" w:rsidRPr="005025AF" w:rsidRDefault="003B6863" w:rsidP="003B6863">
                            <w:pPr>
                              <w:rPr>
                                <w:rFonts w:cs="Arial"/>
                                <w:b/>
                                <w:bCs/>
                                <w:i/>
                                <w:iCs/>
                                <w:szCs w:val="20"/>
                              </w:rPr>
                            </w:pPr>
                            <w:r w:rsidRPr="005025AF">
                              <w:rPr>
                                <w:rFonts w:cs="Arial"/>
                                <w:b/>
                                <w:bCs/>
                                <w:i/>
                                <w:iCs/>
                                <w:szCs w:val="20"/>
                              </w:rPr>
                              <w:t>Calculations Beyond Bounded Values</w:t>
                            </w:r>
                          </w:p>
                          <w:p w14:paraId="3A540284" w14:textId="472303D6" w:rsidR="003B6863" w:rsidRPr="000B0122" w:rsidRDefault="003B6863" w:rsidP="003B6863">
                            <w:pPr>
                              <w:rPr>
                                <w:rFonts w:cs="Arial"/>
                                <w:szCs w:val="20"/>
                              </w:rPr>
                            </w:pPr>
                            <w:r w:rsidRPr="005218FC">
                              <w:rPr>
                                <w:rFonts w:cs="Arial"/>
                                <w:szCs w:val="20"/>
                              </w:rPr>
                              <w:t>The Lower and Upper Bounds in the file correspond to the maximum and minimum values for the performance metrics that were used to create the regressions. If a</w:t>
                            </w:r>
                            <w:r w:rsidR="006C2511">
                              <w:rPr>
                                <w:rFonts w:cs="Arial"/>
                                <w:szCs w:val="20"/>
                              </w:rPr>
                              <w:t xml:space="preserve"> calculation</w:t>
                            </w:r>
                            <w:r w:rsidRPr="000B0122">
                              <w:rPr>
                                <w:rFonts w:cs="Arial"/>
                                <w:szCs w:val="20"/>
                              </w:rPr>
                              <w:t xml:space="preserve"> user wants to pick a unit that has one or both of the performance metric bounds that are outside of the range listed on the Machine Readable, the user should only use the “Coefficient-Mid” and “Int-Mid” values to estimate prices.</w:t>
                            </w:r>
                          </w:p>
                          <w:p w14:paraId="43F15067" w14:textId="77777777" w:rsidR="003B6863" w:rsidRDefault="003B6863" w:rsidP="003B686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>
            <w:pict>
              <v:rect id="Rectangle 1" style="width:477.7pt;height:9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a8d08d [1945]" stroked="f" w14:anchorId="388472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">
                <v:textbox>
                  <w:txbxContent>
                    <w:p w:rsidRPr="005025AF" w:rsidR="003B6863" w:rsidP="003B6863" w:rsidRDefault="003B6863" w14:paraId="4C38CE6D" w14:textId="77777777">
                      <w:pPr>
                        <w:rPr>
                          <w:rFonts w:cs="Arial"/>
                          <w:b/>
                          <w:bCs/>
                          <w:i/>
                          <w:iCs/>
                          <w:szCs w:val="20"/>
                        </w:rPr>
                      </w:pPr>
                      <w:r w:rsidRPr="005025AF">
                        <w:rPr>
                          <w:rFonts w:cs="Arial"/>
                          <w:b/>
                          <w:bCs/>
                          <w:i/>
                          <w:iCs/>
                          <w:szCs w:val="20"/>
                        </w:rPr>
                        <w:t>Calculations Beyond Bounded Values</w:t>
                      </w:r>
                    </w:p>
                    <w:p w:rsidRPr="000B0122" w:rsidR="003B6863" w:rsidP="003B6863" w:rsidRDefault="003B6863" w14:paraId="3A540284" w14:textId="472303D6">
                      <w:pPr>
                        <w:rPr>
                          <w:rFonts w:cs="Arial"/>
                          <w:szCs w:val="20"/>
                        </w:rPr>
                      </w:pPr>
                      <w:r w:rsidRPr="005218FC">
                        <w:rPr>
                          <w:rFonts w:cs="Arial"/>
                          <w:szCs w:val="20"/>
                        </w:rPr>
                        <w:t>The Lower and Upper Bounds in the file correspond to the maximum and minimum values for the performance metrics that were used to create the regressions. If a</w:t>
                      </w:r>
                      <w:r w:rsidR="006C2511">
                        <w:rPr>
                          <w:rFonts w:cs="Arial"/>
                          <w:szCs w:val="20"/>
                        </w:rPr>
                        <w:t xml:space="preserve"> calculation</w:t>
                      </w:r>
                      <w:r w:rsidRPr="000B0122">
                        <w:rPr>
                          <w:rFonts w:cs="Arial"/>
                          <w:szCs w:val="20"/>
                        </w:rPr>
                        <w:t xml:space="preserve"> user wants to pick a unit that has one or both of the performance metric bounds that are outside of the range listed on the Machine Readable, the user should only use the “Coefficient-Mid” and “Int-Mid” values to estimate prices.</w:t>
                      </w:r>
                    </w:p>
                    <w:p w:rsidR="003B6863" w:rsidP="003B6863" w:rsidRDefault="003B6863" w14:paraId="43F15067" w14:textId="77777777"/>
                  </w:txbxContent>
                </v:textbox>
                <w10:anchorlock/>
              </v:rect>
            </w:pict>
          </mc:Fallback>
        </mc:AlternateContent>
      </w:r>
    </w:p>
    <w:p w14:paraId="14ED29FF" w14:textId="73F1998F" w:rsidR="006578DF" w:rsidRDefault="006578DF" w:rsidP="006578DF">
      <w:pPr>
        <w:pStyle w:val="1"/>
      </w:pPr>
      <w:r>
        <w:t>العمل والتكلفة المثبتة</w:t>
      </w:r>
    </w:p>
    <w:p w14:paraId="381C1A4E" w14:textId="4C23FAFE" w:rsidR="007158A8" w:rsidRPr="00322074" w:rsidRDefault="00D83D27">
      <w:pPr>
        <w:rPr>
          <w:rFonts w:cs="Arial"/>
          <w:szCs w:val="20"/>
        </w:rPr>
      </w:pPr>
      <w:r w:rsidRPr="00322074">
        <w:rPr>
          <w:rFonts w:cs="Arial"/>
          <w:szCs w:val="20"/>
        </w:rPr>
        <w:t>يتم حساب إجمالي التكلفة</w:t>
      </w:r>
      <w:r w:rsidR="00F75B68" w:rsidRPr="00322074">
        <w:rPr>
          <w:rFonts w:cs="Arial"/>
          <w:szCs w:val="20"/>
        </w:rPr>
        <w:t>المثبتة بطريقة واحدة من</w:t>
      </w:r>
      <w:r w:rsidR="008E3BEE" w:rsidRPr="00322074">
        <w:rPr>
          <w:rFonts w:cs="Arial"/>
          <w:szCs w:val="20"/>
        </w:rPr>
        <w:t>طريقتين</w:t>
      </w:r>
      <w:r w:rsidR="00F75B68" w:rsidRPr="00322074">
        <w:rPr>
          <w:rFonts w:cs="Arial"/>
          <w:szCs w:val="20"/>
        </w:rPr>
        <w:t>اعتمادا على المكون.</w:t>
      </w:r>
      <w:r w:rsidR="00A53B67">
        <w:rPr>
          <w:rFonts w:cs="Arial"/>
          <w:szCs w:val="20"/>
        </w:rPr>
        <w:t>الطريقة</w:t>
      </w:r>
      <w:r w:rsidR="00F75B68" w:rsidRPr="00322074" w:rsidDel="00A53B67">
        <w:rPr>
          <w:rFonts w:cs="Arial"/>
          <w:szCs w:val="20"/>
        </w:rPr>
        <w:t>الأولى</w:t>
      </w:r>
      <w:r w:rsidR="00F75B68" w:rsidRPr="00322074">
        <w:rPr>
          <w:rFonts w:cs="Arial"/>
          <w:szCs w:val="20"/>
        </w:rPr>
        <w:t>هي استخدام مضاعف التثبيت لتحويل إجمالي التكلفة</w:t>
      </w:r>
      <w:r w:rsidR="004D4972" w:rsidRPr="00322074">
        <w:rPr>
          <w:rFonts w:cs="Arial"/>
          <w:szCs w:val="20"/>
        </w:rPr>
        <w:t>المثبتة بناءً على سعر المواد.</w:t>
      </w:r>
      <w:r w:rsidR="00EA77E9" w:rsidRPr="00322074">
        <w:rPr>
          <w:rFonts w:cs="Arial"/>
          <w:szCs w:val="20"/>
        </w:rPr>
        <w:t>يتم</w:t>
      </w:r>
      <w:r w:rsidR="00C1737D" w:rsidRPr="00322074">
        <w:rPr>
          <w:rFonts w:cs="Arial"/>
          <w:szCs w:val="20"/>
        </w:rPr>
        <w:t>فصل</w:t>
      </w:r>
      <w:r w:rsidR="00334EEE">
        <w:rPr>
          <w:rFonts w:cs="Arial"/>
          <w:szCs w:val="20"/>
        </w:rPr>
        <w:t>مضاعف العمل عن طريق سيناريو</w:t>
      </w:r>
      <w:r w:rsidR="00C1737D" w:rsidRPr="00322074">
        <w:rPr>
          <w:rFonts w:cs="Arial"/>
          <w:szCs w:val="20"/>
        </w:rPr>
        <w:t>(بناء</w:t>
      </w:r>
      <w:r w:rsidR="0021535D" w:rsidRPr="00322074">
        <w:rPr>
          <w:rFonts w:cs="Arial"/>
          <w:szCs w:val="20"/>
        </w:rPr>
        <w:t>جديد أو تعديل).</w:t>
      </w:r>
      <w:r w:rsidR="00A46D45" w:rsidRPr="00322074">
        <w:rPr>
          <w:rFonts w:cs="Arial"/>
          <w:szCs w:val="20"/>
        </w:rPr>
        <w:t>تشمل</w:t>
      </w:r>
      <w:r w:rsidR="0021535D" w:rsidRPr="00322074">
        <w:rPr>
          <w:rFonts w:cs="Arial"/>
          <w:szCs w:val="20"/>
        </w:rPr>
        <w:t>سيناريوهات</w:t>
      </w:r>
      <w:r w:rsidR="00A46D45" w:rsidRPr="00322074">
        <w:rPr>
          <w:rFonts w:cs="Arial"/>
          <w:szCs w:val="20"/>
        </w:rPr>
        <w:t>التكلفة</w:t>
      </w:r>
      <w:r w:rsidR="00334EEE">
        <w:rPr>
          <w:rFonts w:cs="Arial"/>
          <w:szCs w:val="20"/>
        </w:rPr>
        <w:t>التكلفة</w:t>
      </w:r>
      <w:r w:rsidR="00285F72">
        <w:rPr>
          <w:rFonts w:cs="Arial"/>
          <w:szCs w:val="20"/>
        </w:rPr>
        <w:t>لإزالة أو</w:t>
      </w:r>
      <w:r w:rsidR="00A46D45" w:rsidRPr="00322074">
        <w:rPr>
          <w:rFonts w:cs="Arial"/>
          <w:szCs w:val="20"/>
        </w:rPr>
        <w:t>هدم آخر للمكونات</w:t>
      </w:r>
      <w:r w:rsidR="00D11EB7" w:rsidRPr="00322074">
        <w:rPr>
          <w:rFonts w:cs="Arial"/>
          <w:szCs w:val="20"/>
        </w:rPr>
        <w:t>القائمة.</w:t>
      </w:r>
      <w:r w:rsidR="00363150" w:rsidRPr="00322074">
        <w:rPr>
          <w:rFonts w:cs="Arial"/>
          <w:szCs w:val="20"/>
        </w:rPr>
        <w:t>بعد الحصول على سعر المواد المقدرة من حساب</w:t>
      </w:r>
      <w:r w:rsidR="000D1515">
        <w:rPr>
          <w:rFonts w:cs="Arial"/>
          <w:szCs w:val="20"/>
        </w:rPr>
        <w:t>رجعة أسعار المواد</w:t>
      </w:r>
      <w:r w:rsidR="000D1515" w:rsidRPr="00322074">
        <w:rPr>
          <w:rFonts w:cs="Arial"/>
          <w:szCs w:val="20"/>
        </w:rPr>
        <w:t>باستخدام</w:t>
      </w:r>
      <w:r w:rsidR="00363150" w:rsidRPr="00322074">
        <w:rPr>
          <w:rFonts w:cs="Arial"/>
          <w:szCs w:val="20"/>
        </w:rPr>
        <w:t>المعاملات والإيقافات والقيمات المحددة للأداء القيم المحددة، يستخدم</w:t>
      </w:r>
      <w:r w:rsidR="0072213D" w:rsidRPr="00322074">
        <w:rPr>
          <w:rFonts w:cs="Arial"/>
          <w:szCs w:val="20"/>
        </w:rPr>
        <w:t>المضاعف</w:t>
      </w:r>
      <w:r w:rsidR="000D1515">
        <w:rPr>
          <w:rFonts w:cs="Arial"/>
          <w:szCs w:val="20"/>
        </w:rPr>
        <w:t>لحساب إجمالي</w:t>
      </w:r>
      <w:r w:rsidR="0072213D" w:rsidRPr="00322074">
        <w:rPr>
          <w:rFonts w:cs="Arial"/>
          <w:szCs w:val="20"/>
        </w:rPr>
        <w:t>التكلفة</w:t>
      </w:r>
      <w:r w:rsidR="00374B13" w:rsidRPr="00322074">
        <w:rPr>
          <w:rFonts w:cs="Arial"/>
          <w:szCs w:val="20"/>
        </w:rPr>
        <w:t>المثبتة</w:t>
      </w:r>
      <w:r w:rsidR="00706BA4" w:rsidRPr="00322074">
        <w:rPr>
          <w:rFonts w:cs="Arial"/>
          <w:szCs w:val="20"/>
        </w:rPr>
        <w:t>أو</w:t>
      </w:r>
      <w:r w:rsidR="008F2647" w:rsidRPr="00322074">
        <w:rPr>
          <w:rFonts w:cs="Arial"/>
          <w:szCs w:val="20"/>
        </w:rPr>
        <w:t>تكلفة كل قدم مربع. يجب حساب المواد والمعدات أولاً</w:t>
      </w:r>
      <w:r w:rsidR="00876AE0" w:rsidRPr="00322074">
        <w:rPr>
          <w:rFonts w:cs="Arial"/>
          <w:szCs w:val="20"/>
        </w:rPr>
        <w:t>من أجل استخدام مضاعف تكلفة العمل. انظر مثال 1.</w:t>
      </w:r>
      <w:r w:rsidR="00DD1662" w:rsidRPr="00322074">
        <w:rPr>
          <w:rFonts w:cs="Arial"/>
          <w:szCs w:val="20"/>
        </w:rPr>
      </w:r>
      <w:r w:rsidR="00B5146E">
        <w:rPr>
          <w:rFonts w:cs="Arial"/>
          <w:szCs w:val="20"/>
        </w:rPr>
      </w:r>
      <w:r w:rsidR="00DD1662" w:rsidRPr="00322074">
        <w:rPr>
          <w:rFonts w:cs="Arial"/>
          <w:szCs w:val="20"/>
        </w:rPr>
      </w:r>
      <w:r w:rsidR="005E2FBD" w:rsidRPr="00322074">
        <w:rPr>
          <w:rFonts w:cs="Arial"/>
          <w:szCs w:val="20"/>
        </w:rPr>
      </w:r>
    </w:p>
    <w:p w14:paraId="2FD92107" w14:textId="15D97A12" w:rsidR="00B933DE" w:rsidRPr="00322074" w:rsidRDefault="00B933DE">
      <w:pPr>
        <w:rPr>
          <w:rFonts w:cs="Arial"/>
          <w:szCs w:val="20"/>
        </w:rPr>
      </w:pPr>
      <w:r w:rsidRPr="00322074">
        <w:rPr>
          <w:rFonts w:cs="Arial"/>
          <w:szCs w:val="20"/>
        </w:rPr>
        <w:t>الطريقة الثانية لحساب إجمالي التكلفة المثبتة هي باستخدام</w:t>
      </w:r>
      <w:r w:rsidR="00342E5F" w:rsidRPr="00322074">
        <w:rPr>
          <w:rFonts w:cs="Arial"/>
          <w:szCs w:val="20"/>
        </w:rPr>
        <w:t>المضافات</w:t>
      </w:r>
      <w:r w:rsidR="005564B5" w:rsidRPr="00322074">
        <w:rPr>
          <w:rFonts w:cs="Arial"/>
          <w:szCs w:val="20"/>
        </w:rPr>
        <w:t>بدلاً</w:t>
      </w:r>
      <w:r w:rsidR="00A84E77">
        <w:rPr>
          <w:rFonts w:cs="Arial"/>
          <w:szCs w:val="20"/>
        </w:rPr>
        <w:t>من</w:t>
      </w:r>
      <w:r w:rsidR="00342E5F" w:rsidRPr="00322074">
        <w:rPr>
          <w:rFonts w:cs="Arial"/>
          <w:szCs w:val="20"/>
        </w:rPr>
        <w:t>المضاعفات. العمل لبعض</w:t>
      </w:r>
      <w:r w:rsidR="009F569E" w:rsidRPr="00322074">
        <w:rPr>
          <w:rFonts w:cs="Arial"/>
          <w:szCs w:val="20"/>
        </w:rPr>
        <w:t>المكونات لا يتزايد مع</w:t>
      </w:r>
      <w:r w:rsidR="00FC1ADE" w:rsidRPr="00322074">
        <w:rPr>
          <w:rFonts w:cs="Arial"/>
          <w:szCs w:val="20"/>
        </w:rPr>
        <w:t>ارتفاع سعر المواد أو المعدات</w:t>
      </w:r>
      <w:r w:rsidR="009F569E" w:rsidRPr="00322074">
        <w:rPr>
          <w:rFonts w:cs="Arial"/>
          <w:szCs w:val="20"/>
        </w:rPr>
        <w:t>ولديه</w:t>
      </w:r>
      <w:r w:rsidR="00B5146E">
        <w:rPr>
          <w:rFonts w:cs="Arial"/>
          <w:szCs w:val="20"/>
        </w:rPr>
        <w:t>تكلفة</w:t>
      </w:r>
      <w:r w:rsidR="009F569E" w:rsidRPr="00322074">
        <w:rPr>
          <w:rFonts w:cs="Arial"/>
          <w:szCs w:val="20"/>
        </w:rPr>
        <w:t>تركيب</w:t>
      </w:r>
      <w:r w:rsidR="00FA2A63" w:rsidRPr="00322074">
        <w:rPr>
          <w:rFonts w:cs="Arial"/>
          <w:szCs w:val="20"/>
        </w:rPr>
        <w:t>ثابتة (أي أنواع</w:t>
      </w:r>
      <w:r w:rsidR="009F569E" w:rsidRPr="00322074">
        <w:rPr>
          <w:rFonts w:cs="Arial"/>
          <w:szCs w:val="20"/>
        </w:rPr>
        <w:t>معينة من تحسينات العزل).</w:t>
      </w:r>
      <w:r w:rsidR="00FA2A63" w:rsidRPr="00322074">
        <w:rPr>
          <w:rFonts w:cs="Arial"/>
          <w:szCs w:val="20"/>
        </w:rPr>
        <w:t>لذلك</w:t>
      </w:r>
      <w:r w:rsidR="00B42652">
        <w:rPr>
          <w:rFonts w:cs="Arial"/>
          <w:szCs w:val="20"/>
        </w:rPr>
        <w:t>يتم إضافة</w:t>
      </w:r>
      <w:r w:rsidR="00281504">
        <w:rPr>
          <w:rFonts w:cs="Arial"/>
          <w:szCs w:val="20"/>
        </w:rPr>
        <w:t>القيم</w:t>
      </w:r>
      <w:r w:rsidR="00FA2A63" w:rsidRPr="00322074">
        <w:rPr>
          <w:rFonts w:cs="Arial"/>
          <w:szCs w:val="20"/>
        </w:rPr>
        <w:t>إلى نتائج تراجع أسعار المواد لإنتاج إجمالي التكلفة</w:t>
      </w:r>
      <w:r w:rsidR="00FC1ADE" w:rsidRPr="00322074">
        <w:rPr>
          <w:rFonts w:cs="Arial"/>
          <w:szCs w:val="20"/>
        </w:rPr>
        <w:t>المثبتة أو</w:t>
      </w:r>
      <w:r w:rsidR="00FA2A63" w:rsidRPr="00322074">
        <w:rPr>
          <w:rFonts w:cs="Arial"/>
          <w:szCs w:val="20"/>
        </w:rPr>
        <w:t>التكلفة لكل قدم</w:t>
      </w:r>
      <w:r w:rsidR="005E2FBD" w:rsidRPr="00322074">
        <w:rPr>
          <w:rFonts w:cs="Arial"/>
          <w:szCs w:val="20"/>
        </w:rPr>
        <w:t>مربع. انظر المثال 2.</w:t>
      </w:r>
      <w:r w:rsidR="00374B13" w:rsidRPr="00322074">
        <w:rPr>
          <w:rFonts w:cs="Arial"/>
          <w:szCs w:val="20"/>
        </w:rPr>
      </w:r>
      <w:r w:rsidR="005E2FBD" w:rsidRPr="00322074">
        <w:rPr>
          <w:rFonts w:cs="Arial"/>
          <w:szCs w:val="20"/>
        </w:rPr>
      </w:r>
    </w:p>
    <w:tbl>
      <w:tblPr>
        <w:tblW w:w="3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980"/>
      </w:tblGrid>
      <w:tr w:rsidR="00D466DB" w:rsidRPr="00D466DB" w14:paraId="56FF4E67" w14:textId="77777777" w:rsidTr="000B0122">
        <w:trPr>
          <w:trHeight w:val="290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D83090E" w14:textId="36486B48" w:rsidR="00D466DB" w:rsidRPr="00D466DB" w:rsidRDefault="0094632D" w:rsidP="00D4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u w:val="single"/>
              </w:rPr>
            </w:pPr>
            <w:r>
              <w:t>التثبيت المتضاعف</w:t>
            </w:r>
          </w:p>
        </w:tc>
      </w:tr>
      <w:tr w:rsidR="00D466DB" w:rsidRPr="00D466DB" w14:paraId="6CE5E1F2" w14:textId="77777777" w:rsidTr="000B012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1B6FAA0D" w14:textId="77777777" w:rsidR="00D466DB" w:rsidRPr="00D466DB" w:rsidRDefault="00D466DB" w:rsidP="00D4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t>بناء جديد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5DB6607" w14:textId="77777777" w:rsidR="00D466DB" w:rsidRPr="00D466DB" w:rsidRDefault="00D466DB" w:rsidP="00D4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t>إعادة التأهيل</w:t>
            </w:r>
          </w:p>
        </w:tc>
      </w:tr>
      <w:tr w:rsidR="00D466DB" w:rsidRPr="00D466DB" w14:paraId="6DD3BFB0" w14:textId="77777777">
        <w:trPr>
          <w:trHeight w:val="290"/>
          <w:jc w:val="center"/>
        </w:trPr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C154BEF" w14:textId="3178C381" w:rsidR="00D466DB" w:rsidRPr="00DC6525" w:rsidRDefault="00D466DB" w:rsidP="00D466DB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1.58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80EE0D2" w14:textId="38C26415" w:rsidR="00D466DB" w:rsidRPr="00DC6525" w:rsidRDefault="00DC6525" w:rsidP="00D466DB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</w:rPr>
            </w:pPr>
            <w:r>
              <w:t>الساعة الثالثة</w:t>
            </w:r>
          </w:p>
        </w:tc>
      </w:tr>
    </w:tbl>
    <w:p w14:paraId="041AE7E8" w14:textId="77777777" w:rsidR="00FD2571" w:rsidRDefault="00FD2571" w:rsidP="00FD2571"/>
    <w:tbl>
      <w:tblPr>
        <w:tblW w:w="3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980"/>
      </w:tblGrid>
      <w:tr w:rsidR="00FD2571" w:rsidRPr="00D466DB" w14:paraId="118A0DC9" w14:textId="77777777" w:rsidTr="000B0122">
        <w:trPr>
          <w:trHeight w:val="290"/>
          <w:jc w:val="center"/>
        </w:trPr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7EB1B7A" w14:textId="2AFF8A4A" w:rsidR="00FD2571" w:rsidRPr="00D466DB" w:rsidRDefault="0094632D" w:rsidP="008F2B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u w:val="single"/>
              </w:rPr>
            </w:pPr>
            <w:r>
              <w:t>إضافة التثبيت</w:t>
            </w:r>
          </w:p>
        </w:tc>
      </w:tr>
      <w:tr w:rsidR="00FD2571" w:rsidRPr="00D466DB" w14:paraId="7D3810BF" w14:textId="77777777" w:rsidTr="000B0122">
        <w:trPr>
          <w:trHeight w:val="300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783F923C" w14:textId="77777777" w:rsidR="00FD2571" w:rsidRPr="00D466DB" w:rsidRDefault="00FD2571" w:rsidP="008F2B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t>بناء جديد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9DA0D2C" w14:textId="77777777" w:rsidR="00FD2571" w:rsidRPr="00D466DB" w:rsidRDefault="00FD2571" w:rsidP="008F2B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t>إعادة التأهيل</w:t>
            </w:r>
          </w:p>
        </w:tc>
      </w:tr>
      <w:tr w:rsidR="00FD2571" w:rsidRPr="00D466DB" w14:paraId="5DECA2F9" w14:textId="77777777" w:rsidTr="000B0122">
        <w:trPr>
          <w:trHeight w:val="290"/>
          <w:jc w:val="center"/>
        </w:trPr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5F54" w14:textId="4A246384" w:rsidR="00FD2571" w:rsidRPr="00D466DB" w:rsidRDefault="00236DA7" w:rsidP="008F2B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0.83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01BE" w14:textId="153F142D" w:rsidR="00FD2571" w:rsidRPr="00D466DB" w:rsidRDefault="007165D2" w:rsidP="008F2B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t>1.0</w:t>
            </w:r>
          </w:p>
        </w:tc>
      </w:tr>
    </w:tbl>
    <w:p w14:paraId="10F1BFE6" w14:textId="77777777" w:rsidR="00BD0E5E" w:rsidRDefault="00BD0E5E" w:rsidP="00FD2571">
      <w:pPr>
        <w:rPr>
          <w:i/>
          <w:iCs/>
        </w:rPr>
      </w:pPr>
    </w:p>
    <w:p w14:paraId="2E1BE1A3" w14:textId="66539189" w:rsidR="00BD0E5E" w:rsidRPr="006174F7" w:rsidRDefault="00BD0E5E" w:rsidP="00FD2571">
      <w:r w:rsidRPr="006174F7">
        <w:t>ملاحظة</w:t>
      </w:r>
      <w:r w:rsidR="008C2386" w:rsidRPr="006174F7">
        <w:t>بالنسبة</w:t>
      </w:r>
      <w:r w:rsidR="00FB0F11" w:rsidRPr="006174F7">
        <w:t>لبعض</w:t>
      </w:r>
      <w:r w:rsidRPr="006174F7">
        <w:t>التقنيات ذات</w:t>
      </w:r>
      <w:r w:rsidR="008D4030" w:rsidRPr="008D4030">
        <w:t>النشاط القياسي الأخير</w:t>
      </w:r>
      <w:r w:rsidR="008D4030">
        <w:t>وتوافر</w:t>
      </w:r>
      <w:r w:rsidR="0010105B">
        <w:t>البيانات، يتم</w:t>
      </w:r>
      <w:r w:rsidR="008D4030">
        <w:t>استنباط</w:t>
      </w:r>
      <w:r w:rsidR="008D4030" w:rsidRPr="008D4030">
        <w:t>تكاليف التثبيت من</w:t>
      </w:r>
      <w:r w:rsidR="00A717C3">
        <w:t>وثائق</w:t>
      </w:r>
      <w:r w:rsidR="008D4030" w:rsidRPr="008D4030">
        <w:t>الدعم الفني للجهاز المعطى ويتم قياسها في المتوسط لإنشاء إضافة التثبيت. بالنسبة للتقنيات التي</w:t>
      </w:r>
      <w:r w:rsidR="008D4030">
        <w:t>لا توجد بيانات قياسات حديثة متاحة، تم</w:t>
      </w:r>
      <w:r w:rsidR="0010105B">
        <w:t>استنباط</w:t>
      </w:r>
      <w:r w:rsidR="00A74DEE">
        <w:t>تكاليف</w:t>
      </w:r>
      <w:r w:rsidR="0010105B">
        <w:t>التثبيت باستخدام مجموعة</w:t>
      </w:r>
      <w:r w:rsidR="00150EB8">
        <w:t>متنوعة</w:t>
      </w:r>
      <w:r w:rsidR="00D53FAF">
        <w:t>من الموارد المتاحة بما في ذلك RSMeans. على سبيل</w:t>
      </w:r>
      <w:r w:rsidR="00150EB8">
        <w:t>المثال، فإن</w:t>
      </w:r>
      <w:r w:rsidRPr="006174F7">
        <w:t>حرارة</w:t>
      </w:r>
      <w:r w:rsidR="00023C11" w:rsidRPr="006174F7">
        <w:t>مضخات المياه والمنتجات</w:t>
      </w:r>
      <w:r w:rsidR="00644053" w:rsidRPr="006174F7">
        <w:t>الأخرى التي</w:t>
      </w:r>
      <w:r w:rsidR="00023C11" w:rsidRPr="006174F7">
        <w:t>تشملها</w:t>
      </w:r>
      <w:r w:rsidR="005748D3" w:rsidRPr="006174F7">
        <w:t>معايير الجهاز</w:t>
      </w:r>
      <w:r w:rsidR="00644053" w:rsidRPr="006174F7">
        <w:t>تعتمد على بيانات</w:t>
      </w:r>
      <w:r w:rsidR="00150EB8">
        <w:t>معايير الجهاز المحدثة</w:t>
      </w:r>
      <w:r w:rsidR="000A09E6">
        <w:t>لتحديد تكاليف التثبيت.</w:t>
      </w:r>
      <w:r w:rsidR="00023C11" w:rsidRPr="006174F7"/>
      <w:r w:rsidR="005748D3" w:rsidRPr="006174F7"/>
    </w:p>
    <w:p w14:paraId="7BA338AF" w14:textId="7D11C787" w:rsidR="002B04FF" w:rsidRDefault="002B04FF" w:rsidP="002B04FF">
      <w:pPr>
        <w:pStyle w:val="1"/>
      </w:pPr>
      <w:r>
        <w:t>البيانات الإضافية</w:t>
      </w:r>
    </w:p>
    <w:p w14:paraId="7E364A65" w14:textId="4781CB39" w:rsidR="002B04FF" w:rsidRDefault="6B3CC569" w:rsidP="00FD2571">
      <w:r>
        <w:t>يحتوي القسم الأخير من الملف على بيانات إضافية ليست</w:t>
      </w:r>
      <w:r w:rsidR="4142C38A">
        <w:t>ضمن حساب كل مكون ومجموعة منتجات مباشرة، وتشمل هذه البيانات العمر المتوقع (في</w:t>
      </w:r>
      <w:r w:rsidR="670E9129">
        <w:t>سنوات) للمكون، والاعتبارات</w:t>
      </w:r>
      <w:r w:rsidR="4142C38A">
        <w:t>المتعلقة بتغير التكلفة، وقائمة بمصادر البيانات المستخدمة</w:t>
      </w:r>
      <w:r w:rsidR="1BD49F51">
        <w:t>في التحليل لكل</w:t>
      </w:r>
      <w:r w:rsidR="4142C38A">
        <w:t>مكون</w:t>
      </w:r>
      <w:r w:rsidR="70E2E39C">
        <w:t>(باستخدام شكل رقمي)</w:t>
      </w:r>
      <w:r w:rsidR="4142C38A">
        <w:t>،</w:t>
      </w:r>
      <w:r w:rsidR="603B4F3A">
        <w:t>وتقييم الثقة النوعية للبيانات.</w:t>
      </w:r>
      <w:r w:rsidR="4142C38A"/>
    </w:p>
    <w:p w14:paraId="3235CFEC" w14:textId="33DF2B0B" w:rsidR="7012A095" w:rsidRDefault="1DF7D7E1">
      <w:r>
        <w:t>بالنسبة للاعتبارات المتعلقة بتباين</w:t>
      </w:r>
      <w:r w:rsidR="7012A095">
        <w:t>التكاليف،</w:t>
      </w:r>
      <w:r w:rsidR="76960695">
        <w:t>قد</w:t>
      </w:r>
      <w:r w:rsidR="00E83564">
        <w:t>تكون الآثار التالية لها</w:t>
      </w:r>
      <w:r w:rsidR="00163EB7">
        <w:t>تأثيرات</w:t>
      </w:r>
      <w:r w:rsidR="76960695">
        <w:t>إضافية</w:t>
      </w:r>
      <w:r w:rsidR="604A2E7D">
        <w:t>على تسعير كل مكون.</w:t>
      </w:r>
    </w:p>
    <w:p w14:paraId="454400AD" w14:textId="56195D98" w:rsidR="76960695" w:rsidRDefault="76960695" w:rsidP="31A6BAAE">
      <w:pPr>
        <w:pStyle w:val="a3"/>
        <w:numPr>
          <w:ilvl w:val="0"/>
          <w:numId w:val="3"/>
        </w:numPr>
        <w:rPr>
          <w:rFonts w:eastAsia="Calibri" w:cs="Arial"/>
          <w:szCs w:val="20"/>
        </w:rPr>
      </w:pPr>
      <w:r>
        <w:t>الأجور المحلية السائدة</w:t>
      </w:r>
    </w:p>
    <w:p w14:paraId="60EC5559" w14:textId="20AFEE8D" w:rsidR="76960695" w:rsidRDefault="76960695" w:rsidP="31A6BAAE">
      <w:pPr>
        <w:pStyle w:val="a3"/>
        <w:numPr>
          <w:ilvl w:val="0"/>
          <w:numId w:val="3"/>
        </w:numPr>
        <w:rPr>
          <w:rFonts w:eastAsia="Calibri" w:cs="Arial"/>
          <w:szCs w:val="20"/>
        </w:rPr>
      </w:pPr>
      <w:r>
        <w:t>وقت القيادة</w:t>
      </w:r>
    </w:p>
    <w:p w14:paraId="0B566B0F" w14:textId="369B199A" w:rsidR="76960695" w:rsidRDefault="76960695" w:rsidP="707FA1C2">
      <w:pPr>
        <w:pStyle w:val="a3"/>
        <w:numPr>
          <w:ilvl w:val="0"/>
          <w:numId w:val="3"/>
        </w:numPr>
        <w:rPr>
          <w:rFonts w:eastAsia="Calibri" w:cs="Arial"/>
          <w:szCs w:val="20"/>
        </w:rPr>
      </w:pPr>
      <w:r>
        <w:t>الوصول</w:t>
      </w:r>
    </w:p>
    <w:p w14:paraId="7FB50AD0" w14:textId="66045C23" w:rsidR="76960695" w:rsidRDefault="76960695" w:rsidP="707FA1C2">
      <w:pPr>
        <w:pStyle w:val="a3"/>
        <w:numPr>
          <w:ilvl w:val="0"/>
          <w:numId w:val="3"/>
        </w:numPr>
        <w:rPr>
          <w:rFonts w:eastAsia="Calibri" w:cs="Arial"/>
          <w:szCs w:val="20"/>
        </w:rPr>
      </w:pPr>
      <w:r>
        <w:t>وجود / حالة / نوع العزل القائم</w:t>
      </w:r>
    </w:p>
    <w:p w14:paraId="5F066186" w14:textId="7DD51151" w:rsidR="76960695" w:rsidRDefault="76960695" w:rsidP="707FA1C2">
      <w:pPr>
        <w:pStyle w:val="a3"/>
        <w:numPr>
          <w:ilvl w:val="0"/>
          <w:numId w:val="3"/>
        </w:numPr>
        <w:rPr>
          <w:rFonts w:eastAsia="Calibri" w:cs="Arial"/>
          <w:szCs w:val="20"/>
        </w:rPr>
      </w:pPr>
      <w:r>
        <w:t>البناء والمواد القائمة</w:t>
      </w:r>
    </w:p>
    <w:p w14:paraId="5CE7DB79" w14:textId="0EEB4531" w:rsidR="76960695" w:rsidRDefault="76960695" w:rsidP="707FA1C2">
      <w:pPr>
        <w:pStyle w:val="a3"/>
        <w:numPr>
          <w:ilvl w:val="0"/>
          <w:numId w:val="3"/>
        </w:numPr>
        <w:rPr>
          <w:rFonts w:eastAsia="Calibri" w:cs="Arial"/>
          <w:szCs w:val="20"/>
        </w:rPr>
      </w:pPr>
      <w:r>
        <w:t>مشاكل الرطوبة الحالية</w:t>
      </w:r>
    </w:p>
    <w:p w14:paraId="17246698" w14:textId="15815C15" w:rsidR="76960695" w:rsidRDefault="76960695" w:rsidP="707FA1C2">
      <w:pPr>
        <w:pStyle w:val="a3"/>
        <w:numPr>
          <w:ilvl w:val="0"/>
          <w:numId w:val="3"/>
        </w:numPr>
        <w:rPr>
          <w:rFonts w:eastAsia="Calibri" w:cs="Arial"/>
          <w:szCs w:val="20"/>
        </w:rPr>
      </w:pPr>
      <w:r>
        <w:t>حالة الدخان الموجود</w:t>
      </w:r>
    </w:p>
    <w:p w14:paraId="295BEBD7" w14:textId="579CBE52" w:rsidR="76960695" w:rsidRDefault="76960695" w:rsidP="707FA1C2">
      <w:pPr>
        <w:pStyle w:val="a3"/>
        <w:numPr>
          <w:ilvl w:val="0"/>
          <w:numId w:val="3"/>
        </w:numPr>
        <w:rPr>
          <w:rFonts w:eastAsia="Calibri" w:cs="Arial"/>
          <w:szCs w:val="20"/>
        </w:rPr>
      </w:pPr>
      <w:r>
        <w:t>الحاجة إلى خط التكثيف / الصرف الصحي</w:t>
      </w:r>
    </w:p>
    <w:p w14:paraId="31E1DF60" w14:textId="2AF28A6B" w:rsidR="76960695" w:rsidRDefault="76960695" w:rsidP="707FA1C2">
      <w:pPr>
        <w:pStyle w:val="a3"/>
        <w:numPr>
          <w:ilvl w:val="0"/>
          <w:numId w:val="3"/>
        </w:numPr>
        <w:rPr>
          <w:rFonts w:eastAsia="Calibri" w:cs="Arial"/>
          <w:szCs w:val="20"/>
        </w:rPr>
      </w:pPr>
      <w:r>
        <w:t>الحاجة لإدخال هواء الاحتراق</w:t>
      </w:r>
    </w:p>
    <w:p w14:paraId="6142CB74" w14:textId="73C61CD9" w:rsidR="76960695" w:rsidRDefault="76960695" w:rsidP="707FA1C2">
      <w:pPr>
        <w:pStyle w:val="a3"/>
        <w:numPr>
          <w:ilvl w:val="0"/>
          <w:numId w:val="3"/>
        </w:numPr>
        <w:rPr>
          <w:rFonts w:eastAsia="Calibri" w:cs="Arial"/>
          <w:szCs w:val="20"/>
        </w:rPr>
      </w:pPr>
      <w:r>
        <w:t>حالة النظام الكهربائي القائم</w:t>
      </w:r>
    </w:p>
    <w:p w14:paraId="4BB1E335" w14:textId="0636C68B" w:rsidR="76960695" w:rsidRDefault="76960695" w:rsidP="15A8FDFD">
      <w:pPr>
        <w:pStyle w:val="a3"/>
        <w:numPr>
          <w:ilvl w:val="0"/>
          <w:numId w:val="3"/>
        </w:numPr>
        <w:rPr>
          <w:rFonts w:eastAsia="Calibri" w:cs="Arial"/>
          <w:szCs w:val="20"/>
        </w:rPr>
      </w:pPr>
      <w:r>
        <w:t>وجود مواد خطرة</w:t>
      </w:r>
    </w:p>
    <w:p w14:paraId="5E2E6E7C" w14:textId="699A3B95" w:rsidR="76960695" w:rsidRDefault="76960695" w:rsidP="15A8FDFD">
      <w:pPr>
        <w:pStyle w:val="a3"/>
        <w:numPr>
          <w:ilvl w:val="0"/>
          <w:numId w:val="3"/>
        </w:numPr>
        <w:rPr>
          <w:rFonts w:eastAsia="Calibri" w:cs="Arial"/>
          <w:szCs w:val="20"/>
        </w:rPr>
      </w:pPr>
      <w:r>
        <w:t>طبيعة/حجم التسرب</w:t>
      </w:r>
    </w:p>
    <w:p w14:paraId="35579EC5" w14:textId="7BBC5184" w:rsidR="6A2F4A17" w:rsidRDefault="76960695" w:rsidP="67BE3BF5">
      <w:pPr>
        <w:pStyle w:val="a3"/>
        <w:numPr>
          <w:ilvl w:val="0"/>
          <w:numId w:val="3"/>
        </w:numPr>
        <w:rPr>
          <w:rFonts w:eastAsia="Calibri" w:cs="Arial"/>
          <w:szCs w:val="20"/>
        </w:rPr>
      </w:pPr>
      <w:r>
        <w:t>نطاق التحضير</w:t>
      </w:r>
    </w:p>
    <w:p w14:paraId="16B16021" w14:textId="39B690C4" w:rsidR="002B04FF" w:rsidRDefault="0704037C" w:rsidP="00FD2571">
      <w:r>
        <w:t>تم منح كل رجعة تصنيف ثقة في فئات حجم العينة (SS) ، والوسط (R2) 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والتنوع المصدر ، لتحديد مدى قوة البيانات والرجعات المقابلة. إذا كان لمجموعة بيانات حجم العينة</w:t>
      </w:r>
      <w:r w:rsidR="42B9F078">
        <w:t>أعلى</w:t>
      </w:r>
      <w:r>
        <w:t>من 100 نقطة بيانات ، فقد تم وضع علامة على أنها "High SS". إذا كان لديها بين 50 و 100 نقطة بيانات ، فقد تم</w:t>
      </w:r>
      <w:r w:rsidR="602D1620">
        <w:t>وضع</w:t>
      </w:r>
      <w:r>
        <w:t>علامة على أنها "Medium SS" ، وأقل من 50 يتوافق مع "Low SS".</w:t>
      </w:r>
      <w:r w:rsidR="6B8315FA">
        <w:t>إذا كانت مخططات الرجعة لديها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63677DDF">
        <w:t>متوسط</w:t>
      </w:r>
      <w:r>
        <w:t>فوق</w:t>
      </w:r>
      <w:r w:rsidR="33368E13">
        <w:t>0.4</w:t>
      </w:r>
      <w:r>
        <w:t>، فسيتم وضع</w:t>
      </w:r>
      <w:r w:rsidR="68718708">
        <w:t>علامة على</w:t>
      </w:r>
      <w:r>
        <w:t>أنها "High R2". إذا كانت</w:t>
      </w:r>
      <w:r w:rsidR="758CB466">
        <w:t>بين</w:t>
      </w:r>
      <w:r>
        <w:t>0.4 و 0.1 ، فسيتم وضع علامة على أنها "Medium R2" ، وإذا كانت أقل من 0.1 ، فسيتم وضع علامة على أنها "Low R2". بالنسبة للتنوع المصدر ، إذا كانت مجموعة البيانات تستخدم مصادر بيانات مختلفة (2) ، فإنها "High Source Diversity". وإذا كان هناك اثنين فقط من</w:t>
      </w:r>
      <w:r w:rsidR="3BCDB011">
        <w:t>المصادر</w:t>
      </w:r>
      <w:r>
        <w:t>البيانات المصدرة</w:t>
      </w:r>
      <w:r w:rsidR="6F3376C1">
        <w:t>،</w:t>
      </w:r>
      <w:r>
        <w:t>فإنها لا تشير إلى مصادر البيانات المصدرة المصدرة ، وإذا لم يتم</w:t>
      </w:r>
      <w:r w:rsidR="39342CA1">
        <w:t>استخدامها من المكونات المصدرة المصدرة المصدرة المصدرة المصدرة</w:t>
      </w:r>
      <w:r>
        <w:t>المصدرة المصدرة</w:t>
      </w:r>
      <w:r w:rsidR="1413E83F">
        <w:t>، فانظر لمحة 1.</w:t>
      </w:r>
      <w:r w:rsidR="1BD49F51"/>
      <w:r w:rsidR="1BD49F51" w:rsidRPr="00D4F38A">
        <w:rPr>
          <w:i/>
          <w:iCs/>
        </w:rPr>
      </w:r>
      <w:r w:rsidR="1BD49F51"/>
    </w:p>
    <w:tbl>
      <w:tblPr>
        <w:tblW w:w="9443" w:type="dxa"/>
        <w:jc w:val="center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ook w:val="04A0" w:firstRow="1" w:lastRow="0" w:firstColumn="1" w:lastColumn="0" w:noHBand="0" w:noVBand="1"/>
      </w:tblPr>
      <w:tblGrid>
        <w:gridCol w:w="1080"/>
        <w:gridCol w:w="1710"/>
        <w:gridCol w:w="1791"/>
        <w:gridCol w:w="2520"/>
        <w:gridCol w:w="2342"/>
      </w:tblGrid>
      <w:tr w:rsidR="0BBA57A9" w14:paraId="02376043" w14:textId="77777777" w:rsidTr="10AB83B5">
        <w:trPr>
          <w:trHeight w:val="323"/>
          <w:jc w:val="center"/>
        </w:trPr>
        <w:tc>
          <w:tcPr>
            <w:tcW w:w="94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11A81950" w14:textId="755E84EF" w:rsidR="0BBA57A9" w:rsidRDefault="144E662F" w:rsidP="0BBA57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</w:rPr>
            </w:pPr>
            <w:r>
              <w:t>البيانات الإضافية</w:t>
            </w:r>
          </w:p>
        </w:tc>
      </w:tr>
      <w:tr w:rsidR="002B04FF" w:rsidRPr="002B04FF" w14:paraId="4D950177" w14:textId="361E7DAD" w:rsidTr="10AB83B5">
        <w:trPr>
          <w:trHeight w:val="32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3429FF75" w14:textId="77777777" w:rsidR="002B04FF" w:rsidRPr="002B04FF" w:rsidRDefault="002B04FF" w:rsidP="002B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t>مدى الحياة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C51B9CD" w14:textId="30C939AE" w:rsidR="73ACE72F" w:rsidRPr="00D4F38A" w:rsidRDefault="73ACE72F" w:rsidP="00133EF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</w:rPr>
            </w:pPr>
            <w:r>
              <w:t>تغير التكلفة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4A39FE26" w14:textId="77777777" w:rsidR="002B04FF" w:rsidRPr="002B04FF" w:rsidRDefault="002B04FF" w:rsidP="002B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t>مصادر البيانات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  <w:hideMark/>
          </w:tcPr>
          <w:p w14:paraId="2DD7DF0F" w14:textId="4E0D8C96" w:rsidR="002B04FF" w:rsidRPr="002B04FF" w:rsidRDefault="58301B33" w:rsidP="002B04FF">
            <w:pPr>
              <w:spacing w:after="0" w:line="240" w:lineRule="auto"/>
              <w:jc w:val="center"/>
            </w:pPr>
            <w:r>
              <w:t>الرتبة الجودية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AB95AC8" w14:textId="34D3E336" w:rsidR="5AEAFECD" w:rsidRPr="217041AD" w:rsidRDefault="5AEAFECD" w:rsidP="00133EF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</w:rPr>
            </w:pPr>
            <w:r>
              <w:t>الملاحظات</w:t>
            </w:r>
          </w:p>
        </w:tc>
      </w:tr>
      <w:tr w:rsidR="002B04FF" w:rsidRPr="002B04FF" w14:paraId="4EC4FF03" w14:textId="343B977A" w:rsidTr="10AB83B5">
        <w:trPr>
          <w:trHeight w:val="31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602DA" w14:textId="46862348" w:rsidR="002B04FF" w:rsidRPr="002B04FF" w:rsidRDefault="03AB8E6E" w:rsidP="00406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t>14.8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DD1DA" w14:textId="687E46E9" w:rsidR="03AB8E6E" w:rsidRPr="27FB77B2" w:rsidRDefault="03AB8E6E" w:rsidP="00406B3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</w:rPr>
            </w:pPr>
            <w:r>
              <w:t>الأجور المحلية السائدة...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8501F" w14:textId="77777777" w:rsidR="002B04FF" w:rsidRPr="002B04FF" w:rsidRDefault="002B04FF" w:rsidP="00406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t>1، 2، 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7076" w14:textId="64D46C3A" w:rsidR="002B04FF" w:rsidRPr="002B04FF" w:rsidRDefault="4F49F355" w:rsidP="00406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t>SS منخفضة، R2 عالية، تنوع المصادر عالية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8E4BF" w14:textId="333621AD" w:rsidR="1E47365E" w:rsidRPr="2FD0D541" w:rsidRDefault="1E47365E" w:rsidP="00406B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</w:rPr>
            </w:pPr>
            <w:r>
              <w:t>كأس الغاز كإضافة في اعتراضات أسعار التجزئة</w:t>
            </w:r>
          </w:p>
        </w:tc>
      </w:tr>
    </w:tbl>
    <w:p w14:paraId="4AB0A04A" w14:textId="77777777" w:rsidR="002B04FF" w:rsidRPr="00FD2571" w:rsidRDefault="002B04FF" w:rsidP="00FD2571"/>
    <w:p w14:paraId="0197F195" w14:textId="77777777" w:rsidR="00F70F04" w:rsidRPr="00F70F04" w:rsidRDefault="00F70F04" w:rsidP="00F70F04">
      <w:pPr>
        <w:pStyle w:val="1"/>
      </w:pPr>
      <w:r>
        <w:t>مثال على حساب الأسعار</w:t>
      </w:r>
    </w:p>
    <w:p w14:paraId="3D1B8A44" w14:textId="781C2FFE" w:rsidR="00F70F04" w:rsidRPr="00F70F04" w:rsidRDefault="00F70F04" w:rsidP="00F70F04">
      <w:pPr>
        <w:pStyle w:val="2"/>
      </w:pPr>
      <w:bookmarkStart w:id="0" w:name="_Toc161910609"/>
      <w:r w:rsidRPr="00F70F04">
        <w:t>مثال</w:t>
      </w:r>
      <w:r w:rsidR="006B549D">
        <w:t>1: مضخة</w:t>
      </w:r>
      <w:r w:rsidRPr="00F70F04">
        <w:t>حرارة مصدر الهواء (متعدد التثبيت المتجدد)</w:t>
      </w:r>
      <w:bookmarkEnd w:id="0"/>
    </w:p>
    <w:p w14:paraId="649421D4" w14:textId="249D04B2" w:rsidR="00F70F04" w:rsidRPr="00F70F04" w:rsidRDefault="00F70F04" w:rsidP="00F70F04">
      <w:pPr>
        <w:spacing w:after="120" w:line="276" w:lineRule="auto"/>
        <w:rPr>
          <w:rFonts w:eastAsia="Times" w:cs="Arial"/>
          <w:szCs w:val="20"/>
        </w:rPr>
      </w:pPr>
      <w:r w:rsidRPr="00F70F04">
        <w:rPr>
          <w:rFonts w:eastAsia="Times" w:cs="Arial"/>
          <w:szCs w:val="20"/>
        </w:rPr>
        <w:t>مثال لحساب أسعار التجزئة المنخفضة والمتوسطة والعالية جنبا إلى جنب مع العمل المرتبط لاستبدال</w:t>
      </w:r>
      <w:r w:rsidR="006B549D">
        <w:rPr>
          <w:rFonts w:eastAsia="Times" w:cs="Arial"/>
          <w:szCs w:val="20"/>
        </w:rPr>
        <w:t>مضخة حرارة مصدر</w:t>
      </w:r>
      <w:r w:rsidRPr="00F70F04">
        <w:rPr>
          <w:rFonts w:eastAsia="Times" w:cs="Arial"/>
          <w:szCs w:val="20"/>
        </w:rPr>
        <w:t>الهواء التي لا</w:t>
      </w:r>
      <w:r w:rsidR="006B549D">
        <w:rPr>
          <w:rFonts w:eastAsia="Times" w:cs="Arial"/>
          <w:szCs w:val="20"/>
        </w:rPr>
        <w:t>تتطلب</w:t>
      </w:r>
      <w:r w:rsidRPr="00F70F04">
        <w:rPr>
          <w:rFonts w:eastAsia="Times" w:cs="Arial"/>
          <w:szCs w:val="20"/>
        </w:rPr>
        <w:t>ترقية دائرة جديدة أو</w:t>
      </w:r>
      <w:r w:rsidRPr="00F70F04">
        <w:rPr>
          <w:rFonts w:eastAsia="Times" w:cs="Arial"/>
          <w:color w:val="FF0000"/>
          <w:szCs w:val="20"/>
        </w:rPr>
        <w:t>لوحة.</w:t>
      </w:r>
      <w:r w:rsidRPr="00F70F04">
        <w:rPr>
          <w:rFonts w:eastAsia="Times" w:cs="Arial"/>
          <w:szCs w:val="20"/>
        </w:rPr>
        <w:t>تتوافق الأرقام باللون الأحمر مع المعاملات المختلفة في ملف CSV المسطح لمقاييس الأداء الثانية والعودات المنخفضة والمتوسطة والعالية:</w:t>
      </w:r>
    </w:p>
    <w:p w14:paraId="21E2A021" w14:textId="705A2DDB" w:rsidR="00F70F04" w:rsidRPr="00F70F04" w:rsidRDefault="00F70F04" w:rsidP="00F70F04">
      <w:pPr>
        <w:spacing w:after="120" w:line="276" w:lineRule="auto"/>
        <w:rPr>
          <w:rFonts w:eastAsiaTheme="minorEastAsia" w:cs="Arial"/>
          <w:sz w:val="24"/>
          <w:szCs w:val="24"/>
        </w:rPr>
      </w:pPr>
      <m:oMathPara>
        <m:oMath>
          <m:r>
            <w:rPr>
              <w:rFonts w:ascii="Cambria Math" w:eastAsia="Times" w:hAnsi="Cambria Math" w:cs="Arial"/>
              <w:color w:val="FF0000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>*3+</m:t>
          </m:r>
          <m:r>
            <w:rPr>
              <w:rFonts w:ascii="Cambria Math" w:eastAsia="Times" w:hAnsi="Cambria Math" w:cs="Arial"/>
              <w:color w:val="FF0000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>*15+</m:t>
          </m:r>
          <m:r>
            <w:rPr>
              <w:rFonts w:ascii="Cambria Math" w:eastAsia="Times" w:hAnsi="Cambria Math" w:cs="Arial"/>
              <w:color w:val="FF0000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>=</m:t>
          </m:r>
          <m:r>
            <w:rPr>
              <w:rFonts w:ascii="Cambria Math" w:eastAsia="Times" w:hAnsi="Cambria Math" w:cs="Arial"/>
              <w:sz w:val="24"/>
              <w:szCs w:val="24"/>
            </w:rPr>
            <m:t>price</m:t>
          </m:r>
        </m:oMath>
      </m:oMathPara>
    </w:p>
    <w:p w14:paraId="0E25CADD" w14:textId="6497439E" w:rsidR="00F70F04" w:rsidRPr="00F70F04" w:rsidRDefault="00F70F04" w:rsidP="00F70F04">
      <w:pPr>
        <w:spacing w:after="120" w:line="276" w:lineRule="auto"/>
        <w:rPr>
          <w:rFonts w:eastAsia="Times" w:cs="Arial"/>
          <w:szCs w:val="20"/>
        </w:rPr>
      </w:pPr>
      <w:r w:rsidRPr="00F70F04">
        <w:rPr>
          <w:rFonts w:eastAsia="Times" w:cs="Arial"/>
          <w:szCs w:val="20"/>
        </w:rPr>
        <w:t>حيث</w:t>
      </w:r>
      <w:r w:rsidRPr="00F70F04">
        <w:rPr>
          <w:rFonts w:eastAsia="Times" w:cs="Arial"/>
          <w:color w:val="FF0000"/>
          <w:szCs w:val="20"/>
        </w:rPr>
        <w:t>A</w:t>
      </w:r>
      <w:r w:rsidRPr="00F70F04">
        <w:rPr>
          <w:rFonts w:eastAsia="Times" w:cs="Arial"/>
          <w:szCs w:val="20"/>
        </w:rPr>
        <w:t>هو</w:t>
      </w:r>
      <w:r w:rsidR="00595B25">
        <w:rPr>
          <w:rFonts w:eastAsia="Times" w:cs="Arial"/>
          <w:szCs w:val="20"/>
        </w:rPr>
        <w:t>القدرة في</w:t>
      </w:r>
      <w:r w:rsidRPr="00F70F04">
        <w:rPr>
          <w:rFonts w:eastAsia="Times" w:cs="Arial"/>
          <w:szCs w:val="20"/>
        </w:rPr>
        <w:t>طن،</w:t>
      </w:r>
      <w:r w:rsidRPr="00F70F04">
        <w:rPr>
          <w:rFonts w:eastAsia="Times" w:cs="Arial"/>
          <w:color w:val="FF0000"/>
          <w:szCs w:val="20"/>
        </w:rPr>
        <w:t>و</w:t>
      </w:r>
      <w:r w:rsidRPr="00F70F04">
        <w:rPr>
          <w:rFonts w:eastAsia="Times" w:cs="Arial"/>
          <w:szCs w:val="20"/>
        </w:rPr>
        <w:t>B</w:t>
      </w:r>
      <w:r w:rsidR="00595B25">
        <w:rPr>
          <w:rFonts w:eastAsia="Times" w:cs="Arial"/>
          <w:szCs w:val="20"/>
        </w:rPr>
        <w:t>هو الكفاءة</w:t>
      </w:r>
      <w:bookmarkStart w:id="1" w:name="_Hlk185840073"/>
      <w:r w:rsidR="00595B25">
        <w:rPr>
          <w:rFonts w:eastAsia="Times" w:cs="Arial"/>
          <w:szCs w:val="20"/>
        </w:rPr>
        <w:t>في</w:t>
      </w:r>
      <w:bookmarkEnd w:id="1"/>
      <w:r w:rsidRPr="00F70F04">
        <w:rPr>
          <w:rFonts w:eastAsia="Times" w:cs="Arial"/>
          <w:szCs w:val="20"/>
        </w:rPr>
        <w:t>SEER1،</w:t>
      </w:r>
      <w:r w:rsidRPr="00F70F04">
        <w:rPr>
          <w:rFonts w:eastAsia="Times" w:cs="Arial"/>
          <w:color w:val="FF0000"/>
          <w:szCs w:val="20"/>
        </w:rPr>
        <w:t>و</w:t>
      </w:r>
      <w:r w:rsidRPr="00F70F04">
        <w:rPr>
          <w:rFonts w:eastAsia="Times" w:cs="Arial"/>
          <w:szCs w:val="20"/>
        </w:rPr>
        <w:t>C هو قيمة التقاطع (مستمرة).</w:t>
      </w:r>
    </w:p>
    <w:p w14:paraId="5AE42E97" w14:textId="6DAC469D" w:rsidR="00F70F04" w:rsidRPr="00F70F04" w:rsidRDefault="00F70F04" w:rsidP="00F70F04">
      <w:pPr>
        <w:spacing w:after="120" w:line="276" w:lineRule="auto"/>
        <w:rPr>
          <w:rFonts w:eastAsia="Times" w:cs="Arial"/>
          <w:sz w:val="24"/>
          <w:szCs w:val="24"/>
        </w:rPr>
      </w:pPr>
      <w:r w:rsidRPr="00F70F04">
        <w:rPr>
          <w:rFonts w:eastAsia="Times" w:cs="Arial"/>
          <w:szCs w:val="20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Low retail price:</m:t>
          </m:r>
          <m:d>
            <m:d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" w:hAnsi="Cambria Math" w:cs="Arial"/>
                  <w:color w:val="FF0000"/>
                  <w:sz w:val="24"/>
                  <w:szCs w:val="24"/>
                </w:rPr>
                <m:t>639.17</m:t>
              </m:r>
              <w:bookmarkStart w:id="2" w:name="_Hlk185840065"/>
              <m:r>
                <m:rPr>
                  <m:sty m:val="p"/>
                </m:rPr>
                <w:rPr>
                  <w:rFonts w:ascii="Cambria Math" w:eastAsia="Times" w:hAnsi="Cambria Math" w:cs="Arial"/>
                  <w:sz w:val="24"/>
                  <w:szCs w:val="24"/>
                </w:rPr>
                <m:t>*3 tons</m:t>
              </m:r>
              <w:bookmarkEnd w:id="2"/>
              <m:ctrlPr>
                <w:rPr>
                  <w:rFonts w:ascii="Cambria Math" w:eastAsia="Times" w:hAnsi="Cambria Math" w:cs="Arial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Times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" w:hAnsi="Cambria Math" w:cs="Arial"/>
                  <w:color w:val="FF0000"/>
                  <w:sz w:val="24"/>
                  <w:szCs w:val="24"/>
                </w:rPr>
                <m:t>365.84</m:t>
              </m:r>
              <m:r>
                <m:rPr>
                  <m:sty m:val="p"/>
                </m:rPr>
                <w:rPr>
                  <w:rFonts w:ascii="Cambria Math" w:eastAsia="Times" w:hAnsi="Cambria Math" w:cs="Arial"/>
                  <w:sz w:val="24"/>
                  <w:szCs w:val="24"/>
                </w:rPr>
                <m:t>*15</m:t>
              </m:r>
              <w:bookmarkStart w:id="3" w:name="_Hlk185840086"/>
              <m:r>
                <m:rPr>
                  <m:sty m:val="p"/>
                </m:rPr>
                <w:rPr>
                  <w:rFonts w:ascii="Cambria Math" w:eastAsia="Times" w:hAnsi="Cambria Math" w:cs="Arial"/>
                  <w:sz w:val="24"/>
                  <w:szCs w:val="24"/>
                </w:rPr>
                <m:t xml:space="preserve"> SEER1</m:t>
              </m:r>
              <w:bookmarkEnd w:id="3"/>
            </m:e>
          </m:d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Times" w:hAnsi="Cambria Math" w:cs="Arial"/>
              <w:color w:val="FF0000"/>
              <w:sz w:val="24"/>
              <w:szCs w:val="24"/>
            </w:rPr>
            <m:t>1,374.60</m:t>
          </m:r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>=$</m:t>
          </m:r>
          <m:r>
            <m:rPr>
              <m:sty m:val="p"/>
            </m:rPr>
            <w:rPr>
              <w:rFonts w:ascii="Cambria Math" w:eastAsia="Times" w:hAnsi="Cambria Math" w:cs="Arial"/>
              <w:color w:val="385623" w:themeColor="accent6" w:themeShade="80"/>
              <w:sz w:val="24"/>
              <w:szCs w:val="24"/>
            </w:rPr>
            <m:t>6,030.51</m:t>
          </m:r>
        </m:oMath>
      </m:oMathPara>
    </w:p>
    <w:p w14:paraId="7EDC3A6F" w14:textId="34CE0AA3" w:rsidR="00F70F04" w:rsidRPr="00F70F04" w:rsidRDefault="00F70F04" w:rsidP="00F70F04">
      <w:pPr>
        <w:spacing w:after="120" w:line="276" w:lineRule="auto"/>
        <w:rPr>
          <w:rFonts w:eastAsia="Times" w:cs="Arial"/>
          <w:color w:val="385623" w:themeColor="accent6" w:themeShade="8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Mid retail price:</m:t>
          </m:r>
          <m:d>
            <m:d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" w:hAnsi="Cambria Math" w:cs="Arial"/>
                  <w:color w:val="FF0000"/>
                  <w:sz w:val="24"/>
                  <w:szCs w:val="24"/>
                </w:rPr>
                <m:t>1065.28</m:t>
              </m:r>
              <m:r>
                <m:rPr>
                  <m:sty m:val="p"/>
                </m:rPr>
                <w:rPr>
                  <w:rFonts w:ascii="Cambria Math" w:eastAsia="Times" w:hAnsi="Cambria Math" w:cs="Arial"/>
                  <w:sz w:val="24"/>
                  <w:szCs w:val="24"/>
                </w:rPr>
                <m:t>*3 tons</m:t>
              </m:r>
              <m:ctrlPr>
                <w:rPr>
                  <w:rFonts w:ascii="Cambria Math" w:eastAsia="Times" w:hAnsi="Cambria Math" w:cs="Arial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Times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" w:hAnsi="Cambria Math" w:cs="Arial"/>
                  <w:color w:val="FF0000"/>
                  <w:sz w:val="24"/>
                  <w:szCs w:val="24"/>
                </w:rPr>
                <m:t>594.74</m:t>
              </m:r>
              <m:r>
                <m:rPr>
                  <m:sty m:val="p"/>
                </m:rPr>
                <w:rPr>
                  <w:rFonts w:ascii="Cambria Math" w:eastAsia="Times" w:hAnsi="Cambria Math" w:cs="Arial"/>
                  <w:sz w:val="24"/>
                  <w:szCs w:val="24"/>
                </w:rPr>
                <m:t>*15 SEER1</m:t>
              </m:r>
            </m:e>
          </m:d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Times" w:hAnsi="Cambria Math" w:cs="Arial"/>
              <w:color w:val="FF0000"/>
              <w:sz w:val="24"/>
              <w:szCs w:val="24"/>
            </w:rPr>
            <m:t>2,291.00</m:t>
          </m:r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>=$</m:t>
          </m:r>
          <m:r>
            <m:rPr>
              <m:sty m:val="p"/>
            </m:rPr>
            <w:rPr>
              <w:rFonts w:ascii="Cambria Math" w:eastAsia="Times" w:hAnsi="Cambria Math" w:cs="Arial"/>
              <w:color w:val="385623" w:themeColor="accent6" w:themeShade="80"/>
              <w:sz w:val="24"/>
              <w:szCs w:val="24"/>
            </w:rPr>
            <m:t>9,825.94</m:t>
          </m:r>
        </m:oMath>
      </m:oMathPara>
    </w:p>
    <w:p w14:paraId="3AA1E5E1" w14:textId="6B7B5E09" w:rsidR="00717946" w:rsidRPr="00717946" w:rsidRDefault="00F70F04" w:rsidP="00F70F04">
      <w:pPr>
        <w:spacing w:after="120" w:line="276" w:lineRule="auto"/>
        <w:rPr>
          <w:rFonts w:eastAsia="Times" w:cs="Arial"/>
          <w:color w:val="385623" w:themeColor="accent6" w:themeShade="8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High retail price:(</m:t>
          </m:r>
          <m:r>
            <m:rPr>
              <m:sty m:val="p"/>
            </m:rPr>
            <w:rPr>
              <w:rFonts w:ascii="Cambria Math" w:eastAsia="Times" w:hAnsi="Cambria Math" w:cs="Arial"/>
              <w:color w:val="FF0000"/>
              <w:sz w:val="24"/>
              <w:szCs w:val="24"/>
            </w:rPr>
            <m:t>1,491.39</m:t>
          </m:r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>*3 tons)+(</m:t>
          </m:r>
          <m:r>
            <m:rPr>
              <m:sty m:val="p"/>
            </m:rPr>
            <w:rPr>
              <w:rFonts w:ascii="Cambria Math" w:eastAsia="Times" w:hAnsi="Cambria Math" w:cs="Arial"/>
              <w:color w:val="FF0000"/>
              <w:sz w:val="24"/>
              <w:szCs w:val="24"/>
            </w:rPr>
            <m:t>832.64</m:t>
          </m:r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>*15 SEER1)-</m:t>
          </m:r>
          <m:r>
            <m:rPr>
              <m:sty m:val="p"/>
            </m:rPr>
            <w:rPr>
              <w:rFonts w:ascii="Cambria Math" w:eastAsia="Times" w:hAnsi="Cambria Math" w:cs="Arial"/>
              <w:color w:val="FF0000"/>
              <w:sz w:val="24"/>
              <w:szCs w:val="24"/>
            </w:rPr>
            <m:t>3,207.40</m:t>
          </m:r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>=$</m:t>
          </m:r>
          <m:r>
            <m:rPr>
              <m:sty m:val="p"/>
            </m:rPr>
            <w:rPr>
              <w:rFonts w:ascii="Cambria Math" w:eastAsia="Times" w:hAnsi="Cambria Math" w:cs="Arial"/>
              <w:color w:val="385623" w:themeColor="accent6" w:themeShade="80"/>
              <w:sz w:val="24"/>
              <w:szCs w:val="24"/>
            </w:rPr>
            <m:t>13,756.37</m:t>
          </m:r>
        </m:oMath>
      </m:oMathPara>
    </w:p>
    <w:p w14:paraId="4F39F86B" w14:textId="41DC4723" w:rsidR="00F70F04" w:rsidRPr="00717946" w:rsidRDefault="00F70F04" w:rsidP="00F70F04">
      <w:pPr>
        <w:spacing w:after="120" w:line="276" w:lineRule="auto"/>
        <w:rPr>
          <w:rFonts w:eastAsia="Times" w:cs="Arial"/>
          <w:szCs w:val="20"/>
        </w:rPr>
      </w:pPr>
      <w:r w:rsidRPr="00F70F04">
        <w:rPr>
          <w:rFonts w:eastAsia="Times" w:cs="Arial"/>
          <w:szCs w:val="20"/>
        </w:rPr>
        <w:t>لإنتاج إجمالي التكلفة المثبتة، استخدم مضاعف العمالة التجهيزية</w:t>
      </w:r>
      <w:bookmarkStart w:id="4" w:name="_Hlk185841696"/>
      <w:r w:rsidRPr="00F70F04">
        <w:rPr>
          <w:rFonts w:eastAsia="Times" w:cs="Arial"/>
          <w:szCs w:val="20"/>
        </w:rPr>
        <w:t>(إذا كان هذا للبناء الجديد، فسيتم استخدام مضاعف البناء</w:t>
      </w:r>
      <w:bookmarkEnd w:id="4"/>
      <w:r w:rsidRPr="00F70F04">
        <w:rPr>
          <w:rFonts w:eastAsia="Times" w:cs="Arial"/>
          <w:szCs w:val="20"/>
        </w:rPr>
        <w:t>الجديد):</w:t>
      </w:r>
    </w:p>
    <w:p w14:paraId="7DFBF96F" w14:textId="071769E9" w:rsidR="00F70F04" w:rsidRPr="00F70F04" w:rsidRDefault="00F70F04" w:rsidP="00F70F04">
      <w:pPr>
        <w:rPr>
          <w:rFonts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lastRenderedPageBreak/>
            <m:t>Low installed cost:$</m:t>
          </m:r>
          <m:r>
            <m:rPr>
              <m:sty m:val="p"/>
            </m:rPr>
            <w:rPr>
              <w:rFonts w:ascii="Cambria Math" w:eastAsia="Times" w:hAnsi="Cambria Math" w:cs="Arial"/>
              <w:color w:val="385623" w:themeColor="accent6" w:themeShade="80"/>
              <w:sz w:val="24"/>
              <w:szCs w:val="24"/>
            </w:rPr>
            <m:t>6,030.51</m:t>
          </m:r>
          <m:r>
            <w:rPr>
              <w:rFonts w:ascii="Cambria Math" w:hAnsi="Cambria Math" w:cs="Arial"/>
              <w:sz w:val="24"/>
              <w:szCs w:val="24"/>
            </w:rPr>
            <m:t>*</m:t>
          </m:r>
          <m:r>
            <w:rPr>
              <w:rFonts w:ascii="Cambria Math" w:hAnsi="Cambria Math" w:cs="Arial"/>
              <w:color w:val="FF0000"/>
              <w:sz w:val="24"/>
              <w:szCs w:val="24"/>
            </w:rPr>
            <m:t>1.5</m:t>
          </m:r>
          <m:r>
            <w:rPr>
              <w:rFonts w:ascii="Cambria Math" w:hAnsi="Cambria Math" w:cs="Arial"/>
              <w:sz w:val="24"/>
              <w:szCs w:val="24"/>
            </w:rPr>
            <m:t>=$9,045.77</m:t>
          </m:r>
        </m:oMath>
      </m:oMathPara>
    </w:p>
    <w:p w14:paraId="469D0BFD" w14:textId="7FEDC09D" w:rsidR="00F70F04" w:rsidRPr="00F70F04" w:rsidRDefault="00F70F04" w:rsidP="00F70F04">
      <w:pPr>
        <w:rPr>
          <w:rFonts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Mid installed cost:$</m:t>
          </m:r>
          <m:r>
            <m:rPr>
              <m:sty m:val="p"/>
            </m:rPr>
            <w:rPr>
              <w:rFonts w:ascii="Cambria Math" w:eastAsia="Times" w:hAnsi="Cambria Math" w:cs="Arial"/>
              <w:color w:val="385623" w:themeColor="accent6" w:themeShade="80"/>
              <w:sz w:val="24"/>
              <w:szCs w:val="24"/>
            </w:rPr>
            <m:t>9,825.94</m:t>
          </m:r>
          <m:r>
            <w:rPr>
              <w:rFonts w:ascii="Cambria Math" w:hAnsi="Cambria Math" w:cs="Arial"/>
              <w:sz w:val="24"/>
              <w:szCs w:val="24"/>
            </w:rPr>
            <m:t>*</m:t>
          </m:r>
          <m:r>
            <w:rPr>
              <w:rFonts w:ascii="Cambria Math" w:hAnsi="Cambria Math" w:cs="Arial"/>
              <w:color w:val="FF0000"/>
              <w:sz w:val="24"/>
              <w:szCs w:val="24"/>
            </w:rPr>
            <m:t>1.5</m:t>
          </m:r>
          <m:r>
            <w:rPr>
              <w:rFonts w:ascii="Cambria Math" w:hAnsi="Cambria Math" w:cs="Arial"/>
              <w:sz w:val="24"/>
              <w:szCs w:val="24"/>
            </w:rPr>
            <m:t>=$14,738.91</m:t>
          </m:r>
        </m:oMath>
      </m:oMathPara>
    </w:p>
    <w:p w14:paraId="11E1BBB6" w14:textId="199F6766" w:rsidR="00F70F04" w:rsidRPr="00F70F04" w:rsidRDefault="00F70F04" w:rsidP="00F70F04">
      <w:pPr>
        <w:spacing w:after="120" w:line="276" w:lineRule="auto"/>
        <w:rPr>
          <w:rFonts w:eastAsia="Times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>High installed cost:$</m:t>
          </m:r>
          <m:r>
            <m:rPr>
              <m:sty m:val="p"/>
            </m:rPr>
            <w:rPr>
              <w:rFonts w:ascii="Cambria Math" w:eastAsia="Times" w:hAnsi="Cambria Math" w:cs="Arial"/>
              <w:color w:val="385623" w:themeColor="accent6" w:themeShade="80"/>
              <w:sz w:val="24"/>
              <w:szCs w:val="24"/>
            </w:rPr>
            <m:t>13,756.37</m:t>
          </m:r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eastAsia="Times" w:hAnsi="Cambria Math" w:cs="Arial"/>
              <w:color w:val="FF0000"/>
              <w:sz w:val="24"/>
              <w:szCs w:val="24"/>
            </w:rPr>
            <m:t>1.5</m:t>
          </m:r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>=$20,634.56</m:t>
          </m:r>
        </m:oMath>
      </m:oMathPara>
    </w:p>
    <w:p w14:paraId="1BEADD95" w14:textId="4BE0B213" w:rsidR="00F70F04" w:rsidRPr="00F70F04" w:rsidRDefault="00F70F04" w:rsidP="00F70F04">
      <w:pPr>
        <w:spacing w:after="120" w:line="276" w:lineRule="auto"/>
        <w:rPr>
          <w:rFonts w:eastAsia="Times" w:cs="Arial"/>
          <w:szCs w:val="20"/>
        </w:rPr>
      </w:pPr>
      <w:r w:rsidRPr="00F70F04">
        <w:rPr>
          <w:rFonts w:eastAsia="Times" w:cs="Arial"/>
          <w:szCs w:val="20"/>
        </w:rPr>
        <w:t>وبالتالي، فإن متوسط سعر المواد</w:t>
      </w:r>
      <w:r w:rsidR="00217B3F">
        <w:rPr>
          <w:rFonts w:eastAsia="Times" w:cs="Arial"/>
          <w:szCs w:val="20"/>
        </w:rPr>
        <w:t>هو</w:t>
      </w:r>
      <w:r w:rsidRPr="00F70F04">
        <w:rPr>
          <w:rFonts w:eastAsia="Times" w:cs="Arial"/>
          <w:szCs w:val="20"/>
        </w:rPr>
        <w:t>9.826 دولارًا وتكلفة</w:t>
      </w:r>
      <w:r w:rsidR="00217B3F">
        <w:rPr>
          <w:rFonts w:eastAsia="Times" w:cs="Arial"/>
          <w:szCs w:val="20"/>
        </w:rPr>
        <w:t>العمالة</w:t>
      </w:r>
      <w:r w:rsidRPr="00F70F04">
        <w:rPr>
          <w:rFonts w:eastAsia="Times" w:cs="Arial"/>
          <w:szCs w:val="20"/>
        </w:rPr>
        <w:t>هي 4.913 دولارًا لتكلفة</w:t>
      </w:r>
      <w:r w:rsidR="00217B3F">
        <w:rPr>
          <w:rFonts w:eastAsia="Times" w:cs="Arial"/>
          <w:szCs w:val="20"/>
        </w:rPr>
        <w:t>التثبيت</w:t>
      </w:r>
      <w:r w:rsidRPr="00F70F04">
        <w:rPr>
          <w:rFonts w:eastAsia="Times" w:cs="Arial"/>
          <w:szCs w:val="20"/>
        </w:rPr>
        <w:t>الإجمالية من 20.635 دولارًا. وتشمل تكاليف التثبيت هنا تكاليف العمالة والمعدات</w:t>
      </w:r>
      <w:r w:rsidR="00217B3F">
        <w:rPr>
          <w:rFonts w:eastAsia="Times" w:cs="Arial"/>
          <w:szCs w:val="20"/>
        </w:rPr>
        <w:t>للتدمير والإزالة</w:t>
      </w:r>
      <w:r w:rsidRPr="00F70F04">
        <w:rPr>
          <w:rFonts w:eastAsia="Times" w:cs="Arial"/>
          <w:szCs w:val="20"/>
        </w:rPr>
        <w:t>والتثبيت.</w:t>
      </w:r>
      <w:r w:rsidR="00217B3F">
        <w:rPr>
          <w:rFonts w:eastAsia="Times" w:cs="Arial"/>
          <w:szCs w:val="20"/>
        </w:rPr>
        <w:t>هناك العديد من الأسباب التي يمكن أن تكون سعر منزل معين أعلى أو أقل، بعضها ذكر في عمود اعتبارات التغيرات</w:t>
      </w:r>
      <w:r w:rsidRPr="00F70F04">
        <w:rPr>
          <w:rFonts w:eastAsia="Times" w:cs="Arial"/>
          <w:szCs w:val="20"/>
        </w:rPr>
        <w:t>التكلفة. لاحظ في هذا المثال يتم حساب تكاليف العمالة عن طريق خصم سعر المواد</w:t>
      </w:r>
      <w:r w:rsidRPr="00F70F04">
        <w:rPr>
          <w:rFonts w:eastAsia="Times" w:cs="Arial"/>
          <w:i/>
          <w:iCs/>
          <w:szCs w:val="20"/>
        </w:rPr>
        <w:t>من التكلفة التثبيتة.</w:t>
      </w:r>
      <w:r w:rsidRPr="00F70F04">
        <w:rPr>
          <w:rFonts w:eastAsia="Times" w:cs="Arial"/>
          <w:szCs w:val="20"/>
        </w:rPr>
      </w:r>
    </w:p>
    <w:p w14:paraId="1C4353E7" w14:textId="77777777" w:rsidR="00F70F04" w:rsidRPr="00F70F04" w:rsidRDefault="00F70F04" w:rsidP="00F70F04">
      <w:pPr>
        <w:pStyle w:val="2"/>
      </w:pPr>
      <w:r>
        <w:t>مثال 2 العزل غير المكتمل للطابق العلوي للطابق العلوي</w:t>
      </w:r>
    </w:p>
    <w:p w14:paraId="5DF6964A" w14:textId="77777777" w:rsidR="00F70F04" w:rsidRPr="00F70F04" w:rsidRDefault="00F70F04" w:rsidP="00F70F04">
      <w:pPr>
        <w:spacing w:after="120" w:line="276" w:lineRule="auto"/>
        <w:rPr>
          <w:rFonts w:eastAsia="Times" w:cs="Arial"/>
          <w:szCs w:val="20"/>
        </w:rPr>
      </w:pPr>
      <w:r w:rsidRPr="00F70F04">
        <w:rPr>
          <w:rFonts w:eastAsia="Times" w:cs="Arial"/>
          <w:szCs w:val="20"/>
        </w:rPr>
        <w:t>مثال لحساب أسعار التجزئة المنخفضة والمتوسطة والعالية جنبا إلى جنب مع العمل المرتبط باستبدال عزل السقف (إعادة التجهيز) في القبو غير المنتهي بقيمة R 15 ، باستخدام عزل batt</w:t>
      </w:r>
      <w:r w:rsidRPr="00F70F04">
        <w:rPr>
          <w:rFonts w:eastAsia="Times" w:cs="Arial"/>
          <w:color w:val="FF0000"/>
          <w:szCs w:val="20"/>
        </w:rPr>
        <w:t>fiberglass.</w:t>
      </w:r>
      <w:r w:rsidRPr="00F70F04">
        <w:rPr>
          <w:rFonts w:eastAsia="Times" w:cs="Arial"/>
          <w:szCs w:val="20"/>
        </w:rPr>
        <w:t>تتوافق الأرقام باللون الأحمر مع المعايير المختلفة في ملف CSV Machine Readable لمقاييس الأداء والانسحابات المنخفضة والمتوسطة والعالية:</w:t>
      </w:r>
    </w:p>
    <w:p w14:paraId="57F078C3" w14:textId="77777777" w:rsidR="00F70F04" w:rsidRPr="00F70F04" w:rsidRDefault="00F70F04" w:rsidP="00F70F04">
      <w:pPr>
        <w:spacing w:after="120" w:line="276" w:lineRule="auto"/>
        <w:rPr>
          <w:rFonts w:eastAsiaTheme="minorEastAsia" w:cs="Arial"/>
          <w:sz w:val="24"/>
          <w:szCs w:val="24"/>
        </w:rPr>
      </w:pPr>
      <m:oMathPara>
        <m:oMath>
          <m:r>
            <w:rPr>
              <w:rFonts w:ascii="Cambria Math" w:eastAsia="Times" w:hAnsi="Cambria Math" w:cs="Arial"/>
              <w:color w:val="FF0000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>*15+</m:t>
          </m:r>
          <m:r>
            <w:rPr>
              <w:rFonts w:ascii="Cambria Math" w:eastAsia="Times" w:hAnsi="Cambria Math" w:cs="Arial"/>
              <w:color w:val="FF0000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>=</m:t>
          </m:r>
          <m:r>
            <w:rPr>
              <w:rFonts w:ascii="Cambria Math" w:eastAsia="Times" w:hAnsi="Cambria Math" w:cs="Arial"/>
              <w:sz w:val="24"/>
              <w:szCs w:val="24"/>
            </w:rPr>
            <m:t>price</m:t>
          </m:r>
        </m:oMath>
      </m:oMathPara>
    </w:p>
    <w:p w14:paraId="3F55AF8D" w14:textId="77777777" w:rsidR="00F70F04" w:rsidRPr="00F70F04" w:rsidRDefault="00F70F04" w:rsidP="00F70F04">
      <w:pPr>
        <w:spacing w:after="120" w:line="276" w:lineRule="auto"/>
        <w:rPr>
          <w:rFonts w:eastAsia="Times" w:cs="Arial"/>
          <w:szCs w:val="20"/>
        </w:rPr>
      </w:pPr>
      <w:r w:rsidRPr="00F70F04">
        <w:rPr>
          <w:rFonts w:eastAsia="Times" w:cs="Arial"/>
          <w:szCs w:val="20"/>
        </w:rPr>
        <w:t>حيث</w:t>
      </w:r>
      <w:r w:rsidRPr="00F70F04">
        <w:rPr>
          <w:rFonts w:eastAsia="Times" w:cs="Arial"/>
          <w:color w:val="FF0000"/>
          <w:szCs w:val="20"/>
        </w:rPr>
        <w:t>A</w:t>
      </w:r>
      <w:r w:rsidRPr="00F70F04">
        <w:rPr>
          <w:rFonts w:eastAsia="Times" w:cs="Arial"/>
          <w:szCs w:val="20"/>
        </w:rPr>
        <w:t>هو معدل قيمة R و</w:t>
      </w:r>
      <w:r w:rsidRPr="00F70F04">
        <w:rPr>
          <w:rFonts w:eastAsia="Times" w:cs="Arial"/>
          <w:color w:val="FF0000"/>
          <w:szCs w:val="20"/>
        </w:rPr>
        <w:t>C</w:t>
      </w:r>
      <w:r w:rsidRPr="00F70F04">
        <w:rPr>
          <w:rFonts w:eastAsia="Times" w:cs="Arial"/>
          <w:szCs w:val="20"/>
        </w:rPr>
        <w:t>هو قيمة التقاطع (مستمرة).</w:t>
      </w:r>
    </w:p>
    <w:p w14:paraId="553C7E7A" w14:textId="151151D2" w:rsidR="00F70F04" w:rsidRPr="00F70F04" w:rsidRDefault="00F70F04" w:rsidP="00F70F04">
      <w:pPr>
        <w:spacing w:after="120" w:line="276" w:lineRule="auto"/>
        <w:rPr>
          <w:rFonts w:eastAsia="Times" w:cs="Arial"/>
          <w:sz w:val="24"/>
          <w:szCs w:val="24"/>
        </w:rPr>
      </w:pPr>
      <w:r w:rsidRPr="00F70F04">
        <w:rPr>
          <w:rFonts w:eastAsia="Times" w:cs="Arial"/>
          <w:color w:val="FF0000"/>
          <w:szCs w:val="20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Low material price: </m:t>
          </m:r>
          <m:r>
            <m:rPr>
              <m:sty m:val="p"/>
            </m:rPr>
            <w:rPr>
              <w:rFonts w:ascii="Cambria Math" w:eastAsia="Times" w:hAnsi="Cambria Math" w:cs="Arial"/>
              <w:color w:val="FF0000"/>
              <w:sz w:val="24"/>
              <w:szCs w:val="24"/>
            </w:rPr>
            <m:t>0.03</m:t>
          </m:r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>*15 RValue+</m:t>
          </m:r>
          <m:r>
            <m:rPr>
              <m:sty m:val="p"/>
            </m:rPr>
            <w:rPr>
              <w:rFonts w:ascii="Cambria Math" w:eastAsia="Times" w:hAnsi="Cambria Math" w:cs="Arial"/>
              <w:color w:val="FF0000"/>
              <w:sz w:val="24"/>
              <w:szCs w:val="24"/>
            </w:rPr>
            <m:t>0.16</m:t>
          </m:r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>=$</m:t>
          </m:r>
          <m:r>
            <m:rPr>
              <m:sty m:val="p"/>
            </m:rPr>
            <w:rPr>
              <w:rFonts w:ascii="Cambria Math" w:eastAsia="Times" w:hAnsi="Cambria Math" w:cs="Arial"/>
              <w:color w:val="385623" w:themeColor="accent6" w:themeShade="80"/>
              <w:sz w:val="24"/>
              <w:szCs w:val="24"/>
            </w:rPr>
            <m:t>0.61/</m:t>
          </m:r>
          <m:r>
            <w:rPr>
              <w:rFonts w:ascii="Cambria Math" w:eastAsia="Times" w:hAnsi="Cambria Math" w:cs="Arial"/>
              <w:color w:val="385623" w:themeColor="accent6" w:themeShade="80"/>
              <w:sz w:val="24"/>
              <w:szCs w:val="24"/>
            </w:rPr>
            <m:t>sqft</m:t>
          </m:r>
        </m:oMath>
      </m:oMathPara>
    </w:p>
    <w:p w14:paraId="0CCCE863" w14:textId="2ADA31AC" w:rsidR="00F70F04" w:rsidRPr="00F70F04" w:rsidRDefault="00F70F04" w:rsidP="00F70F04">
      <w:pPr>
        <w:spacing w:after="120" w:line="276" w:lineRule="auto"/>
        <w:rPr>
          <w:rFonts w:eastAsia="Times" w:cs="Arial"/>
          <w:color w:val="385623" w:themeColor="accent6" w:themeShade="8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Mid material price: </m:t>
          </m:r>
          <m:r>
            <m:rPr>
              <m:sty m:val="p"/>
            </m:rPr>
            <w:rPr>
              <w:rFonts w:ascii="Cambria Math" w:eastAsia="Times" w:hAnsi="Cambria Math" w:cs="Arial"/>
              <w:color w:val="FF0000"/>
              <w:sz w:val="24"/>
              <w:szCs w:val="24"/>
            </w:rPr>
            <m:t>0.04</m:t>
          </m:r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>*15 RValue+</m:t>
          </m:r>
          <m:r>
            <m:rPr>
              <m:sty m:val="p"/>
            </m:rPr>
            <w:rPr>
              <w:rFonts w:ascii="Cambria Math" w:eastAsia="Times" w:hAnsi="Cambria Math" w:cs="Arial"/>
              <w:color w:val="FF0000"/>
              <w:sz w:val="24"/>
              <w:szCs w:val="24"/>
            </w:rPr>
            <m:t>0.26</m:t>
          </m:r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>=$</m:t>
          </m:r>
          <m:r>
            <m:rPr>
              <m:sty m:val="p"/>
            </m:rPr>
            <w:rPr>
              <w:rFonts w:ascii="Cambria Math" w:eastAsia="Times" w:hAnsi="Cambria Math" w:cs="Arial"/>
              <w:color w:val="385623" w:themeColor="accent6" w:themeShade="80"/>
              <w:sz w:val="24"/>
              <w:szCs w:val="24"/>
            </w:rPr>
            <m:t>0.86/</m:t>
          </m:r>
          <m:r>
            <w:rPr>
              <w:rFonts w:ascii="Cambria Math" w:eastAsia="Times" w:hAnsi="Cambria Math" w:cs="Arial"/>
              <w:color w:val="385623" w:themeColor="accent6" w:themeShade="80"/>
              <w:sz w:val="24"/>
              <w:szCs w:val="24"/>
            </w:rPr>
            <m:t>sqft</m:t>
          </m:r>
        </m:oMath>
      </m:oMathPara>
    </w:p>
    <w:p w14:paraId="2BFBDE2E" w14:textId="221E3973" w:rsidR="00F70F04" w:rsidRPr="00F70F04" w:rsidRDefault="00F70F04" w:rsidP="00F70F04">
      <w:pPr>
        <w:spacing w:after="120" w:line="276" w:lineRule="auto"/>
        <w:rPr>
          <w:rFonts w:eastAsia="Times" w:cs="Arial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 xml:space="preserve">High material price: </m:t>
          </m:r>
          <m:r>
            <m:rPr>
              <m:sty m:val="p"/>
            </m:rPr>
            <w:rPr>
              <w:rFonts w:ascii="Cambria Math" w:eastAsia="Times" w:hAnsi="Cambria Math" w:cs="Arial"/>
              <w:color w:val="FF0000"/>
              <w:sz w:val="24"/>
              <w:szCs w:val="24"/>
            </w:rPr>
            <m:t>0.05</m:t>
          </m:r>
          <m:r>
            <w:rPr>
              <w:rFonts w:ascii="Cambria Math" w:eastAsia="Times" w:hAnsi="Cambria Math" w:cs="Arial"/>
              <w:sz w:val="24"/>
              <w:szCs w:val="24"/>
            </w:rPr>
            <m:t xml:space="preserve">*15 </m:t>
          </m:r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>RValue</m:t>
          </m:r>
          <m:r>
            <w:rPr>
              <w:rFonts w:ascii="Cambria Math" w:eastAsia="Times" w:hAnsi="Cambria Math" w:cs="Arial"/>
              <w:sz w:val="24"/>
              <w:szCs w:val="24"/>
            </w:rPr>
            <m:t>+</m:t>
          </m:r>
          <m:r>
            <w:rPr>
              <w:rFonts w:ascii="Cambria Math" w:eastAsia="Times" w:hAnsi="Cambria Math" w:cs="Arial"/>
              <w:color w:val="FF0000"/>
              <w:sz w:val="24"/>
              <w:szCs w:val="24"/>
            </w:rPr>
            <m:t>1.56</m:t>
          </m:r>
          <m:r>
            <w:rPr>
              <w:rFonts w:ascii="Cambria Math" w:eastAsia="Times" w:hAnsi="Cambria Math" w:cs="Arial"/>
              <w:sz w:val="24"/>
              <w:szCs w:val="24"/>
            </w:rPr>
            <m:t>=$</m:t>
          </m:r>
          <m:r>
            <w:rPr>
              <w:rFonts w:ascii="Cambria Math" w:eastAsia="Times" w:hAnsi="Cambria Math" w:cs="Arial"/>
              <w:color w:val="385623" w:themeColor="accent6" w:themeShade="80"/>
              <w:sz w:val="24"/>
              <w:szCs w:val="24"/>
            </w:rPr>
            <m:t>2.31/sqft</m:t>
          </m:r>
        </m:oMath>
      </m:oMathPara>
    </w:p>
    <w:p w14:paraId="788757BC" w14:textId="36AF3C68" w:rsidR="00F70F04" w:rsidRPr="00F70F04" w:rsidRDefault="00F70F04" w:rsidP="00F70F04">
      <w:pPr>
        <w:spacing w:after="120" w:line="276" w:lineRule="auto"/>
        <w:rPr>
          <w:rFonts w:eastAsia="Times" w:cs="Arial"/>
          <w:szCs w:val="20"/>
        </w:rPr>
      </w:pPr>
      <w:r w:rsidRPr="00F70F04">
        <w:rPr>
          <w:rFonts w:eastAsia="Times" w:cs="Arial"/>
          <w:szCs w:val="20"/>
        </w:rPr>
        <w:t>لإنتاج إجمالي التكلفة المثبتة، استخدم إضافة العمالة للتعديل،</w:t>
      </w:r>
      <w:r w:rsidR="00834855">
        <w:rPr>
          <w:rFonts w:eastAsia="Times" w:cs="Arial"/>
          <w:szCs w:val="20"/>
        </w:rPr>
        <w:t>(إذا</w:t>
      </w:r>
      <w:r w:rsidR="00834855" w:rsidRPr="00F70F04">
        <w:rPr>
          <w:rFonts w:eastAsia="Times" w:cs="Arial"/>
          <w:szCs w:val="20"/>
        </w:rPr>
        <w:t>كان هذا للبناء الجديد، فسيتم استخدام إضافة</w:t>
      </w:r>
      <w:r w:rsidR="00834855">
        <w:rPr>
          <w:rFonts w:eastAsia="Times" w:cs="Arial"/>
          <w:szCs w:val="20"/>
        </w:rPr>
        <w:t>البناء</w:t>
      </w:r>
      <w:r w:rsidR="00834855" w:rsidRPr="00F70F04">
        <w:rPr>
          <w:rFonts w:eastAsia="Times" w:cs="Arial"/>
          <w:szCs w:val="20"/>
        </w:rPr>
        <w:t>الجديد):</w:t>
      </w:r>
      <w:r w:rsidRPr="00F70F04">
        <w:rPr>
          <w:rFonts w:eastAsia="Times" w:cs="Arial"/>
          <w:szCs w:val="20"/>
        </w:rPr>
      </w:r>
    </w:p>
    <w:p w14:paraId="7B3DBD02" w14:textId="3BF0DDF8" w:rsidR="00F70F04" w:rsidRPr="00F70F04" w:rsidRDefault="00F70F04" w:rsidP="00F70F04">
      <w:pPr>
        <w:spacing w:after="120" w:line="276" w:lineRule="auto"/>
        <w:rPr>
          <w:rFonts w:eastAsia="Times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>Low installed cost:$</m:t>
          </m:r>
          <m:r>
            <w:rPr>
              <w:rFonts w:ascii="Cambria Math" w:eastAsia="Times" w:hAnsi="Cambria Math" w:cs="Arial"/>
              <w:color w:val="385623" w:themeColor="accent6" w:themeShade="80"/>
              <w:sz w:val="24"/>
              <w:szCs w:val="24"/>
            </w:rPr>
            <m:t>0.61/sqft</m:t>
          </m:r>
          <m:r>
            <w:rPr>
              <w:rFonts w:ascii="Cambria Math" w:eastAsia="Times" w:hAnsi="Cambria Math" w:cs="Arial"/>
              <w:sz w:val="24"/>
              <w:szCs w:val="24"/>
            </w:rPr>
            <m:t>+</m:t>
          </m:r>
          <m:r>
            <w:rPr>
              <w:rFonts w:ascii="Cambria Math" w:eastAsia="Times" w:hAnsi="Cambria Math" w:cs="Arial"/>
              <w:color w:val="FF0000"/>
              <w:sz w:val="24"/>
              <w:szCs w:val="24"/>
            </w:rPr>
            <m:t>1.00</m:t>
          </m:r>
          <m:r>
            <w:rPr>
              <w:rFonts w:ascii="Cambria Math" w:eastAsia="Times" w:hAnsi="Cambria Math" w:cs="Arial"/>
              <w:sz w:val="24"/>
              <w:szCs w:val="24"/>
            </w:rPr>
            <m:t>=$1.61</m:t>
          </m:r>
          <m:r>
            <w:rPr>
              <w:rFonts w:ascii="Cambria Math" w:eastAsia="Times" w:hAnsi="Cambria Math" w:cs="Arial"/>
              <w:color w:val="385623" w:themeColor="accent6" w:themeShade="80"/>
              <w:sz w:val="24"/>
              <w:szCs w:val="24"/>
            </w:rPr>
            <m:t>/sqft</m:t>
          </m:r>
        </m:oMath>
      </m:oMathPara>
    </w:p>
    <w:p w14:paraId="0A88DD5B" w14:textId="6112973F" w:rsidR="00F70F04" w:rsidRPr="00F70F04" w:rsidRDefault="00F70F04" w:rsidP="00F70F04">
      <w:pPr>
        <w:spacing w:after="120" w:line="276" w:lineRule="auto"/>
        <w:rPr>
          <w:rFonts w:eastAsia="Times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>Mid installed cost:$</m:t>
          </m:r>
          <m:r>
            <w:rPr>
              <w:rFonts w:ascii="Cambria Math" w:eastAsia="Times" w:hAnsi="Cambria Math" w:cs="Arial"/>
              <w:color w:val="385623" w:themeColor="accent6" w:themeShade="80"/>
              <w:sz w:val="24"/>
              <w:szCs w:val="24"/>
            </w:rPr>
            <m:t>0.86/sqft</m:t>
          </m:r>
          <m:r>
            <w:rPr>
              <w:rFonts w:ascii="Cambria Math" w:eastAsia="Times" w:hAnsi="Cambria Math" w:cs="Arial"/>
              <w:sz w:val="24"/>
              <w:szCs w:val="24"/>
            </w:rPr>
            <m:t>+</m:t>
          </m:r>
          <m:r>
            <w:rPr>
              <w:rFonts w:ascii="Cambria Math" w:eastAsia="Times" w:hAnsi="Cambria Math" w:cs="Arial"/>
              <w:color w:val="FF0000"/>
              <w:sz w:val="24"/>
              <w:szCs w:val="24"/>
            </w:rPr>
            <m:t>1.00</m:t>
          </m:r>
          <m:r>
            <w:rPr>
              <w:rFonts w:ascii="Cambria Math" w:eastAsia="Times" w:hAnsi="Cambria Math" w:cs="Arial"/>
              <w:sz w:val="24"/>
              <w:szCs w:val="24"/>
            </w:rPr>
            <m:t>=$1.86</m:t>
          </m:r>
          <m:r>
            <w:rPr>
              <w:rFonts w:ascii="Cambria Math" w:eastAsia="Times" w:hAnsi="Cambria Math" w:cs="Arial"/>
              <w:color w:val="385623" w:themeColor="accent6" w:themeShade="80"/>
              <w:sz w:val="24"/>
              <w:szCs w:val="24"/>
            </w:rPr>
            <m:t>/sqft</m:t>
          </m:r>
        </m:oMath>
      </m:oMathPara>
    </w:p>
    <w:p w14:paraId="3FA0A7A0" w14:textId="2532BD1C" w:rsidR="00F70F04" w:rsidRPr="00F70F04" w:rsidRDefault="00F70F04" w:rsidP="00F70F04">
      <w:pPr>
        <w:spacing w:after="120" w:line="276" w:lineRule="auto"/>
        <w:rPr>
          <w:rFonts w:eastAsia="Times" w:cs="Arial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" w:hAnsi="Cambria Math" w:cs="Arial"/>
              <w:sz w:val="24"/>
              <w:szCs w:val="24"/>
            </w:rPr>
            <m:t>High installed cost:$</m:t>
          </m:r>
          <m:r>
            <w:rPr>
              <w:rFonts w:ascii="Cambria Math" w:eastAsia="Times" w:hAnsi="Cambria Math" w:cs="Arial"/>
              <w:color w:val="385623" w:themeColor="accent6" w:themeShade="80"/>
              <w:sz w:val="24"/>
              <w:szCs w:val="24"/>
            </w:rPr>
            <m:t>2.31/sqft</m:t>
          </m:r>
          <m:r>
            <w:rPr>
              <w:rFonts w:ascii="Cambria Math" w:eastAsia="Times" w:hAnsi="Cambria Math" w:cs="Arial"/>
              <w:sz w:val="24"/>
              <w:szCs w:val="24"/>
            </w:rPr>
            <m:t>+</m:t>
          </m:r>
          <m:r>
            <w:rPr>
              <w:rFonts w:ascii="Cambria Math" w:eastAsia="Times" w:hAnsi="Cambria Math" w:cs="Arial"/>
              <w:color w:val="FF0000"/>
              <w:sz w:val="24"/>
              <w:szCs w:val="24"/>
            </w:rPr>
            <m:t>1.00</m:t>
          </m:r>
          <m:r>
            <w:rPr>
              <w:rFonts w:ascii="Cambria Math" w:eastAsia="Times" w:hAnsi="Cambria Math" w:cs="Arial"/>
              <w:sz w:val="24"/>
              <w:szCs w:val="24"/>
            </w:rPr>
            <m:t>=$3.31</m:t>
          </m:r>
          <m:r>
            <w:rPr>
              <w:rFonts w:ascii="Cambria Math" w:eastAsia="Times" w:hAnsi="Cambria Math" w:cs="Arial"/>
              <w:color w:val="385623" w:themeColor="accent6" w:themeShade="80"/>
              <w:sz w:val="24"/>
              <w:szCs w:val="24"/>
            </w:rPr>
            <m:t>/sqft</m:t>
          </m:r>
        </m:oMath>
      </m:oMathPara>
    </w:p>
    <w:p w14:paraId="114B8E7A" w14:textId="7FDB7CDE" w:rsidR="00F70F04" w:rsidRPr="00F70F04" w:rsidRDefault="00F70F04" w:rsidP="00F70F04">
      <w:pPr>
        <w:spacing w:after="120" w:line="276" w:lineRule="auto"/>
        <w:rPr>
          <w:rFonts w:eastAsia="Times" w:cs="Arial"/>
          <w:szCs w:val="20"/>
        </w:rPr>
      </w:pPr>
      <w:r w:rsidRPr="00F70F04">
        <w:rPr>
          <w:rFonts w:eastAsia="Times" w:cs="Arial"/>
          <w:szCs w:val="20"/>
        </w:rPr>
        <w:t>وبالتالي، فإن متوسط سعر المواد هو 0.86</w:t>
      </w:r>
      <w:r w:rsidR="00293CDE">
        <w:rPr>
          <w:rFonts w:eastAsia="Times" w:cs="Arial"/>
          <w:szCs w:val="20"/>
        </w:rPr>
        <w:t>دولار</w:t>
      </w:r>
      <w:r w:rsidRPr="00F70F04">
        <w:rPr>
          <w:rFonts w:eastAsia="Times" w:cs="Arial"/>
          <w:szCs w:val="20"/>
        </w:rPr>
        <w:t>لكل قدم مربع وتكلفة العمالة 1.00 دولار لكل قدم مربع مقابل إجمالي تكلفة التثبيت 1.86</w:t>
      </w:r>
      <w:r w:rsidR="00293CDE">
        <w:rPr>
          <w:rFonts w:eastAsia="Times" w:cs="Arial"/>
          <w:szCs w:val="20"/>
        </w:rPr>
        <w:t>دولار</w:t>
      </w:r>
      <w:r w:rsidRPr="00F70F04">
        <w:rPr>
          <w:rFonts w:eastAsia="Times" w:cs="Arial"/>
          <w:szCs w:val="20"/>
        </w:rPr>
        <w:t>لكل قدم مربع.</w:t>
      </w:r>
    </w:p>
    <w:p w14:paraId="72A666CE" w14:textId="77777777" w:rsidR="005E2FBD" w:rsidRPr="00F70F04" w:rsidRDefault="005E2FBD" w:rsidP="00B61B1A">
      <w:pPr>
        <w:rPr>
          <w:rFonts w:cs="Arial"/>
          <w:szCs w:val="20"/>
        </w:rPr>
      </w:pPr>
    </w:p>
    <w:sectPr w:rsidR="005E2FBD" w:rsidRPr="00F70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0089B"/>
    <w:multiLevelType w:val="hybridMultilevel"/>
    <w:tmpl w:val="B8FC3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06624"/>
    <w:multiLevelType w:val="hybridMultilevel"/>
    <w:tmpl w:val="7310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B821B"/>
    <w:multiLevelType w:val="hybridMultilevel"/>
    <w:tmpl w:val="FFFFFFFF"/>
    <w:lvl w:ilvl="0" w:tplc="729E9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E2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862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CEC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A3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D4A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F40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EA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47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974625">
    <w:abstractNumId w:val="0"/>
  </w:num>
  <w:num w:numId="2" w16cid:durableId="166528541">
    <w:abstractNumId w:val="1"/>
  </w:num>
  <w:num w:numId="3" w16cid:durableId="345593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1A"/>
    <w:rsid w:val="00001B29"/>
    <w:rsid w:val="00005FA2"/>
    <w:rsid w:val="000121DB"/>
    <w:rsid w:val="00023C11"/>
    <w:rsid w:val="0004298E"/>
    <w:rsid w:val="000517F9"/>
    <w:rsid w:val="000705DF"/>
    <w:rsid w:val="000813AD"/>
    <w:rsid w:val="00085A13"/>
    <w:rsid w:val="00085C44"/>
    <w:rsid w:val="000962B5"/>
    <w:rsid w:val="000A09E6"/>
    <w:rsid w:val="000A3292"/>
    <w:rsid w:val="000A6609"/>
    <w:rsid w:val="000A794E"/>
    <w:rsid w:val="000B0122"/>
    <w:rsid w:val="000B0325"/>
    <w:rsid w:val="000B727F"/>
    <w:rsid w:val="000D1515"/>
    <w:rsid w:val="000F1346"/>
    <w:rsid w:val="000F215F"/>
    <w:rsid w:val="000F266A"/>
    <w:rsid w:val="0010105B"/>
    <w:rsid w:val="0010415B"/>
    <w:rsid w:val="00111A4E"/>
    <w:rsid w:val="001148B9"/>
    <w:rsid w:val="00116F6A"/>
    <w:rsid w:val="00126365"/>
    <w:rsid w:val="00127807"/>
    <w:rsid w:val="00132F67"/>
    <w:rsid w:val="00133EF1"/>
    <w:rsid w:val="001508F2"/>
    <w:rsid w:val="00150EB8"/>
    <w:rsid w:val="00161CC7"/>
    <w:rsid w:val="00163EB7"/>
    <w:rsid w:val="00187C0C"/>
    <w:rsid w:val="00194CBE"/>
    <w:rsid w:val="00196984"/>
    <w:rsid w:val="001A5E8B"/>
    <w:rsid w:val="001C0266"/>
    <w:rsid w:val="001D3BC9"/>
    <w:rsid w:val="001D6D39"/>
    <w:rsid w:val="001E1438"/>
    <w:rsid w:val="001E2CEF"/>
    <w:rsid w:val="001F3C26"/>
    <w:rsid w:val="0021535D"/>
    <w:rsid w:val="0021679C"/>
    <w:rsid w:val="00217B3F"/>
    <w:rsid w:val="0022256E"/>
    <w:rsid w:val="00226DF6"/>
    <w:rsid w:val="0023522F"/>
    <w:rsid w:val="00236DA7"/>
    <w:rsid w:val="00266EBF"/>
    <w:rsid w:val="002704C5"/>
    <w:rsid w:val="00281504"/>
    <w:rsid w:val="00285F72"/>
    <w:rsid w:val="00287AF6"/>
    <w:rsid w:val="00293CDE"/>
    <w:rsid w:val="0029481A"/>
    <w:rsid w:val="002A62CF"/>
    <w:rsid w:val="002A65B6"/>
    <w:rsid w:val="002B04FF"/>
    <w:rsid w:val="002B2047"/>
    <w:rsid w:val="002B29A7"/>
    <w:rsid w:val="002B58B8"/>
    <w:rsid w:val="002C1A05"/>
    <w:rsid w:val="002C2E95"/>
    <w:rsid w:val="002D4255"/>
    <w:rsid w:val="002D502E"/>
    <w:rsid w:val="002E0A06"/>
    <w:rsid w:val="002E420F"/>
    <w:rsid w:val="002E6257"/>
    <w:rsid w:val="002E6302"/>
    <w:rsid w:val="002E6F6C"/>
    <w:rsid w:val="002F1BDB"/>
    <w:rsid w:val="00301B52"/>
    <w:rsid w:val="0031250F"/>
    <w:rsid w:val="00320312"/>
    <w:rsid w:val="00322074"/>
    <w:rsid w:val="0033218D"/>
    <w:rsid w:val="00334EEE"/>
    <w:rsid w:val="00342E5F"/>
    <w:rsid w:val="003457A6"/>
    <w:rsid w:val="003479C9"/>
    <w:rsid w:val="00347D9D"/>
    <w:rsid w:val="00363150"/>
    <w:rsid w:val="00374B13"/>
    <w:rsid w:val="00380326"/>
    <w:rsid w:val="00393EFF"/>
    <w:rsid w:val="00397391"/>
    <w:rsid w:val="003B6863"/>
    <w:rsid w:val="003B72BA"/>
    <w:rsid w:val="003C6E8A"/>
    <w:rsid w:val="003D3DAE"/>
    <w:rsid w:val="003D46D5"/>
    <w:rsid w:val="003E1F03"/>
    <w:rsid w:val="003F60DE"/>
    <w:rsid w:val="00406B31"/>
    <w:rsid w:val="004163E7"/>
    <w:rsid w:val="004248AB"/>
    <w:rsid w:val="00426442"/>
    <w:rsid w:val="004357E0"/>
    <w:rsid w:val="004408E8"/>
    <w:rsid w:val="00451B33"/>
    <w:rsid w:val="00474C80"/>
    <w:rsid w:val="004851CE"/>
    <w:rsid w:val="00486BC5"/>
    <w:rsid w:val="00492117"/>
    <w:rsid w:val="00495866"/>
    <w:rsid w:val="004A7660"/>
    <w:rsid w:val="004B06C4"/>
    <w:rsid w:val="004B5EFD"/>
    <w:rsid w:val="004C5534"/>
    <w:rsid w:val="004D1BEE"/>
    <w:rsid w:val="004D29FC"/>
    <w:rsid w:val="004D4972"/>
    <w:rsid w:val="004D5E99"/>
    <w:rsid w:val="005024EE"/>
    <w:rsid w:val="005218FC"/>
    <w:rsid w:val="00522C9C"/>
    <w:rsid w:val="0052305B"/>
    <w:rsid w:val="00523863"/>
    <w:rsid w:val="00535A58"/>
    <w:rsid w:val="00542EE3"/>
    <w:rsid w:val="00545012"/>
    <w:rsid w:val="00551E84"/>
    <w:rsid w:val="005525B6"/>
    <w:rsid w:val="005564B5"/>
    <w:rsid w:val="0056532C"/>
    <w:rsid w:val="00566780"/>
    <w:rsid w:val="00567395"/>
    <w:rsid w:val="00574080"/>
    <w:rsid w:val="0057467F"/>
    <w:rsid w:val="005748D3"/>
    <w:rsid w:val="00586365"/>
    <w:rsid w:val="00595B25"/>
    <w:rsid w:val="005A0141"/>
    <w:rsid w:val="005A6531"/>
    <w:rsid w:val="005B10E5"/>
    <w:rsid w:val="005B7006"/>
    <w:rsid w:val="005C049D"/>
    <w:rsid w:val="005C09A4"/>
    <w:rsid w:val="005C0EF1"/>
    <w:rsid w:val="005C25DE"/>
    <w:rsid w:val="005D0143"/>
    <w:rsid w:val="005D062F"/>
    <w:rsid w:val="005D376A"/>
    <w:rsid w:val="005D5A1F"/>
    <w:rsid w:val="005E2FBD"/>
    <w:rsid w:val="005E53FF"/>
    <w:rsid w:val="005F2695"/>
    <w:rsid w:val="005F353B"/>
    <w:rsid w:val="005F763F"/>
    <w:rsid w:val="00604F62"/>
    <w:rsid w:val="006174F7"/>
    <w:rsid w:val="0062265A"/>
    <w:rsid w:val="006314D0"/>
    <w:rsid w:val="00644053"/>
    <w:rsid w:val="00653EDC"/>
    <w:rsid w:val="006578DF"/>
    <w:rsid w:val="00661C29"/>
    <w:rsid w:val="006662AE"/>
    <w:rsid w:val="006749C1"/>
    <w:rsid w:val="0067774D"/>
    <w:rsid w:val="00691C2F"/>
    <w:rsid w:val="006B278A"/>
    <w:rsid w:val="006B549D"/>
    <w:rsid w:val="006B7C0D"/>
    <w:rsid w:val="006C0F68"/>
    <w:rsid w:val="006C1023"/>
    <w:rsid w:val="006C2511"/>
    <w:rsid w:val="006C6D6C"/>
    <w:rsid w:val="006C790D"/>
    <w:rsid w:val="006D6685"/>
    <w:rsid w:val="006E67CC"/>
    <w:rsid w:val="006F4B4D"/>
    <w:rsid w:val="006F4F85"/>
    <w:rsid w:val="006F6F4C"/>
    <w:rsid w:val="007039EB"/>
    <w:rsid w:val="00706BA4"/>
    <w:rsid w:val="00714D99"/>
    <w:rsid w:val="007158A8"/>
    <w:rsid w:val="007165D2"/>
    <w:rsid w:val="00717946"/>
    <w:rsid w:val="0072213D"/>
    <w:rsid w:val="007221E2"/>
    <w:rsid w:val="007238A0"/>
    <w:rsid w:val="00725DB4"/>
    <w:rsid w:val="00732324"/>
    <w:rsid w:val="0074113C"/>
    <w:rsid w:val="00743B5B"/>
    <w:rsid w:val="00744240"/>
    <w:rsid w:val="007444F1"/>
    <w:rsid w:val="007456B3"/>
    <w:rsid w:val="0075310E"/>
    <w:rsid w:val="007531E6"/>
    <w:rsid w:val="00755236"/>
    <w:rsid w:val="0076576F"/>
    <w:rsid w:val="007664A8"/>
    <w:rsid w:val="00773147"/>
    <w:rsid w:val="00775D46"/>
    <w:rsid w:val="00776AD7"/>
    <w:rsid w:val="00777228"/>
    <w:rsid w:val="0078789C"/>
    <w:rsid w:val="007A10B1"/>
    <w:rsid w:val="007A3BC6"/>
    <w:rsid w:val="007A4202"/>
    <w:rsid w:val="007A6081"/>
    <w:rsid w:val="007C36C3"/>
    <w:rsid w:val="007C700D"/>
    <w:rsid w:val="007E489F"/>
    <w:rsid w:val="007F497E"/>
    <w:rsid w:val="0080788D"/>
    <w:rsid w:val="00807A0E"/>
    <w:rsid w:val="0081487A"/>
    <w:rsid w:val="00820D63"/>
    <w:rsid w:val="00834855"/>
    <w:rsid w:val="008367B7"/>
    <w:rsid w:val="00840C15"/>
    <w:rsid w:val="00846F87"/>
    <w:rsid w:val="0084735C"/>
    <w:rsid w:val="008518BD"/>
    <w:rsid w:val="00856AE1"/>
    <w:rsid w:val="00857310"/>
    <w:rsid w:val="00861243"/>
    <w:rsid w:val="00864F71"/>
    <w:rsid w:val="00865EF1"/>
    <w:rsid w:val="008673AA"/>
    <w:rsid w:val="00870677"/>
    <w:rsid w:val="00872DFC"/>
    <w:rsid w:val="00875CCA"/>
    <w:rsid w:val="00876AE0"/>
    <w:rsid w:val="0088284D"/>
    <w:rsid w:val="00884D74"/>
    <w:rsid w:val="00885DFE"/>
    <w:rsid w:val="008863FD"/>
    <w:rsid w:val="0089541E"/>
    <w:rsid w:val="008B5F03"/>
    <w:rsid w:val="008C2386"/>
    <w:rsid w:val="008C4143"/>
    <w:rsid w:val="008D2098"/>
    <w:rsid w:val="008D4030"/>
    <w:rsid w:val="008E19FA"/>
    <w:rsid w:val="008E3BEE"/>
    <w:rsid w:val="008F2647"/>
    <w:rsid w:val="008F2B0D"/>
    <w:rsid w:val="008F31C4"/>
    <w:rsid w:val="00911D54"/>
    <w:rsid w:val="009168F3"/>
    <w:rsid w:val="00934F93"/>
    <w:rsid w:val="00940E33"/>
    <w:rsid w:val="0094632D"/>
    <w:rsid w:val="00953C08"/>
    <w:rsid w:val="00953D07"/>
    <w:rsid w:val="00961EAB"/>
    <w:rsid w:val="009661E3"/>
    <w:rsid w:val="00971523"/>
    <w:rsid w:val="00977F80"/>
    <w:rsid w:val="00981482"/>
    <w:rsid w:val="00981A15"/>
    <w:rsid w:val="00984715"/>
    <w:rsid w:val="00990CAB"/>
    <w:rsid w:val="009916A8"/>
    <w:rsid w:val="00991A46"/>
    <w:rsid w:val="009927BD"/>
    <w:rsid w:val="009B2FFB"/>
    <w:rsid w:val="009B5ACA"/>
    <w:rsid w:val="009B5DCB"/>
    <w:rsid w:val="009C22DB"/>
    <w:rsid w:val="009C517C"/>
    <w:rsid w:val="009D7AA8"/>
    <w:rsid w:val="009E2BA9"/>
    <w:rsid w:val="009E5CE1"/>
    <w:rsid w:val="009E7287"/>
    <w:rsid w:val="009F2383"/>
    <w:rsid w:val="009F569E"/>
    <w:rsid w:val="00A0226E"/>
    <w:rsid w:val="00A07367"/>
    <w:rsid w:val="00A10A95"/>
    <w:rsid w:val="00A17017"/>
    <w:rsid w:val="00A222FF"/>
    <w:rsid w:val="00A23F37"/>
    <w:rsid w:val="00A25322"/>
    <w:rsid w:val="00A31C7B"/>
    <w:rsid w:val="00A32D0D"/>
    <w:rsid w:val="00A37468"/>
    <w:rsid w:val="00A41875"/>
    <w:rsid w:val="00A43AEA"/>
    <w:rsid w:val="00A46D45"/>
    <w:rsid w:val="00A476AB"/>
    <w:rsid w:val="00A50093"/>
    <w:rsid w:val="00A53B67"/>
    <w:rsid w:val="00A63782"/>
    <w:rsid w:val="00A71476"/>
    <w:rsid w:val="00A717C3"/>
    <w:rsid w:val="00A74DEE"/>
    <w:rsid w:val="00A84B81"/>
    <w:rsid w:val="00A84E77"/>
    <w:rsid w:val="00AB3BD2"/>
    <w:rsid w:val="00AB7EEC"/>
    <w:rsid w:val="00AC0DDD"/>
    <w:rsid w:val="00AC6359"/>
    <w:rsid w:val="00AD1913"/>
    <w:rsid w:val="00AF6790"/>
    <w:rsid w:val="00B05AD4"/>
    <w:rsid w:val="00B1057A"/>
    <w:rsid w:val="00B17D9D"/>
    <w:rsid w:val="00B25C9D"/>
    <w:rsid w:val="00B326FE"/>
    <w:rsid w:val="00B402B1"/>
    <w:rsid w:val="00B42652"/>
    <w:rsid w:val="00B42CDB"/>
    <w:rsid w:val="00B44BF4"/>
    <w:rsid w:val="00B512F3"/>
    <w:rsid w:val="00B5146E"/>
    <w:rsid w:val="00B52B95"/>
    <w:rsid w:val="00B61B1A"/>
    <w:rsid w:val="00B6268A"/>
    <w:rsid w:val="00B63E6E"/>
    <w:rsid w:val="00B710DE"/>
    <w:rsid w:val="00B933DE"/>
    <w:rsid w:val="00B965A7"/>
    <w:rsid w:val="00B97A11"/>
    <w:rsid w:val="00BA5B49"/>
    <w:rsid w:val="00BB3937"/>
    <w:rsid w:val="00BB7E26"/>
    <w:rsid w:val="00BC3696"/>
    <w:rsid w:val="00BD0E5E"/>
    <w:rsid w:val="00BD23FF"/>
    <w:rsid w:val="00BE04BE"/>
    <w:rsid w:val="00BE3C3D"/>
    <w:rsid w:val="00BE7148"/>
    <w:rsid w:val="00C006DF"/>
    <w:rsid w:val="00C0228A"/>
    <w:rsid w:val="00C116E7"/>
    <w:rsid w:val="00C1737D"/>
    <w:rsid w:val="00C2298D"/>
    <w:rsid w:val="00C278C1"/>
    <w:rsid w:val="00C35686"/>
    <w:rsid w:val="00C4439C"/>
    <w:rsid w:val="00C47739"/>
    <w:rsid w:val="00C509E3"/>
    <w:rsid w:val="00C513F7"/>
    <w:rsid w:val="00C54C1A"/>
    <w:rsid w:val="00C656B2"/>
    <w:rsid w:val="00C67C03"/>
    <w:rsid w:val="00C715F0"/>
    <w:rsid w:val="00C7339B"/>
    <w:rsid w:val="00C743DF"/>
    <w:rsid w:val="00C76A6E"/>
    <w:rsid w:val="00C804BA"/>
    <w:rsid w:val="00C960D4"/>
    <w:rsid w:val="00C97826"/>
    <w:rsid w:val="00CA124D"/>
    <w:rsid w:val="00CA7E2A"/>
    <w:rsid w:val="00CB2FFC"/>
    <w:rsid w:val="00CE117B"/>
    <w:rsid w:val="00D01D3F"/>
    <w:rsid w:val="00D11EB7"/>
    <w:rsid w:val="00D23BC0"/>
    <w:rsid w:val="00D3475E"/>
    <w:rsid w:val="00D466DB"/>
    <w:rsid w:val="00D4F38A"/>
    <w:rsid w:val="00D53F33"/>
    <w:rsid w:val="00D53FAF"/>
    <w:rsid w:val="00D551D3"/>
    <w:rsid w:val="00D72C27"/>
    <w:rsid w:val="00D83D27"/>
    <w:rsid w:val="00D9005D"/>
    <w:rsid w:val="00D91F2D"/>
    <w:rsid w:val="00D92275"/>
    <w:rsid w:val="00D9663B"/>
    <w:rsid w:val="00DA21CC"/>
    <w:rsid w:val="00DA3805"/>
    <w:rsid w:val="00DA49BA"/>
    <w:rsid w:val="00DA6274"/>
    <w:rsid w:val="00DA6AFF"/>
    <w:rsid w:val="00DA7C85"/>
    <w:rsid w:val="00DB2940"/>
    <w:rsid w:val="00DC3A38"/>
    <w:rsid w:val="00DC6525"/>
    <w:rsid w:val="00DD1662"/>
    <w:rsid w:val="00DD4842"/>
    <w:rsid w:val="00DE3200"/>
    <w:rsid w:val="00DE406D"/>
    <w:rsid w:val="00DE63A7"/>
    <w:rsid w:val="00DF0C4D"/>
    <w:rsid w:val="00E37827"/>
    <w:rsid w:val="00E40114"/>
    <w:rsid w:val="00E5231A"/>
    <w:rsid w:val="00E61056"/>
    <w:rsid w:val="00E61ED9"/>
    <w:rsid w:val="00E6575F"/>
    <w:rsid w:val="00E66976"/>
    <w:rsid w:val="00E77420"/>
    <w:rsid w:val="00E814EB"/>
    <w:rsid w:val="00E83564"/>
    <w:rsid w:val="00E84E52"/>
    <w:rsid w:val="00E95C17"/>
    <w:rsid w:val="00E9614B"/>
    <w:rsid w:val="00E97BFC"/>
    <w:rsid w:val="00EA77E9"/>
    <w:rsid w:val="00EB3D62"/>
    <w:rsid w:val="00EB6087"/>
    <w:rsid w:val="00EC42FC"/>
    <w:rsid w:val="00EC5D31"/>
    <w:rsid w:val="00ED4CAD"/>
    <w:rsid w:val="00EE2D7E"/>
    <w:rsid w:val="00EF13C2"/>
    <w:rsid w:val="00EF34E6"/>
    <w:rsid w:val="00EF4CDC"/>
    <w:rsid w:val="00EF512C"/>
    <w:rsid w:val="00EF69C5"/>
    <w:rsid w:val="00F0330A"/>
    <w:rsid w:val="00F057E6"/>
    <w:rsid w:val="00F0621D"/>
    <w:rsid w:val="00F14368"/>
    <w:rsid w:val="00F1663E"/>
    <w:rsid w:val="00F23F3D"/>
    <w:rsid w:val="00F244DC"/>
    <w:rsid w:val="00F255A8"/>
    <w:rsid w:val="00F4437A"/>
    <w:rsid w:val="00F53623"/>
    <w:rsid w:val="00F53F2E"/>
    <w:rsid w:val="00F544C3"/>
    <w:rsid w:val="00F55AC3"/>
    <w:rsid w:val="00F64893"/>
    <w:rsid w:val="00F6735A"/>
    <w:rsid w:val="00F70F04"/>
    <w:rsid w:val="00F75B68"/>
    <w:rsid w:val="00F76755"/>
    <w:rsid w:val="00F7720F"/>
    <w:rsid w:val="00F83836"/>
    <w:rsid w:val="00F8455A"/>
    <w:rsid w:val="00F93391"/>
    <w:rsid w:val="00F95780"/>
    <w:rsid w:val="00F97736"/>
    <w:rsid w:val="00FA1185"/>
    <w:rsid w:val="00FA2A63"/>
    <w:rsid w:val="00FB0F11"/>
    <w:rsid w:val="00FB1225"/>
    <w:rsid w:val="00FB51C3"/>
    <w:rsid w:val="00FC1ADE"/>
    <w:rsid w:val="00FD2571"/>
    <w:rsid w:val="00FD2881"/>
    <w:rsid w:val="00FD729C"/>
    <w:rsid w:val="00FE5780"/>
    <w:rsid w:val="00FE7276"/>
    <w:rsid w:val="00FF10F6"/>
    <w:rsid w:val="00FF3D42"/>
    <w:rsid w:val="026D7067"/>
    <w:rsid w:val="031E51F2"/>
    <w:rsid w:val="03AB8E6E"/>
    <w:rsid w:val="04B02041"/>
    <w:rsid w:val="0704037C"/>
    <w:rsid w:val="0857C740"/>
    <w:rsid w:val="090C06D2"/>
    <w:rsid w:val="096C2F6F"/>
    <w:rsid w:val="0BBA57A9"/>
    <w:rsid w:val="0C1C7209"/>
    <w:rsid w:val="0E9D8D0D"/>
    <w:rsid w:val="0F3D484E"/>
    <w:rsid w:val="10AB83B5"/>
    <w:rsid w:val="1135A464"/>
    <w:rsid w:val="116E8A80"/>
    <w:rsid w:val="11ADEB4E"/>
    <w:rsid w:val="13231D9C"/>
    <w:rsid w:val="13A22997"/>
    <w:rsid w:val="13CB90AC"/>
    <w:rsid w:val="1413E83F"/>
    <w:rsid w:val="144E662F"/>
    <w:rsid w:val="1529540F"/>
    <w:rsid w:val="154D6F63"/>
    <w:rsid w:val="15A8FDFD"/>
    <w:rsid w:val="1AACC026"/>
    <w:rsid w:val="1BD49F51"/>
    <w:rsid w:val="1BEFDB89"/>
    <w:rsid w:val="1D4D8E51"/>
    <w:rsid w:val="1DF7D7E1"/>
    <w:rsid w:val="1DF86F59"/>
    <w:rsid w:val="1E47365E"/>
    <w:rsid w:val="21662918"/>
    <w:rsid w:val="217041AD"/>
    <w:rsid w:val="240E7F27"/>
    <w:rsid w:val="2717C1A1"/>
    <w:rsid w:val="27FB77B2"/>
    <w:rsid w:val="290CC234"/>
    <w:rsid w:val="2FD0D541"/>
    <w:rsid w:val="31A6BAAE"/>
    <w:rsid w:val="32E98C2A"/>
    <w:rsid w:val="32F89577"/>
    <w:rsid w:val="331EA908"/>
    <w:rsid w:val="33368E13"/>
    <w:rsid w:val="33A8BF51"/>
    <w:rsid w:val="3450D725"/>
    <w:rsid w:val="34AD8E35"/>
    <w:rsid w:val="34E2E45F"/>
    <w:rsid w:val="3568E0C6"/>
    <w:rsid w:val="35EBDD3D"/>
    <w:rsid w:val="3602A7BA"/>
    <w:rsid w:val="39342CA1"/>
    <w:rsid w:val="3BCDB011"/>
    <w:rsid w:val="3C9F77BD"/>
    <w:rsid w:val="3CD45315"/>
    <w:rsid w:val="3D359D99"/>
    <w:rsid w:val="3D74EECA"/>
    <w:rsid w:val="3E3B481E"/>
    <w:rsid w:val="4142C38A"/>
    <w:rsid w:val="419E2770"/>
    <w:rsid w:val="4270336B"/>
    <w:rsid w:val="42B9F078"/>
    <w:rsid w:val="42FC88C6"/>
    <w:rsid w:val="47C5D7B7"/>
    <w:rsid w:val="4990A870"/>
    <w:rsid w:val="4994026F"/>
    <w:rsid w:val="4A9C31FF"/>
    <w:rsid w:val="4C8F95E7"/>
    <w:rsid w:val="4DD671E4"/>
    <w:rsid w:val="4F49F355"/>
    <w:rsid w:val="4FE4F192"/>
    <w:rsid w:val="5054BAF4"/>
    <w:rsid w:val="5227E965"/>
    <w:rsid w:val="52DC1A75"/>
    <w:rsid w:val="54AF7295"/>
    <w:rsid w:val="5659F492"/>
    <w:rsid w:val="58301B33"/>
    <w:rsid w:val="58BAF6CD"/>
    <w:rsid w:val="5AEAFECD"/>
    <w:rsid w:val="5AF0297B"/>
    <w:rsid w:val="5F33EB44"/>
    <w:rsid w:val="602D1620"/>
    <w:rsid w:val="603B4F3A"/>
    <w:rsid w:val="604A2E7D"/>
    <w:rsid w:val="61202397"/>
    <w:rsid w:val="6164FAA5"/>
    <w:rsid w:val="6329C5FE"/>
    <w:rsid w:val="63677DDF"/>
    <w:rsid w:val="63907A60"/>
    <w:rsid w:val="63CFE1A9"/>
    <w:rsid w:val="6432F923"/>
    <w:rsid w:val="664E9ECD"/>
    <w:rsid w:val="670E9129"/>
    <w:rsid w:val="67BE3BF5"/>
    <w:rsid w:val="68718708"/>
    <w:rsid w:val="68D10B43"/>
    <w:rsid w:val="6A2F4A17"/>
    <w:rsid w:val="6AE56B2E"/>
    <w:rsid w:val="6B3CC569"/>
    <w:rsid w:val="6B8315FA"/>
    <w:rsid w:val="6BAD9165"/>
    <w:rsid w:val="6EA72BA4"/>
    <w:rsid w:val="6F32DFEA"/>
    <w:rsid w:val="6F3376C1"/>
    <w:rsid w:val="7012A095"/>
    <w:rsid w:val="707FA1C2"/>
    <w:rsid w:val="70E2E39C"/>
    <w:rsid w:val="721B7223"/>
    <w:rsid w:val="724BFB7A"/>
    <w:rsid w:val="73ACE72F"/>
    <w:rsid w:val="73C05DFF"/>
    <w:rsid w:val="758CB466"/>
    <w:rsid w:val="76960695"/>
    <w:rsid w:val="7866D1A0"/>
    <w:rsid w:val="7C32E16E"/>
    <w:rsid w:val="7ED0F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6E17"/>
  <w15:chartTrackingRefBased/>
  <w15:docId w15:val="{440FD0E7-7055-4B59-8E16-532D07BB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074"/>
    <w:rPr>
      <w:rFonts w:ascii="Arial" w:hAnsi="Arial"/>
      <w:sz w:val="20"/>
    </w:rPr>
  </w:style>
  <w:style w:type="paragraph" w:styleId="1">
    <w:name w:val="heading 1"/>
    <w:basedOn w:val="a"/>
    <w:next w:val="a"/>
    <w:link w:val="1Char"/>
    <w:uiPriority w:val="9"/>
    <w:qFormat/>
    <w:rsid w:val="00051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0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5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D729C"/>
    <w:rPr>
      <w:color w:val="808080"/>
    </w:rPr>
  </w:style>
  <w:style w:type="character" w:customStyle="1" w:styleId="1Char">
    <w:name w:val="العنوان 1 Char"/>
    <w:basedOn w:val="a0"/>
    <w:link w:val="1"/>
    <w:uiPriority w:val="9"/>
    <w:rsid w:val="00051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Revision"/>
    <w:hidden/>
    <w:uiPriority w:val="99"/>
    <w:semiHidden/>
    <w:rsid w:val="00C0228A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DA6AFF"/>
    <w:rPr>
      <w:sz w:val="16"/>
      <w:szCs w:val="16"/>
    </w:rPr>
  </w:style>
  <w:style w:type="paragraph" w:styleId="a7">
    <w:name w:val="annotation text"/>
    <w:basedOn w:val="a"/>
    <w:link w:val="Char"/>
    <w:uiPriority w:val="99"/>
    <w:unhideWhenUsed/>
    <w:rsid w:val="00DA6AFF"/>
    <w:pPr>
      <w:spacing w:line="240" w:lineRule="auto"/>
    </w:pPr>
    <w:rPr>
      <w:szCs w:val="20"/>
    </w:rPr>
  </w:style>
  <w:style w:type="character" w:customStyle="1" w:styleId="Char">
    <w:name w:val="نص تعليق Char"/>
    <w:basedOn w:val="a0"/>
    <w:link w:val="a7"/>
    <w:uiPriority w:val="99"/>
    <w:rsid w:val="00DA6AFF"/>
    <w:rPr>
      <w:rFonts w:ascii="Arial" w:hAnsi="Arial"/>
      <w:sz w:val="20"/>
      <w:szCs w:val="20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DA6AFF"/>
    <w:rPr>
      <w:b/>
      <w:bCs/>
    </w:rPr>
  </w:style>
  <w:style w:type="character" w:customStyle="1" w:styleId="Char0">
    <w:name w:val="موضوع تعليق Char"/>
    <w:basedOn w:val="Char"/>
    <w:link w:val="a8"/>
    <w:uiPriority w:val="99"/>
    <w:semiHidden/>
    <w:rsid w:val="00DA6AFF"/>
    <w:rPr>
      <w:rFonts w:ascii="Arial" w:hAnsi="Arial"/>
      <w:b/>
      <w:bCs/>
      <w:sz w:val="20"/>
      <w:szCs w:val="20"/>
    </w:rPr>
  </w:style>
  <w:style w:type="character" w:customStyle="1" w:styleId="2Char">
    <w:name w:val="عنوان 2 Char"/>
    <w:basedOn w:val="a0"/>
    <w:link w:val="2"/>
    <w:uiPriority w:val="9"/>
    <w:rsid w:val="00F70F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850A1559E724CAD00C081F2D04BAF" ma:contentTypeVersion="6" ma:contentTypeDescription="Create a new document." ma:contentTypeScope="" ma:versionID="75349a5e85931e37bb9df400c30ba415">
  <xsd:schema xmlns:xsd="http://www.w3.org/2001/XMLSchema" xmlns:xs="http://www.w3.org/2001/XMLSchema" xmlns:p="http://schemas.microsoft.com/office/2006/metadata/properties" xmlns:ns2="bad925ed-4220-44c3-9a7c-0046cc550845" xmlns:ns3="b014a33d-1a21-47b2-af41-942c97684f74" targetNamespace="http://schemas.microsoft.com/office/2006/metadata/properties" ma:root="true" ma:fieldsID="c75db39d9a7086a78fe4af6fe45d5ee8" ns2:_="" ns3:_="">
    <xsd:import namespace="bad925ed-4220-44c3-9a7c-0046cc550845"/>
    <xsd:import namespace="b014a33d-1a21-47b2-af41-942c97684f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d925ed-4220-44c3-9a7c-0046cc5508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4a33d-1a21-47b2-af41-942c97684f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2FD5F1-93B9-49B6-B602-6B19D16914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d925ed-4220-44c3-9a7c-0046cc550845"/>
    <ds:schemaRef ds:uri="b014a33d-1a21-47b2-af41-942c97684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8B3582-BB0F-4866-A18D-92A908F921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F25255-4184-4315-80D6-169E6A33D4D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965d95-ecc0-4720-b759-1f33c42ed7da}" enabled="1" method="Standard" siteId="{a0f29d7e-28cd-4f54-8442-7885aee7c08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Butrico</dc:creator>
  <cp:keywords/>
  <dc:description/>
  <cp:lastModifiedBy>Shatha Ali Mubarak AL khudhuri</cp:lastModifiedBy>
  <cp:revision>2</cp:revision>
  <dcterms:created xsi:type="dcterms:W3CDTF">2025-03-23T10:22:00Z</dcterms:created>
  <dcterms:modified xsi:type="dcterms:W3CDTF">2025-03-23T10:22:00Z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0x01010077F850A1559E724CAD00C081F2D04BAF</vt:lpwstr>
  </property>
  <property fmtid="{D5CDD505-2E9C-101B-9397-08002B2CF9AE}" pid="3" name="MediaServiceImageTags">
    <vt:lpwstr/>
  </property>
  <property fmtid="{D5CDD505-2E9C-101B-9397-08002B2CF9AE}" pid="4" name="MSIP_Label_95965d95-ecc0-4720-b759-1f33c42ed7da_Enabled">
    <vt:lpwstr>true</vt:lpwstr>
  </property>
  <property fmtid="{D5CDD505-2E9C-101B-9397-08002B2CF9AE}" pid="5" name="MSIP_Label_95965d95-ecc0-4720-b759-1f33c42ed7da_SetDate">
    <vt:lpwstr>2024-09-05T16:40:43Z</vt:lpwstr>
  </property>
  <property fmtid="{D5CDD505-2E9C-101B-9397-08002B2CF9AE}" pid="6" name="MSIP_Label_95965d95-ecc0-4720-b759-1f33c42ed7da_Method">
    <vt:lpwstr>Standard</vt:lpwstr>
  </property>
  <property fmtid="{D5CDD505-2E9C-101B-9397-08002B2CF9AE}" pid="7" name="MSIP_Label_95965d95-ecc0-4720-b759-1f33c42ed7da_Name">
    <vt:lpwstr>General</vt:lpwstr>
  </property>
  <property fmtid="{D5CDD505-2E9C-101B-9397-08002B2CF9AE}" pid="8" name="MSIP_Label_95965d95-ecc0-4720-b759-1f33c42ed7da_SiteId">
    <vt:lpwstr>a0f29d7e-28cd-4f54-8442-7885aee7c080</vt:lpwstr>
  </property>
  <property fmtid="{D5CDD505-2E9C-101B-9397-08002B2CF9AE}" pid="9" name="MSIP_Label_95965d95-ecc0-4720-b759-1f33c42ed7da_ActionId">
    <vt:lpwstr>65439351-5ac0-4142-a49e-3ac8453efaca</vt:lpwstr>
  </property>
  <property fmtid="{D5CDD505-2E9C-101B-9397-08002B2CF9AE}" pid="10" name="MSIP_Label_95965d95-ecc0-4720-b759-1f33c42ed7da_ContentBits">
    <vt:lpwstr>0</vt:lpwstr>
  </property>
</Properties>
</file>