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A3FA" w14:textId="77777777" w:rsidR="001F328A" w:rsidRDefault="001F328A" w:rsidP="001F328A">
      <w:pPr>
        <w:jc w:val="center"/>
        <w:rPr>
          <w:b/>
          <w:bCs/>
        </w:rPr>
      </w:pPr>
    </w:p>
    <w:p w14:paraId="3FEB3629" w14:textId="77777777" w:rsidR="001F328A" w:rsidRDefault="001F328A" w:rsidP="001F328A">
      <w:pPr>
        <w:jc w:val="center"/>
        <w:rPr>
          <w:b/>
          <w:bCs/>
        </w:rPr>
      </w:pPr>
    </w:p>
    <w:p w14:paraId="64851C00" w14:textId="77777777" w:rsidR="001F328A" w:rsidRDefault="001F328A" w:rsidP="001F328A">
      <w:pPr>
        <w:jc w:val="center"/>
        <w:rPr>
          <w:b/>
          <w:bCs/>
        </w:rPr>
      </w:pPr>
    </w:p>
    <w:p w14:paraId="6F76012B" w14:textId="77777777" w:rsidR="001F328A" w:rsidRDefault="001F328A" w:rsidP="001F328A">
      <w:pPr>
        <w:jc w:val="center"/>
        <w:rPr>
          <w:b/>
          <w:bCs/>
        </w:rPr>
      </w:pPr>
    </w:p>
    <w:p w14:paraId="33C85906" w14:textId="77777777" w:rsidR="001F328A" w:rsidRDefault="001F328A" w:rsidP="001F328A">
      <w:pPr>
        <w:jc w:val="center"/>
        <w:rPr>
          <w:b/>
          <w:bCs/>
        </w:rPr>
      </w:pPr>
    </w:p>
    <w:p w14:paraId="707B6A69" w14:textId="77777777" w:rsidR="001F328A" w:rsidRDefault="001F328A" w:rsidP="001F328A">
      <w:pPr>
        <w:jc w:val="center"/>
        <w:rPr>
          <w:b/>
          <w:bCs/>
        </w:rPr>
      </w:pPr>
    </w:p>
    <w:p w14:paraId="3BCE9730" w14:textId="77777777" w:rsidR="001F328A" w:rsidRDefault="001F328A" w:rsidP="001F328A">
      <w:pPr>
        <w:jc w:val="center"/>
        <w:rPr>
          <w:b/>
          <w:bCs/>
        </w:rPr>
      </w:pPr>
    </w:p>
    <w:p w14:paraId="0C7ABCF2" w14:textId="77777777" w:rsidR="001F328A" w:rsidRDefault="001F328A" w:rsidP="001F328A">
      <w:pPr>
        <w:jc w:val="center"/>
        <w:rPr>
          <w:b/>
          <w:bCs/>
        </w:rPr>
      </w:pPr>
    </w:p>
    <w:p w14:paraId="6E995AE9" w14:textId="77777777" w:rsidR="001F328A" w:rsidRDefault="001F328A" w:rsidP="001F328A">
      <w:pPr>
        <w:jc w:val="center"/>
        <w:rPr>
          <w:b/>
          <w:bCs/>
        </w:rPr>
      </w:pPr>
    </w:p>
    <w:p w14:paraId="455F0CE0" w14:textId="5BAF493C" w:rsidR="001F328A" w:rsidRDefault="001F328A" w:rsidP="001F328A">
      <w:pPr>
        <w:jc w:val="center"/>
        <w:rPr>
          <w:b/>
          <w:bCs/>
        </w:rPr>
      </w:pPr>
      <w:r w:rsidRPr="001F328A">
        <w:rPr>
          <w:b/>
          <w:bCs/>
        </w:rPr>
        <w:t>Residency Day 2</w:t>
      </w:r>
      <w:r>
        <w:rPr>
          <w:b/>
          <w:bCs/>
        </w:rPr>
        <w:t xml:space="preserve"> </w:t>
      </w:r>
      <w:r w:rsidRPr="001F328A">
        <w:rPr>
          <w:b/>
          <w:bCs/>
        </w:rPr>
        <w:t>Project Deliverable 3: Classification, Clustering, and Pattern Mining</w:t>
      </w:r>
    </w:p>
    <w:p w14:paraId="2695098D" w14:textId="77777777" w:rsidR="001F328A" w:rsidRDefault="001F328A" w:rsidP="001F328A">
      <w:pPr>
        <w:jc w:val="center"/>
        <w:rPr>
          <w:b/>
          <w:bCs/>
        </w:rPr>
      </w:pPr>
    </w:p>
    <w:p w14:paraId="18C358E5" w14:textId="77777777" w:rsidR="001F328A" w:rsidRPr="001F328A" w:rsidRDefault="001F328A" w:rsidP="001F328A">
      <w:pPr>
        <w:jc w:val="center"/>
      </w:pPr>
      <w:proofErr w:type="spellStart"/>
      <w:r w:rsidRPr="001F328A">
        <w:t>Uzer</w:t>
      </w:r>
      <w:proofErr w:type="spellEnd"/>
      <w:r w:rsidRPr="001F328A">
        <w:t xml:space="preserve"> Mohammed</w:t>
      </w:r>
    </w:p>
    <w:p w14:paraId="193612B3" w14:textId="77777777" w:rsidR="001F328A" w:rsidRPr="001F328A" w:rsidRDefault="001F328A" w:rsidP="001F328A">
      <w:pPr>
        <w:jc w:val="center"/>
      </w:pPr>
      <w:r w:rsidRPr="001F328A">
        <w:t>Advanced Big Data and Data Mining (MSCS-634-M20) - Full Term</w:t>
      </w:r>
    </w:p>
    <w:p w14:paraId="4A7817C5" w14:textId="77777777" w:rsidR="001F328A" w:rsidRPr="001F328A" w:rsidRDefault="001F328A" w:rsidP="001F328A">
      <w:pPr>
        <w:jc w:val="center"/>
      </w:pPr>
      <w:r w:rsidRPr="001F328A">
        <w:t>University of the Cumberlands</w:t>
      </w:r>
    </w:p>
    <w:p w14:paraId="7C34C9FD" w14:textId="77777777" w:rsidR="001F328A" w:rsidRPr="001F328A" w:rsidRDefault="001F328A" w:rsidP="001F328A">
      <w:pPr>
        <w:jc w:val="center"/>
      </w:pPr>
      <w:r w:rsidRPr="001F328A">
        <w:t xml:space="preserve">Dr. Satish </w:t>
      </w:r>
      <w:proofErr w:type="spellStart"/>
      <w:r w:rsidRPr="001F328A">
        <w:t>Penmatsa</w:t>
      </w:r>
      <w:proofErr w:type="spellEnd"/>
    </w:p>
    <w:p w14:paraId="1035DE8E" w14:textId="77777777" w:rsidR="001F328A" w:rsidRPr="001F328A" w:rsidRDefault="001F328A" w:rsidP="001F328A">
      <w:pPr>
        <w:jc w:val="center"/>
      </w:pPr>
      <w:r w:rsidRPr="001F328A">
        <w:t>July 25, 2026</w:t>
      </w:r>
    </w:p>
    <w:p w14:paraId="052EEF5F" w14:textId="77777777" w:rsidR="001F328A" w:rsidRPr="001F328A" w:rsidRDefault="001F328A" w:rsidP="001F328A">
      <w:pPr>
        <w:jc w:val="center"/>
      </w:pPr>
    </w:p>
    <w:p w14:paraId="77FCA761" w14:textId="77777777" w:rsidR="001F328A" w:rsidRPr="001F328A" w:rsidRDefault="001F328A" w:rsidP="001F328A">
      <w:pPr>
        <w:jc w:val="center"/>
      </w:pPr>
    </w:p>
    <w:p w14:paraId="6004C609" w14:textId="77777777" w:rsidR="001F328A" w:rsidRDefault="001F328A" w:rsidP="001F328A">
      <w:pPr>
        <w:jc w:val="center"/>
        <w:rPr>
          <w:b/>
          <w:bCs/>
        </w:rPr>
      </w:pPr>
    </w:p>
    <w:p w14:paraId="308D8BC4" w14:textId="77777777" w:rsidR="001F328A" w:rsidRDefault="001F328A" w:rsidP="001F328A">
      <w:pPr>
        <w:jc w:val="center"/>
        <w:rPr>
          <w:b/>
          <w:bCs/>
        </w:rPr>
      </w:pPr>
    </w:p>
    <w:p w14:paraId="0E9CD234" w14:textId="77777777" w:rsidR="001F328A" w:rsidRDefault="001F328A" w:rsidP="001F328A">
      <w:pPr>
        <w:jc w:val="center"/>
        <w:rPr>
          <w:b/>
          <w:bCs/>
        </w:rPr>
      </w:pPr>
    </w:p>
    <w:p w14:paraId="6885C5AD" w14:textId="77777777" w:rsidR="001F328A" w:rsidRDefault="001F328A" w:rsidP="001F328A">
      <w:pPr>
        <w:jc w:val="center"/>
        <w:rPr>
          <w:b/>
          <w:bCs/>
        </w:rPr>
      </w:pPr>
    </w:p>
    <w:p w14:paraId="08EBA32C" w14:textId="77777777" w:rsidR="001F328A" w:rsidRDefault="001F328A" w:rsidP="001F328A">
      <w:pPr>
        <w:jc w:val="center"/>
        <w:rPr>
          <w:b/>
          <w:bCs/>
        </w:rPr>
      </w:pPr>
    </w:p>
    <w:p w14:paraId="5DD9FCAD" w14:textId="77777777" w:rsidR="001F328A" w:rsidRDefault="001F328A" w:rsidP="001F328A">
      <w:pPr>
        <w:jc w:val="center"/>
        <w:rPr>
          <w:b/>
          <w:bCs/>
        </w:rPr>
      </w:pPr>
    </w:p>
    <w:p w14:paraId="49EC1C72" w14:textId="77777777" w:rsidR="001F328A" w:rsidRDefault="001F328A" w:rsidP="001F328A">
      <w:pPr>
        <w:jc w:val="center"/>
        <w:rPr>
          <w:b/>
          <w:bCs/>
        </w:rPr>
      </w:pPr>
    </w:p>
    <w:p w14:paraId="68958FB0" w14:textId="4CB52F07" w:rsidR="0068133B" w:rsidRDefault="001F328A" w:rsidP="001F328A">
      <w:pPr>
        <w:jc w:val="center"/>
        <w:rPr>
          <w:b/>
          <w:bCs/>
        </w:rPr>
      </w:pPr>
      <w:r w:rsidRPr="001F328A">
        <w:rPr>
          <w:b/>
          <w:bCs/>
        </w:rPr>
        <w:lastRenderedPageBreak/>
        <w:t>Deliverable 3: Classification, Clustering, and Pattern Mining</w:t>
      </w:r>
    </w:p>
    <w:p w14:paraId="2658A696" w14:textId="77777777" w:rsidR="001F328A" w:rsidRPr="001F328A" w:rsidRDefault="001F328A" w:rsidP="001F328A">
      <w:pPr>
        <w:rPr>
          <w:b/>
          <w:bCs/>
        </w:rPr>
      </w:pPr>
      <w:r w:rsidRPr="001F328A">
        <w:rPr>
          <w:b/>
          <w:bCs/>
        </w:rPr>
        <w:t>Introduction</w:t>
      </w:r>
    </w:p>
    <w:p w14:paraId="7E379664" w14:textId="6B06F287" w:rsidR="001F328A" w:rsidRPr="001F328A" w:rsidRDefault="001F328A" w:rsidP="001F328A">
      <w:pPr>
        <w:ind w:firstLine="720"/>
      </w:pPr>
      <w:r w:rsidRPr="001F328A">
        <w:t>In this analysis, the dataset of Wisconsin Breast Cancer was subjected to classification, clustering, hyperparameter tuning and association rule mining. The data set had 569 observations and 32 variables with 30 of those being numerical measurements of the tumour, along with one diagnosis code and one diagnosis label. There were 357 benign and 212 malignant cases in the target variable. There were no missing values found, so there was no need to impute missing values. Diagnosis was recoded as a binary target with 0 representing benign and 1 representing malignant cases. The data are split in an 80-20 stratified split consisting of 455 training records and 114 testing records. Proportions of benign and malignant were equal in both the training set and testing set.</w:t>
      </w:r>
    </w:p>
    <w:p w14:paraId="35916FAB" w14:textId="77777777" w:rsidR="001F328A" w:rsidRPr="001F328A" w:rsidRDefault="001F328A" w:rsidP="001F328A">
      <w:pPr>
        <w:rPr>
          <w:b/>
          <w:bCs/>
        </w:rPr>
      </w:pPr>
      <w:r w:rsidRPr="001F328A">
        <w:rPr>
          <w:b/>
          <w:bCs/>
        </w:rPr>
        <w:t>Classification Models</w:t>
      </w:r>
    </w:p>
    <w:p w14:paraId="21FAA0E5" w14:textId="7DC066D4" w:rsidR="001F328A" w:rsidRPr="001F328A" w:rsidRDefault="001F328A" w:rsidP="001F328A">
      <w:pPr>
        <w:ind w:firstLine="720"/>
      </w:pPr>
      <w:r w:rsidRPr="001F328A">
        <w:t>The models developed were a Decision Tree and Support Vector Machine (SVM). The Decision Tree was chosen because the rules used are relatively easy to read and understand and are useful if the user would like to know how the prediction is made. Maximum depth of 4 and minimum of 4 observations per leaf were made for the model. To minimize the impact of the imbalance in numbers of benign and malignant cases, class balancing was also performed.</w:t>
      </w:r>
      <w:r>
        <w:t xml:space="preserve"> </w:t>
      </w:r>
      <w:r w:rsidRPr="001F328A">
        <w:t xml:space="preserve">The Decision Tree was able to classify about 91.23% of the test observations correctly, with an accuracy of 0.9123. Its F1 score was 0.8750, while its ROC-AUC score was 0.9005. The model was able to classify 69 out of 72 benign observations and 35 out of 42 malignant observations correctly. It misdiagnosed three patients with benign conditions as having malignant conditions, and seven patients with malignant conditions as having benign conditions. The malignant-class recall of the model was 0.83, indicating that it identified around 83% of the malignant cases. While the performance was not outstanding, seven false-negative results are of significance because the absence of a diagnosis of a malignant case </w:t>
      </w:r>
      <w:r w:rsidRPr="001F328A">
        <w:lastRenderedPageBreak/>
        <w:t>may have important implications in a healthcare environment.</w:t>
      </w:r>
      <w:r>
        <w:t xml:space="preserve"> </w:t>
      </w:r>
      <w:r w:rsidRPr="001F328A">
        <w:t xml:space="preserve">The second classification model was a radial basis function kernel based SVM. As SVM performance is sensitive to the scale of the features, features were standardized in a </w:t>
      </w:r>
      <w:proofErr w:type="spellStart"/>
      <w:r w:rsidRPr="001F328A">
        <w:t>modeling</w:t>
      </w:r>
      <w:proofErr w:type="spellEnd"/>
      <w:r w:rsidRPr="001F328A">
        <w:t xml:space="preserve"> pipeline. This method ensured that the scaler was applied only to the training data and avoided any data leakage. Additionally, the SVM also employed class balancing to compensate for the disparity between the observations in the benign and malignant classes.</w:t>
      </w:r>
    </w:p>
    <w:p w14:paraId="26FB2F29" w14:textId="77777777" w:rsidR="001F328A" w:rsidRPr="001F328A" w:rsidRDefault="001F328A" w:rsidP="001F328A">
      <w:pPr>
        <w:rPr>
          <w:b/>
          <w:bCs/>
        </w:rPr>
      </w:pPr>
      <w:r w:rsidRPr="001F328A">
        <w:rPr>
          <w:b/>
          <w:bCs/>
        </w:rPr>
        <w:t>Hyperparameter Tuning</w:t>
      </w:r>
    </w:p>
    <w:p w14:paraId="51F11237" w14:textId="5A9F4C96" w:rsidR="001F328A" w:rsidRPr="001F328A" w:rsidRDefault="001F328A" w:rsidP="001F328A">
      <w:pPr>
        <w:ind w:firstLine="720"/>
      </w:pPr>
      <w:r w:rsidRPr="001F328A">
        <w:t xml:space="preserve">The SVM was tuned using </w:t>
      </w:r>
      <w:proofErr w:type="spellStart"/>
      <w:r w:rsidRPr="001F328A">
        <w:t>GridSearchCV</w:t>
      </w:r>
      <w:proofErr w:type="spellEnd"/>
      <w:r w:rsidRPr="001F328A">
        <w:t xml:space="preserve"> with stratified 5-fold cross-validation. Different values of regularization parameter C and the kernel coefficient gamma were tested. The tested C values were 0.1, 1, 10, and 100, while the tested gamma values were “scale,” 0.001, 0.01, and 0.1. The F1 score was used to tune the algorithm because it is a balance of precision and recall, and is especially suitable for situations where the loss of a malignant case is a concern.</w:t>
      </w:r>
      <w:r>
        <w:t xml:space="preserve"> </w:t>
      </w:r>
      <w:r w:rsidRPr="001F328A">
        <w:t>The tuning process resulted in a C=10 RBF kernel, and a gamma of 0.01. This resulted in a cross validation F1 score of 0.9730. The parameter C=10 meant that the model assigned a relatively high penalty to classification inaccuracies and gamma=0.01 meant that each training observation played a moderate role in the decision boundary and contributed to a smooth nonlinear decision boundary.</w:t>
      </w:r>
    </w:p>
    <w:p w14:paraId="2854A292" w14:textId="77777777" w:rsidR="001F328A" w:rsidRPr="001F328A" w:rsidRDefault="001F328A" w:rsidP="001F328A">
      <w:pPr>
        <w:rPr>
          <w:b/>
          <w:bCs/>
        </w:rPr>
      </w:pPr>
      <w:r w:rsidRPr="001F328A">
        <w:rPr>
          <w:b/>
          <w:bCs/>
        </w:rPr>
        <w:t>Classification Performance Evaluation</w:t>
      </w:r>
    </w:p>
    <w:p w14:paraId="519FB3A8" w14:textId="77777777" w:rsidR="001F328A" w:rsidRDefault="001F328A" w:rsidP="001F328A">
      <w:pPr>
        <w:ind w:firstLine="720"/>
      </w:pPr>
      <w:r w:rsidRPr="001F328A">
        <w:t>The tuned SVM significantly improved performance over the Decision Tree. It achieved an accuracy of 0.9912, an F1 score of 0.9880, and an ROC-AUC score of 0.9970. The result of the confusion matrix indicated that the SVM has correctly classified all 72 benign and 41 of 42 malignant cases. One malignant was misclassified as benign, but no benign were misclassified as malignant. The precision of the malignant class was 1.00, the recall of the same was 0.98 while the F1 score was 0.99.</w:t>
      </w:r>
      <w:r>
        <w:t xml:space="preserve"> </w:t>
      </w:r>
    </w:p>
    <w:p w14:paraId="7D46997B" w14:textId="76BC10CA" w:rsidR="001F328A" w:rsidRPr="001F328A" w:rsidRDefault="001F328A" w:rsidP="001F328A">
      <w:pPr>
        <w:ind w:firstLine="720"/>
      </w:pPr>
      <w:r w:rsidRPr="001F328A">
        <w:lastRenderedPageBreak/>
        <w:t>The ROC curves also confirmed the better performance of the SVM. The ROC-AUC of the Decision Tree was 0.9005 and the tuned SVM was 0.9970. ROC-AUC values close to 1.00 are ideal and suggest that the model holds a good capacity to separate between benign and malignant cases at various cut-off points. From the accuracy, F1 score, confusion matrix results and ROC-AUC, SVM with tuned parameters proved to be the best classification model in this study. This performance was measured on a relatively small holdout set though and further validation with external data would be required for any potential clinical application.</w:t>
      </w:r>
    </w:p>
    <w:p w14:paraId="187AF74D" w14:textId="77777777" w:rsidR="001F328A" w:rsidRPr="001F328A" w:rsidRDefault="001F328A" w:rsidP="001F328A">
      <w:pPr>
        <w:rPr>
          <w:b/>
          <w:bCs/>
        </w:rPr>
      </w:pPr>
      <w:r w:rsidRPr="001F328A">
        <w:rPr>
          <w:b/>
          <w:bCs/>
        </w:rPr>
        <w:t>Clustering Model</w:t>
      </w:r>
    </w:p>
    <w:p w14:paraId="28E8313F" w14:textId="761FD0BB" w:rsidR="001F328A" w:rsidRPr="001F328A" w:rsidRDefault="001F328A" w:rsidP="001F328A">
      <w:pPr>
        <w:ind w:firstLine="720"/>
      </w:pPr>
      <w:r w:rsidRPr="001F328A">
        <w:t xml:space="preserve">During model training, the labels of the diagnosis were not used to identify natural groups within the measurements of </w:t>
      </w:r>
      <w:proofErr w:type="spellStart"/>
      <w:r w:rsidRPr="001F328A">
        <w:t>tumors</w:t>
      </w:r>
      <w:proofErr w:type="spellEnd"/>
      <w:r w:rsidRPr="001F328A">
        <w:t>, but rather by using K-Means clustering. Since K-Means relies on distances to place observations in clusters, all 30 predictor variables were standardized prior to the clustering. If these variables had not been standardised, variables measured on a larger scale (e.g. tumour area, tumour perimeter) might have been more influential in the clusters.</w:t>
      </w:r>
      <w:r>
        <w:t xml:space="preserve"> </w:t>
      </w:r>
      <w:r w:rsidRPr="001F328A">
        <w:t xml:space="preserve">Two to 6 clusters were tested for their models with the silhouette score. The cluster solution with the highest silhouette score was the two-cluster solution with a value of 0.3450. The scores for three, four, five, and six clusters were 0.3144, 0.2803, 0.1585, and 0.1604, respectively. Therefore, a 2-cluster solution was kept as the most appropriate one. The silhouette score is 0.3450, which is considered moderate. </w:t>
      </w:r>
      <w:proofErr w:type="gramStart"/>
      <w:r w:rsidRPr="001F328A">
        <w:t>So</w:t>
      </w:r>
      <w:proofErr w:type="gramEnd"/>
      <w:r w:rsidRPr="001F328A">
        <w:t xml:space="preserve"> the groups have a </w:t>
      </w:r>
      <w:proofErr w:type="spellStart"/>
      <w:r w:rsidRPr="001F328A">
        <w:t>discernable</w:t>
      </w:r>
      <w:proofErr w:type="spellEnd"/>
      <w:r w:rsidRPr="001F328A">
        <w:t xml:space="preserve"> trend, however they do overlap.</w:t>
      </w:r>
    </w:p>
    <w:p w14:paraId="6EB60272" w14:textId="77777777" w:rsidR="001F328A" w:rsidRPr="001F328A" w:rsidRDefault="001F328A" w:rsidP="001F328A">
      <w:pPr>
        <w:rPr>
          <w:b/>
          <w:bCs/>
        </w:rPr>
      </w:pPr>
      <w:r w:rsidRPr="001F328A">
        <w:rPr>
          <w:b/>
          <w:bCs/>
        </w:rPr>
        <w:t>Interpretation of the Identified Clusters</w:t>
      </w:r>
    </w:p>
    <w:p w14:paraId="4E1877E2" w14:textId="77777777" w:rsidR="001F328A" w:rsidRDefault="001F328A" w:rsidP="001F328A">
      <w:pPr>
        <w:ind w:firstLine="720"/>
      </w:pPr>
      <w:r w:rsidRPr="001F328A">
        <w:t xml:space="preserve">There were 175 malignant and 14 benign cases in Cluster 0, with 189 observations. The rate of </w:t>
      </w:r>
      <w:proofErr w:type="spellStart"/>
      <w:r w:rsidRPr="001F328A">
        <w:t>maligant</w:t>
      </w:r>
      <w:proofErr w:type="spellEnd"/>
      <w:r w:rsidRPr="001F328A">
        <w:t xml:space="preserve"> progression of its growth was about 92.59%. These were the most extreme features in this cluster: mean concave points, worst concave points, mean concavity, worst perimeter and worst concavity. The results suggest that the Cluster 0 observations were </w:t>
      </w:r>
      <w:r w:rsidRPr="001F328A">
        <w:lastRenderedPageBreak/>
        <w:t xml:space="preserve">those with relatively poor </w:t>
      </w:r>
      <w:proofErr w:type="spellStart"/>
      <w:r w:rsidRPr="001F328A">
        <w:t>tumor</w:t>
      </w:r>
      <w:proofErr w:type="spellEnd"/>
      <w:r w:rsidRPr="001F328A">
        <w:t xml:space="preserve"> features, particularly with regard to the irregular shape of </w:t>
      </w:r>
      <w:proofErr w:type="spellStart"/>
      <w:r w:rsidRPr="001F328A">
        <w:t>tumor</w:t>
      </w:r>
      <w:proofErr w:type="spellEnd"/>
      <w:r w:rsidRPr="001F328A">
        <w:t xml:space="preserve"> margins, concavity and </w:t>
      </w:r>
      <w:proofErr w:type="spellStart"/>
      <w:r w:rsidRPr="001F328A">
        <w:t>tumor</w:t>
      </w:r>
      <w:proofErr w:type="spellEnd"/>
      <w:r w:rsidRPr="001F328A">
        <w:t xml:space="preserve"> size.</w:t>
      </w:r>
      <w:r>
        <w:t xml:space="preserve"> </w:t>
      </w:r>
      <w:r w:rsidRPr="001F328A">
        <w:t xml:space="preserve">Thirty-eighty observations were recorded in cluster 1, with 343 of the cases being benign and 37 being malignant. About 9.74% of </w:t>
      </w:r>
      <w:proofErr w:type="spellStart"/>
      <w:r w:rsidRPr="001F328A">
        <w:t>it's</w:t>
      </w:r>
      <w:proofErr w:type="spellEnd"/>
      <w:r w:rsidRPr="001F328A">
        <w:t xml:space="preserve"> malignancy. This cluster had lower values of mean concave points, worst concave points, mean concavity, worst perimeter, and worst concavity. The general tendency was that Cluster 1 was associated with less severe characteristics of </w:t>
      </w:r>
      <w:proofErr w:type="spellStart"/>
      <w:r w:rsidRPr="001F328A">
        <w:t>tumors</w:t>
      </w:r>
      <w:proofErr w:type="spellEnd"/>
      <w:r w:rsidRPr="001F328A">
        <w:t xml:space="preserve"> and was strongly correlated with benign diagnoses, therefore.</w:t>
      </w:r>
    </w:p>
    <w:p w14:paraId="7CC0FC47" w14:textId="6C3526A5" w:rsidR="001F328A" w:rsidRPr="001F328A" w:rsidRDefault="001F328A" w:rsidP="001F328A">
      <w:pPr>
        <w:ind w:firstLine="720"/>
      </w:pPr>
      <w:r w:rsidRPr="001F328A">
        <w:t xml:space="preserve">The 30 features were standardized and were reduced to two using Principal Component Analysis so they can be visualized. The two components explained approximately 63.24% of the total variation in the data. The visualization revealed that the two K-Means clusters were generally similar to the high-risk and low-risk </w:t>
      </w:r>
      <w:proofErr w:type="spellStart"/>
      <w:r w:rsidRPr="001F328A">
        <w:t>tumor</w:t>
      </w:r>
      <w:proofErr w:type="spellEnd"/>
      <w:r w:rsidRPr="001F328A">
        <w:t xml:space="preserve"> profiles. However, the fact that benign was in Cluster 0 and malignant was in Cluster 1 proves that clustering cannot be used as a substitute for supervised classification or clinical diagnosis.</w:t>
      </w:r>
    </w:p>
    <w:p w14:paraId="67593246" w14:textId="77777777" w:rsidR="001F328A" w:rsidRPr="001F328A" w:rsidRDefault="001F328A" w:rsidP="001F328A">
      <w:pPr>
        <w:rPr>
          <w:b/>
          <w:bCs/>
        </w:rPr>
      </w:pPr>
      <w:r w:rsidRPr="001F328A">
        <w:rPr>
          <w:b/>
          <w:bCs/>
        </w:rPr>
        <w:t>Association Rule Mining</w:t>
      </w:r>
    </w:p>
    <w:p w14:paraId="0A60A41B" w14:textId="77777777" w:rsidR="001F328A" w:rsidRDefault="001F328A" w:rsidP="001F328A">
      <w:pPr>
        <w:ind w:firstLine="720"/>
      </w:pPr>
      <w:r w:rsidRPr="001F328A">
        <w:t xml:space="preserve">Association rule mining was done by using an </w:t>
      </w:r>
      <w:proofErr w:type="spellStart"/>
      <w:r w:rsidRPr="001F328A">
        <w:t>apriori</w:t>
      </w:r>
      <w:proofErr w:type="spellEnd"/>
      <w:r w:rsidRPr="001F328A">
        <w:t xml:space="preserve"> style procedure. 10 interpretable </w:t>
      </w:r>
      <w:proofErr w:type="spellStart"/>
      <w:r w:rsidRPr="001F328A">
        <w:t>tumor</w:t>
      </w:r>
      <w:proofErr w:type="spellEnd"/>
      <w:r w:rsidRPr="001F328A">
        <w:t xml:space="preserve"> measurements were chosen, such as mean radius, mean texture, mean concavity, mean concave points, worst radius, worst texture, worst perimeter, worst area, worst concavity, and worst concave points. Since </w:t>
      </w:r>
      <w:proofErr w:type="spellStart"/>
      <w:r w:rsidRPr="001F328A">
        <w:t>Apriori</w:t>
      </w:r>
      <w:proofErr w:type="spellEnd"/>
      <w:r w:rsidRPr="001F328A">
        <w:t xml:space="preserve"> works with categorical items, the continuous data for each measurement was transformed into “high” or “low” according to the median value. A minimum support was set to 0.10 and a minimum confidence to 0.70 to filter the rules. Only rules that had a lift greater than 1 were kept.</w:t>
      </w:r>
    </w:p>
    <w:p w14:paraId="10F253BD" w14:textId="77777777" w:rsidR="001F328A" w:rsidRDefault="001F328A" w:rsidP="001F328A">
      <w:r w:rsidRPr="001F328A">
        <w:t xml:space="preserve">The highest identified value for the worst area was associated with malignant diagnosis, as was the worst concavity value. This rule had support of 0.3427, confidence of 0.8784, and lift of 2.3575. The support value indicates that around 34.27% of all the records had high worst area, high worst concavity and the diagnosis of malignancy. Its confidence suggests about </w:t>
      </w:r>
      <w:r w:rsidRPr="001F328A">
        <w:lastRenderedPageBreak/>
        <w:t>87.84% of the observations having two high measures were malignant. The odds of malignancy were about 2.36 times greater for observations that met the rule compared to those of the general sampling.</w:t>
      </w:r>
    </w:p>
    <w:p w14:paraId="7AAD315C" w14:textId="3B8329FD" w:rsidR="001F328A" w:rsidRPr="001F328A" w:rsidRDefault="001F328A" w:rsidP="001F328A">
      <w:pPr>
        <w:ind w:firstLine="720"/>
      </w:pPr>
      <w:r w:rsidRPr="001F328A">
        <w:t xml:space="preserve">Another good rule was the high mean concavity and high worst area. It had support of 0.3409, confidence of 0.8778, and lift of 2.3561. The combination of high worst concavity and high worst radius resulted in a level of confidence of 0.8744 and lift of 2.3470. Likewise, the highest mean concavity (3.59) and highest worst radius (11.20) resulted in a confidence of 0.8739 and a lift of 2.3454. Overall, the patterns that were found all correlated the </w:t>
      </w:r>
      <w:proofErr w:type="spellStart"/>
      <w:r w:rsidRPr="001F328A">
        <w:t>tumor</w:t>
      </w:r>
      <w:proofErr w:type="spellEnd"/>
      <w:r w:rsidRPr="001F328A">
        <w:t xml:space="preserve"> size, concavity, perimeter, and concave-point measurements to the diagnosis of malignancy.</w:t>
      </w:r>
    </w:p>
    <w:p w14:paraId="614B8D68" w14:textId="77777777" w:rsidR="001F328A" w:rsidRPr="001F328A" w:rsidRDefault="001F328A" w:rsidP="001F328A">
      <w:pPr>
        <w:rPr>
          <w:b/>
          <w:bCs/>
        </w:rPr>
      </w:pPr>
      <w:r w:rsidRPr="001F328A">
        <w:rPr>
          <w:b/>
          <w:bCs/>
        </w:rPr>
        <w:t>Real-World Application of the Findings</w:t>
      </w:r>
    </w:p>
    <w:p w14:paraId="2A91C1A4" w14:textId="36165A2D" w:rsidR="001F328A" w:rsidRPr="001F328A" w:rsidRDefault="001F328A" w:rsidP="001F328A">
      <w:pPr>
        <w:ind w:firstLine="720"/>
      </w:pPr>
      <w:r w:rsidRPr="001F328A">
        <w:t>The adaptive SVM model can be applied as a machine-learning decision-support system for clinical observations that need immediate attention. Its high recall for malignant cases suggests that it could help prioritize patients for additional testing. Furthermore, the Decision Tree could be useful if the interpretability is more important, as its predictions can be translated to understandable decision rules. But, when the main goal is predictive performance, the SVM should be chosen.</w:t>
      </w:r>
      <w:r>
        <w:t xml:space="preserve"> </w:t>
      </w:r>
      <w:r w:rsidRPr="001F328A">
        <w:t xml:space="preserve">The clustering model could be used to patient segment, or split the observations into higher-risk and lower-risk groups of tumour attributes. In the healthcare industry, these clusters could help analysts study the typical </w:t>
      </w:r>
      <w:proofErr w:type="spellStart"/>
      <w:r w:rsidRPr="001F328A">
        <w:t>tumor</w:t>
      </w:r>
      <w:proofErr w:type="spellEnd"/>
      <w:r w:rsidRPr="001F328A">
        <w:t xml:space="preserve"> characteristics, prioritize healthcare resources or pinpoint atypical cases that do not fall into the diagnosed category. Another advantage of the association rules is that it provides additional interpretability in that you can see which rules are associated with the malignant diagnosis. For instance, the cases with high worst area and high worst concavity might be marked for further investigation.</w:t>
      </w:r>
    </w:p>
    <w:p w14:paraId="41F004B0" w14:textId="77777777" w:rsidR="001F328A" w:rsidRDefault="001F328A" w:rsidP="001F328A">
      <w:pPr>
        <w:rPr>
          <w:b/>
          <w:bCs/>
        </w:rPr>
      </w:pPr>
      <w:r w:rsidRPr="001F328A">
        <w:rPr>
          <w:b/>
          <w:bCs/>
        </w:rPr>
        <w:t>Conclusion</w:t>
      </w:r>
    </w:p>
    <w:p w14:paraId="250B5910" w14:textId="788FDBCB" w:rsidR="001F328A" w:rsidRDefault="001F328A" w:rsidP="001F328A">
      <w:pPr>
        <w:ind w:firstLine="720"/>
      </w:pPr>
      <w:r w:rsidRPr="001F328A">
        <w:lastRenderedPageBreak/>
        <w:t xml:space="preserve">The analysis was able to satisfy the classification, tuning, evaluation, cluster, visualization and association rule mining needs. The tuned SVM performed best with regard to classification model accuracy (99.12%), F1 (0.9880) and ROC-AUC (0.9970). High risk and low risk </w:t>
      </w:r>
      <w:proofErr w:type="spellStart"/>
      <w:r w:rsidRPr="001F328A">
        <w:t>tumor</w:t>
      </w:r>
      <w:proofErr w:type="spellEnd"/>
      <w:r w:rsidRPr="001F328A">
        <w:t xml:space="preserve"> profiles were roughly segregated into two clear but somewhat distinct groups by K-Means (high-risk and low-risk profiles). Association rule mining showed that the high values of these parameters (</w:t>
      </w:r>
      <w:proofErr w:type="spellStart"/>
      <w:r w:rsidRPr="001F328A">
        <w:t>tumor</w:t>
      </w:r>
      <w:proofErr w:type="spellEnd"/>
      <w:r w:rsidRPr="001F328A">
        <w:t xml:space="preserve"> area, radius, perimeter, </w:t>
      </w:r>
      <w:proofErr w:type="spellStart"/>
      <w:proofErr w:type="gramStart"/>
      <w:r w:rsidRPr="001F328A">
        <w:t>concavity,Concavity</w:t>
      </w:r>
      <w:proofErr w:type="spellEnd"/>
      <w:proofErr w:type="gramEnd"/>
      <w:r w:rsidRPr="001F328A">
        <w:t xml:space="preserve"> point) had a strong association with malignant diagnosis. These results illustrate the potential of using multiple data mining methods in a synergistic manner to facilitate risk identification, patient segmentation, and interpretable pattern discovery. However, the models should be considered as tools to assist medical diagnosis, and not as the medical diagnosis.</w:t>
      </w:r>
    </w:p>
    <w:p w14:paraId="4197A253" w14:textId="6BF19608" w:rsidR="001F328A" w:rsidRDefault="001F328A" w:rsidP="001F328A">
      <w:pPr>
        <w:rPr>
          <w:b/>
          <w:bCs/>
        </w:rPr>
      </w:pPr>
      <w:r w:rsidRPr="001F328A">
        <w:rPr>
          <w:b/>
          <w:bCs/>
        </w:rPr>
        <w:drawing>
          <wp:inline distT="0" distB="0" distL="0" distR="0" wp14:anchorId="2E158F51" wp14:editId="66647CFE">
            <wp:extent cx="5731510" cy="3630930"/>
            <wp:effectExtent l="0" t="0" r="2540" b="7620"/>
            <wp:docPr id="75512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21944" name=""/>
                    <pic:cNvPicPr/>
                  </pic:nvPicPr>
                  <pic:blipFill>
                    <a:blip r:embed="rId4"/>
                    <a:stretch>
                      <a:fillRect/>
                    </a:stretch>
                  </pic:blipFill>
                  <pic:spPr>
                    <a:xfrm>
                      <a:off x="0" y="0"/>
                      <a:ext cx="5731510" cy="3630930"/>
                    </a:xfrm>
                    <a:prstGeom prst="rect">
                      <a:avLst/>
                    </a:prstGeom>
                  </pic:spPr>
                </pic:pic>
              </a:graphicData>
            </a:graphic>
          </wp:inline>
        </w:drawing>
      </w:r>
    </w:p>
    <w:p w14:paraId="240E0497" w14:textId="1DD30E84" w:rsidR="001F328A" w:rsidRDefault="001F328A" w:rsidP="001F328A">
      <w:pPr>
        <w:rPr>
          <w:b/>
          <w:bCs/>
        </w:rPr>
      </w:pPr>
      <w:r w:rsidRPr="001F328A">
        <w:rPr>
          <w:b/>
          <w:bCs/>
        </w:rPr>
        <w:lastRenderedPageBreak/>
        <w:drawing>
          <wp:inline distT="0" distB="0" distL="0" distR="0" wp14:anchorId="44E09121" wp14:editId="1F80BE1C">
            <wp:extent cx="5731510" cy="3168650"/>
            <wp:effectExtent l="0" t="0" r="2540" b="0"/>
            <wp:docPr id="121207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71704" name=""/>
                    <pic:cNvPicPr/>
                  </pic:nvPicPr>
                  <pic:blipFill>
                    <a:blip r:embed="rId5"/>
                    <a:stretch>
                      <a:fillRect/>
                    </a:stretch>
                  </pic:blipFill>
                  <pic:spPr>
                    <a:xfrm>
                      <a:off x="0" y="0"/>
                      <a:ext cx="5731510" cy="3168650"/>
                    </a:xfrm>
                    <a:prstGeom prst="rect">
                      <a:avLst/>
                    </a:prstGeom>
                  </pic:spPr>
                </pic:pic>
              </a:graphicData>
            </a:graphic>
          </wp:inline>
        </w:drawing>
      </w:r>
    </w:p>
    <w:p w14:paraId="7C9F311A" w14:textId="38EF3B20" w:rsidR="001F328A" w:rsidRDefault="001F328A" w:rsidP="001F328A">
      <w:pPr>
        <w:rPr>
          <w:b/>
          <w:bCs/>
        </w:rPr>
      </w:pPr>
      <w:r w:rsidRPr="001F328A">
        <w:rPr>
          <w:b/>
          <w:bCs/>
        </w:rPr>
        <w:drawing>
          <wp:inline distT="0" distB="0" distL="0" distR="0" wp14:anchorId="4CBC1297" wp14:editId="1467C284">
            <wp:extent cx="5731510" cy="3815080"/>
            <wp:effectExtent l="0" t="0" r="2540" b="0"/>
            <wp:docPr id="77146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66832" name=""/>
                    <pic:cNvPicPr/>
                  </pic:nvPicPr>
                  <pic:blipFill>
                    <a:blip r:embed="rId6"/>
                    <a:stretch>
                      <a:fillRect/>
                    </a:stretch>
                  </pic:blipFill>
                  <pic:spPr>
                    <a:xfrm>
                      <a:off x="0" y="0"/>
                      <a:ext cx="5731510" cy="3815080"/>
                    </a:xfrm>
                    <a:prstGeom prst="rect">
                      <a:avLst/>
                    </a:prstGeom>
                  </pic:spPr>
                </pic:pic>
              </a:graphicData>
            </a:graphic>
          </wp:inline>
        </w:drawing>
      </w:r>
    </w:p>
    <w:p w14:paraId="25A6B118" w14:textId="7B448981" w:rsidR="001F328A" w:rsidRDefault="001F328A" w:rsidP="001F328A">
      <w:pPr>
        <w:rPr>
          <w:b/>
          <w:bCs/>
        </w:rPr>
      </w:pPr>
      <w:r w:rsidRPr="001F328A">
        <w:rPr>
          <w:b/>
          <w:bCs/>
        </w:rPr>
        <w:lastRenderedPageBreak/>
        <w:drawing>
          <wp:inline distT="0" distB="0" distL="0" distR="0" wp14:anchorId="0F5C0397" wp14:editId="701FE21F">
            <wp:extent cx="5731510" cy="3992880"/>
            <wp:effectExtent l="0" t="0" r="2540" b="7620"/>
            <wp:docPr id="96207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72469" name=""/>
                    <pic:cNvPicPr/>
                  </pic:nvPicPr>
                  <pic:blipFill>
                    <a:blip r:embed="rId7"/>
                    <a:stretch>
                      <a:fillRect/>
                    </a:stretch>
                  </pic:blipFill>
                  <pic:spPr>
                    <a:xfrm>
                      <a:off x="0" y="0"/>
                      <a:ext cx="5731510" cy="3992880"/>
                    </a:xfrm>
                    <a:prstGeom prst="rect">
                      <a:avLst/>
                    </a:prstGeom>
                  </pic:spPr>
                </pic:pic>
              </a:graphicData>
            </a:graphic>
          </wp:inline>
        </w:drawing>
      </w:r>
    </w:p>
    <w:p w14:paraId="4052651E" w14:textId="6945A4DF" w:rsidR="001F328A" w:rsidRDefault="001F328A" w:rsidP="001F328A">
      <w:pPr>
        <w:rPr>
          <w:b/>
          <w:bCs/>
        </w:rPr>
      </w:pPr>
      <w:r w:rsidRPr="001F328A">
        <w:rPr>
          <w:b/>
          <w:bCs/>
        </w:rPr>
        <w:lastRenderedPageBreak/>
        <w:drawing>
          <wp:inline distT="0" distB="0" distL="0" distR="0" wp14:anchorId="2FD2E54A" wp14:editId="2B4A314C">
            <wp:extent cx="5731510" cy="4717415"/>
            <wp:effectExtent l="0" t="0" r="2540" b="6985"/>
            <wp:docPr id="3123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2235" name=""/>
                    <pic:cNvPicPr/>
                  </pic:nvPicPr>
                  <pic:blipFill>
                    <a:blip r:embed="rId8"/>
                    <a:stretch>
                      <a:fillRect/>
                    </a:stretch>
                  </pic:blipFill>
                  <pic:spPr>
                    <a:xfrm>
                      <a:off x="0" y="0"/>
                      <a:ext cx="5731510" cy="4717415"/>
                    </a:xfrm>
                    <a:prstGeom prst="rect">
                      <a:avLst/>
                    </a:prstGeom>
                  </pic:spPr>
                </pic:pic>
              </a:graphicData>
            </a:graphic>
          </wp:inline>
        </w:drawing>
      </w:r>
    </w:p>
    <w:p w14:paraId="5A515E86" w14:textId="6AE071AC" w:rsidR="001F328A" w:rsidRDefault="001F328A" w:rsidP="001F328A">
      <w:pPr>
        <w:rPr>
          <w:b/>
          <w:bCs/>
        </w:rPr>
      </w:pPr>
      <w:r w:rsidRPr="001F328A">
        <w:rPr>
          <w:b/>
          <w:bCs/>
        </w:rPr>
        <w:drawing>
          <wp:inline distT="0" distB="0" distL="0" distR="0" wp14:anchorId="3F75CFCA" wp14:editId="08616F2E">
            <wp:extent cx="5731510" cy="2078355"/>
            <wp:effectExtent l="0" t="0" r="2540" b="0"/>
            <wp:docPr id="171159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91126" name=""/>
                    <pic:cNvPicPr/>
                  </pic:nvPicPr>
                  <pic:blipFill>
                    <a:blip r:embed="rId9"/>
                    <a:stretch>
                      <a:fillRect/>
                    </a:stretch>
                  </pic:blipFill>
                  <pic:spPr>
                    <a:xfrm>
                      <a:off x="0" y="0"/>
                      <a:ext cx="5731510" cy="2078355"/>
                    </a:xfrm>
                    <a:prstGeom prst="rect">
                      <a:avLst/>
                    </a:prstGeom>
                  </pic:spPr>
                </pic:pic>
              </a:graphicData>
            </a:graphic>
          </wp:inline>
        </w:drawing>
      </w:r>
    </w:p>
    <w:p w14:paraId="2ED37AFF" w14:textId="4D14F00C" w:rsidR="001F328A" w:rsidRDefault="001F328A" w:rsidP="001F328A">
      <w:pPr>
        <w:rPr>
          <w:b/>
          <w:bCs/>
        </w:rPr>
      </w:pPr>
      <w:r w:rsidRPr="001F328A">
        <w:rPr>
          <w:b/>
          <w:bCs/>
        </w:rPr>
        <w:lastRenderedPageBreak/>
        <w:drawing>
          <wp:inline distT="0" distB="0" distL="0" distR="0" wp14:anchorId="3749C950" wp14:editId="2AF9C250">
            <wp:extent cx="5731510" cy="1803400"/>
            <wp:effectExtent l="0" t="0" r="2540" b="6350"/>
            <wp:docPr id="149907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70416" name=""/>
                    <pic:cNvPicPr/>
                  </pic:nvPicPr>
                  <pic:blipFill>
                    <a:blip r:embed="rId10"/>
                    <a:stretch>
                      <a:fillRect/>
                    </a:stretch>
                  </pic:blipFill>
                  <pic:spPr>
                    <a:xfrm>
                      <a:off x="0" y="0"/>
                      <a:ext cx="5731510" cy="1803400"/>
                    </a:xfrm>
                    <a:prstGeom prst="rect">
                      <a:avLst/>
                    </a:prstGeom>
                  </pic:spPr>
                </pic:pic>
              </a:graphicData>
            </a:graphic>
          </wp:inline>
        </w:drawing>
      </w:r>
    </w:p>
    <w:p w14:paraId="02104DD2" w14:textId="17CAC6B2" w:rsidR="001F328A" w:rsidRDefault="001F328A" w:rsidP="001F328A">
      <w:pPr>
        <w:rPr>
          <w:b/>
          <w:bCs/>
        </w:rPr>
      </w:pPr>
      <w:r w:rsidRPr="001F328A">
        <w:rPr>
          <w:b/>
          <w:bCs/>
        </w:rPr>
        <w:drawing>
          <wp:inline distT="0" distB="0" distL="0" distR="0" wp14:anchorId="59356B23" wp14:editId="4C29C0FF">
            <wp:extent cx="5731510" cy="3015615"/>
            <wp:effectExtent l="0" t="0" r="2540" b="0"/>
            <wp:docPr id="115894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45828" name=""/>
                    <pic:cNvPicPr/>
                  </pic:nvPicPr>
                  <pic:blipFill>
                    <a:blip r:embed="rId11"/>
                    <a:stretch>
                      <a:fillRect/>
                    </a:stretch>
                  </pic:blipFill>
                  <pic:spPr>
                    <a:xfrm>
                      <a:off x="0" y="0"/>
                      <a:ext cx="5731510" cy="3015615"/>
                    </a:xfrm>
                    <a:prstGeom prst="rect">
                      <a:avLst/>
                    </a:prstGeom>
                  </pic:spPr>
                </pic:pic>
              </a:graphicData>
            </a:graphic>
          </wp:inline>
        </w:drawing>
      </w:r>
    </w:p>
    <w:p w14:paraId="706B6BCD" w14:textId="2B45B961" w:rsidR="001F328A" w:rsidRPr="001F328A" w:rsidRDefault="001F328A" w:rsidP="001F328A">
      <w:pPr>
        <w:rPr>
          <w:b/>
          <w:bCs/>
        </w:rPr>
      </w:pPr>
      <w:r w:rsidRPr="001F328A">
        <w:rPr>
          <w:b/>
          <w:bCs/>
        </w:rPr>
        <w:drawing>
          <wp:inline distT="0" distB="0" distL="0" distR="0" wp14:anchorId="2CE595AE" wp14:editId="5CAE7C67">
            <wp:extent cx="5731510" cy="3005455"/>
            <wp:effectExtent l="0" t="0" r="2540" b="4445"/>
            <wp:docPr id="174851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12662" name=""/>
                    <pic:cNvPicPr/>
                  </pic:nvPicPr>
                  <pic:blipFill>
                    <a:blip r:embed="rId12"/>
                    <a:stretch>
                      <a:fillRect/>
                    </a:stretch>
                  </pic:blipFill>
                  <pic:spPr>
                    <a:xfrm>
                      <a:off x="0" y="0"/>
                      <a:ext cx="5731510" cy="3005455"/>
                    </a:xfrm>
                    <a:prstGeom prst="rect">
                      <a:avLst/>
                    </a:prstGeom>
                  </pic:spPr>
                </pic:pic>
              </a:graphicData>
            </a:graphic>
          </wp:inline>
        </w:drawing>
      </w:r>
    </w:p>
    <w:sectPr w:rsidR="001F328A" w:rsidRPr="001F3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A"/>
    <w:rsid w:val="001117BC"/>
    <w:rsid w:val="001F328A"/>
    <w:rsid w:val="0068133B"/>
    <w:rsid w:val="0082131F"/>
    <w:rsid w:val="00E50B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8282"/>
  <w15:chartTrackingRefBased/>
  <w15:docId w15:val="{0E8EEA7C-C62A-49F4-99E4-C35D90333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2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2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32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32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32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32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32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2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2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F32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F32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32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32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32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3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2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2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32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328A"/>
    <w:rPr>
      <w:i/>
      <w:iCs/>
      <w:color w:val="404040" w:themeColor="text1" w:themeTint="BF"/>
    </w:rPr>
  </w:style>
  <w:style w:type="paragraph" w:styleId="ListParagraph">
    <w:name w:val="List Paragraph"/>
    <w:basedOn w:val="Normal"/>
    <w:uiPriority w:val="34"/>
    <w:qFormat/>
    <w:rsid w:val="001F328A"/>
    <w:pPr>
      <w:ind w:left="720"/>
      <w:contextualSpacing/>
    </w:pPr>
  </w:style>
  <w:style w:type="character" w:styleId="IntenseEmphasis">
    <w:name w:val="Intense Emphasis"/>
    <w:basedOn w:val="DefaultParagraphFont"/>
    <w:uiPriority w:val="21"/>
    <w:qFormat/>
    <w:rsid w:val="001F328A"/>
    <w:rPr>
      <w:i/>
      <w:iCs/>
      <w:color w:val="0F4761" w:themeColor="accent1" w:themeShade="BF"/>
    </w:rPr>
  </w:style>
  <w:style w:type="paragraph" w:styleId="IntenseQuote">
    <w:name w:val="Intense Quote"/>
    <w:basedOn w:val="Normal"/>
    <w:next w:val="Normal"/>
    <w:link w:val="IntenseQuoteChar"/>
    <w:uiPriority w:val="30"/>
    <w:qFormat/>
    <w:rsid w:val="001F3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28A"/>
    <w:rPr>
      <w:i/>
      <w:iCs/>
      <w:color w:val="0F4761" w:themeColor="accent1" w:themeShade="BF"/>
    </w:rPr>
  </w:style>
  <w:style w:type="character" w:styleId="IntenseReference">
    <w:name w:val="Intense Reference"/>
    <w:basedOn w:val="DefaultParagraphFont"/>
    <w:uiPriority w:val="32"/>
    <w:qFormat/>
    <w:rsid w:val="001F32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1652</Words>
  <Characters>9421</Characters>
  <Application>Microsoft Office Word</Application>
  <DocSecurity>0</DocSecurity>
  <Lines>78</Lines>
  <Paragraphs>22</Paragraphs>
  <ScaleCrop>false</ScaleCrop>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 user</dc:creator>
  <cp:keywords/>
  <dc:description/>
  <cp:lastModifiedBy>test user</cp:lastModifiedBy>
  <cp:revision>1</cp:revision>
  <dcterms:created xsi:type="dcterms:W3CDTF">2026-07-26T03:25:00Z</dcterms:created>
  <dcterms:modified xsi:type="dcterms:W3CDTF">2026-07-26T03:30:00Z</dcterms:modified>
</cp:coreProperties>
</file>