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2"/>
        </w:rPr>
        <w:t>SR UNIVERSITY</w:t>
      </w:r>
    </w:p>
    <w:p>
      <w:pPr>
        <w:spacing w:after="40"/>
        <w:jc w:val="center"/>
      </w:pPr>
      <w:r>
        <w:rPr>
          <w:b w:val="0"/>
          <w:color w:val="595959"/>
          <w:sz w:val="20"/>
        </w:rPr>
        <w:t>Department of Computer Science &amp; Artificial Intelligence (CS &amp; AI)</w:t>
      </w:r>
    </w:p>
    <w:p>
      <w:pPr>
        <w:spacing w:after="200"/>
        <w:jc w:val="center"/>
      </w:pPr>
      <w:r>
        <w:rPr>
          <w:b w:val="0"/>
          <w:color w:val="595959"/>
          <w:sz w:val="19"/>
        </w:rPr>
        <w:t>Professor: Sai Meghana Rao Eravelli</w:t>
      </w:r>
    </w:p>
    <w:p>
      <w:pPr>
        <w:spacing w:after="40"/>
        <w:jc w:val="center"/>
      </w:pPr>
      <w:r>
        <w:rPr>
          <w:b/>
          <w:color w:val="1F3864"/>
          <w:sz w:val="30"/>
        </w:rPr>
        <w:t>AI &amp; DEEP LEARNING PROJECT</w:t>
      </w:r>
    </w:p>
    <w:p>
      <w:pPr>
        <w:spacing w:after="160"/>
        <w:jc w:val="center"/>
      </w:pPr>
      <w:r>
        <w:rPr>
          <w:b w:val="0"/>
          <w:color w:val="2E74B5"/>
          <w:sz w:val="22"/>
        </w:rPr>
        <w:t>Project Proposal and Code Submission</w:t>
      </w:r>
    </w:p>
    <w:p>
      <w:pPr>
        <w:spacing w:before="240" w:after="100"/>
        <w:pBdr>
          <w:bottom w:val="single" w:sz="6" w:color="2E74B5" w:space="2"/>
        </w:pBdr>
      </w:pPr>
      <w:r>
        <w:rPr>
          <w:b/>
          <w:color w:val="1F3864"/>
          <w:sz w:val="26"/>
        </w:rPr>
        <w:t>1. Project Proposal Document</w:t>
      </w:r>
    </w:p>
    <w:p>
      <w:pPr>
        <w:spacing w:before="180" w:after="60"/>
      </w:pPr>
      <w:r>
        <w:rPr>
          <w:b/>
          <w:color w:val="2E74B5"/>
          <w:sz w:val="22"/>
        </w:rPr>
        <w:t>A. Student / Team Details</w:t>
      </w:r>
    </w:p>
    <w:tbl>
      <w:tblPr>
        <w:tblW w:type="auto" w:w="0"/>
        <w:jc w:val="center"/>
        <w:tblLayout w:type="fixed"/>
        <w:tblLook w:firstColumn="1" w:firstRow="1" w:lastColumn="0" w:lastRow="0" w:noHBand="0" w:noVBand="1" w:val="04A0"/>
      </w:tblPr>
      <w:tblGrid>
        <w:gridCol w:w="5040"/>
        <w:gridCol w:w="5040"/>
      </w:tblGrid>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Project Title</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SyllabiSense: AI for Course Coverage and Personalized Learning</w:t>
            </w:r>
          </w:p>
        </w:tc>
      </w:tr>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Student Name(s)</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Uzma Yasmeen</w:t>
            </w:r>
          </w:p>
        </w:tc>
      </w:tr>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Roll Number(s)</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2503A51L34 (Enrollment No.)</w:t>
            </w:r>
          </w:p>
        </w:tc>
      </w:tr>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Batch Number</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20 CSE</w:t>
            </w:r>
          </w:p>
        </w:tc>
      </w:tr>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Course</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AI &amp; Deep Learning</w:t>
            </w:r>
          </w:p>
        </w:tc>
      </w:tr>
      <w:tr>
        <w:tc>
          <w:tcPr>
            <w:tcW w:type="dxa" w:w="2304"/>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Submission Date</w:t>
            </w:r>
          </w:p>
        </w:tc>
        <w:tc>
          <w:tcPr>
            <w:tcW w:type="dxa" w:w="777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18 October 2026</w:t>
            </w:r>
          </w:p>
        </w:tc>
      </w:tr>
    </w:tbl>
    <w:p>
      <w:pPr>
        <w:spacing w:after="60"/>
      </w:pPr>
    </w:p>
    <w:p>
      <w:pPr>
        <w:spacing w:before="180" w:after="60"/>
      </w:pPr>
      <w:r>
        <w:rPr>
          <w:b/>
          <w:color w:val="2E74B5"/>
          <w:sz w:val="22"/>
        </w:rPr>
        <w:t>B. Project Title</w:t>
      </w:r>
    </w:p>
    <w:p>
      <w:pPr>
        <w:spacing w:after="100"/>
        <w:jc w:val="both"/>
      </w:pPr>
      <w:r>
        <w:rPr>
          <w:b w:val="0"/>
          <w:sz w:val="19"/>
        </w:rPr>
      </w:r>
      <w:r>
        <w:rPr>
          <w:b/>
          <w:sz w:val="19"/>
        </w:rPr>
        <w:t>SyllabiSense: AI for Course Coverage and Personalized Learning</w:t>
      </w:r>
      <w:r>
        <w:rPr>
          <w:b w:val="0"/>
          <w:sz w:val="19"/>
        </w:rPr>
      </w:r>
    </w:p>
    <w:p>
      <w:pPr>
        <w:spacing w:after="100"/>
        <w:jc w:val="both"/>
      </w:pPr>
      <w:r>
        <w:rPr>
          <w:b w:val="0"/>
          <w:sz w:val="19"/>
        </w:rPr>
        <w:t>Deep neural networks that check course material against a syllabus: for every topic they decide whether the material actually teaches it, cite the file and page as evidence, and turn the gaps into a personalised study order.</w:t>
      </w:r>
    </w:p>
    <w:p>
      <w:pPr>
        <w:spacing w:before="180" w:after="60"/>
      </w:pPr>
      <w:r>
        <w:rPr>
          <w:b/>
          <w:color w:val="2E74B5"/>
          <w:sz w:val="22"/>
        </w:rPr>
        <w:t>C. Why Did You Choose This Project?</w:t>
      </w:r>
    </w:p>
    <w:p>
      <w:pPr>
        <w:spacing w:after="100"/>
        <w:jc w:val="both"/>
      </w:pPr>
      <w:r>
        <w:rPr>
          <w:b w:val="0"/>
          <w:sz w:val="19"/>
        </w:rPr>
      </w:r>
      <w:r>
        <w:rPr>
          <w:b/>
          <w:sz w:val="19"/>
        </w:rPr>
        <w:t>Problem and importance.</w:t>
      </w:r>
      <w:r>
        <w:rPr>
          <w:b w:val="0"/>
          <w:sz w:val="19"/>
        </w:rPr>
        <w:t xml:space="preserve"> A university gives students a syllabus and, separately, a pile of study material — lecture PDFs, slide decks and notes. Students assume the two match. They often do not: a topic listed in the syllabus may be covered in depth, mentioned in a single line, or missing altogether, and this is usually discovered only while revising for the exam. Existing tools cannot help, because a document chatbot answers questions about the pages it is given and can never report that something is </w:t>
      </w:r>
      <w:r>
        <w:rPr>
          <w:b/>
          <w:sz w:val="19"/>
        </w:rPr>
        <w:t>missing</w:t>
      </w:r>
      <w:r>
        <w:rPr>
          <w:b w:val="0"/>
          <w:sz w:val="19"/>
        </w:rPr>
        <w:t xml:space="preserve"> — it has no idea what the syllabus promised.</w:t>
      </w:r>
    </w:p>
    <w:p>
      <w:pPr>
        <w:spacing w:after="100"/>
        <w:jc w:val="both"/>
      </w:pPr>
      <w:r>
        <w:rPr>
          <w:b w:val="0"/>
          <w:sz w:val="19"/>
        </w:rPr>
      </w:r>
      <w:r>
        <w:rPr>
          <w:b/>
          <w:sz w:val="19"/>
        </w:rPr>
        <w:t>Motivation, beneficiaries and outcome.</w:t>
      </w:r>
      <w:r>
        <w:rPr>
          <w:b w:val="0"/>
          <w:sz w:val="19"/>
        </w:rPr>
        <w:t xml:space="preserve"> I chose this project because detecting absence requires holding two documents against each other and judging every pairing between them, which is exactly what a neural network trained on (topic, page) pairs can learn. Students benefit by learning early which topics need outside material; faculty can check their own material against the syllabus before a semester begins, which is also the shape of the documentation required for accreditation. The expected outcome is a working application that reads a syllabus and a folder of material and reports every topic as properly taught, barely taught or not taught, with evidence and measured accuracy.</w:t>
      </w:r>
    </w:p>
    <w:p>
      <w:r>
        <w:br w:type="page"/>
      </w:r>
    </w:p>
    <w:p>
      <w:pPr>
        <w:spacing w:before="180" w:after="60"/>
      </w:pPr>
      <w:r>
        <w:rPr>
          <w:b/>
          <w:color w:val="2E74B5"/>
          <w:sz w:val="22"/>
        </w:rPr>
        <w:t>D. AI / Deep Learning Techniques Used</w:t>
      </w:r>
    </w:p>
    <w:tbl>
      <w:tblPr>
        <w:tblW w:type="auto" w:w="0"/>
        <w:jc w:val="center"/>
        <w:tblLayout w:type="fixed"/>
        <w:tblLook w:firstColumn="1" w:firstRow="1" w:lastColumn="0" w:lastRow="0" w:noHBand="0" w:noVBand="1" w:val="04A0"/>
      </w:tblPr>
      <w:tblGrid>
        <w:gridCol w:w="5040"/>
        <w:gridCol w:w="5040"/>
      </w:tblGrid>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Model / architecture being used</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 xml:space="preserve">Four trained networks. </w:t>
            </w:r>
            <w:r>
              <w:rPr>
                <w:b/>
                <w:sz w:val="18"/>
              </w:rPr>
              <w:t>Main model:</w:t>
            </w:r>
            <w:r>
              <w:rPr>
                <w:b w:val="0"/>
                <w:sz w:val="18"/>
              </w:rPr>
              <w:t xml:space="preserve"> fully connected ANN in TensorFlow/Keras (class built in train_ann.py): 387 → 256 → 64 → 1. </w:t>
            </w:r>
            <w:r>
              <w:rPr>
                <w:b/>
                <w:sz w:val="18"/>
              </w:rPr>
              <w:t>Also trained:</w:t>
            </w:r>
            <w:r>
              <w:rPr>
                <w:b w:val="0"/>
                <w:sz w:val="18"/>
              </w:rPr>
              <w:t xml:space="preserve"> a MiniLM transformer cross-encoder fine-tuned end to end (PyTorch, 22.7M parameters), a MobileNetV2 CNN for diagram detection, and a 3-class ANN for teaching depth.</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Reason for selecting the model</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The task is a judgement about a pair of texts, so the input is a fixed-length vector of pair features — dense layers suit it. The network is small, trains in under a minute on a CPU and scores 9,000 topic-page pairs in under a second, which the application needs. The transformer was trained as a controlled comparison and measured; it ranks better (AUC 0.835 vs 0.806) but is less accurate at a fixed threshold, so the ANN is deployed.</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Major layers used</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Input layer (387), Dense 256, Dropout 0.3, Dense 64, Dropout 0.2, Dense 1.</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Activation functions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ReLU after each hidden layer; sigmoid at the output.</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Optimizer and loss function</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 (learning rate 0.001); binary cross-entropy, with class weights.</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Input data and expected output</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Input: 387 numbers describing one (syllabus topic, material page) pair — TF-IDF reduced to 128 dimensions by truncated SVD for the topic and for the page, their product, plus cosine similarity, word overlap and page length. Output: one probability that the page is evidence for the topic.</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Role of ANN in the proposed system</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Scores every topic against every page. Pages above the calibrated threshold become the topic's evidence; a topic with no evidence is reported as a gap.</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Role of CNN in the proposed system</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Runs only on the pages the ANN already chose, and reports whether the topic is supported by a diagram or explained in words alone.</w:t>
            </w:r>
          </w:p>
        </w:tc>
      </w:tr>
    </w:tbl>
    <w:p>
      <w:pPr>
        <w:spacing w:after="60"/>
      </w:pPr>
    </w:p>
    <w:p>
      <w:pPr>
        <w:jc w:val="center"/>
      </w:pPr>
      <w:r>
        <w:drawing>
          <wp:inline xmlns:a="http://schemas.openxmlformats.org/drawingml/2006/main" xmlns:pic="http://schemas.openxmlformats.org/drawingml/2006/picture">
            <wp:extent cx="5029200" cy="2269879"/>
            <wp:docPr id="1" name="Picture 1"/>
            <wp:cNvGraphicFramePr>
              <a:graphicFrameLocks noChangeAspect="1"/>
            </wp:cNvGraphicFramePr>
            <a:graphic>
              <a:graphicData uri="http://schemas.openxmlformats.org/drawingml/2006/picture">
                <pic:pic>
                  <pic:nvPicPr>
                    <pic:cNvPr id="0" name="ann.png"/>
                    <pic:cNvPicPr/>
                  </pic:nvPicPr>
                  <pic:blipFill>
                    <a:blip r:embed="rId11"/>
                    <a:stretch>
                      <a:fillRect/>
                    </a:stretch>
                  </pic:blipFill>
                  <pic:spPr>
                    <a:xfrm>
                      <a:off x="0" y="0"/>
                      <a:ext cx="5029200" cy="2269879"/>
                    </a:xfrm>
                    <a:prstGeom prst="rect"/>
                  </pic:spPr>
                </pic:pic>
              </a:graphicData>
            </a:graphic>
          </wp:inline>
        </w:drawing>
      </w:r>
    </w:p>
    <w:p>
      <w:pPr>
        <w:spacing w:after="160"/>
        <w:jc w:val="center"/>
      </w:pPr>
      <w:r>
        <w:rPr>
          <w:i/>
          <w:color w:val="595959"/>
          <w:sz w:val="16"/>
        </w:rPr>
        <w:t>Figure 1 — ANN architecture (387-256-64-1).</w:t>
      </w:r>
    </w:p>
    <w:p>
      <w:pPr>
        <w:spacing w:before="180" w:after="60"/>
      </w:pPr>
      <w:r>
        <w:rPr>
          <w:b/>
          <w:color w:val="2E74B5"/>
          <w:sz w:val="22"/>
        </w:rPr>
        <w:t>ANN components in this project</w:t>
      </w:r>
    </w:p>
    <w:tbl>
      <w:tblPr>
        <w:tblW w:type="auto" w:w="0"/>
        <w:jc w:val="center"/>
        <w:tblLayout w:type="fixed"/>
        <w:tblLook w:firstColumn="1" w:firstRow="1" w:lastColumn="0" w:lastRow="0" w:noHBand="0" w:noVBand="1" w:val="04A0"/>
      </w:tblPr>
      <w:tblGrid>
        <w:gridCol w:w="5040"/>
        <w:gridCol w:w="5040"/>
      </w:tblGrid>
      <w:tr>
        <w:tc>
          <w:tcPr>
            <w:tcW w:type="dxa" w:w="259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Component</w:t>
            </w:r>
          </w:p>
        </w:tc>
        <w:tc>
          <w:tcPr>
            <w:tcW w:type="dxa" w:w="748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Implementation in the code</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Input layer</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387 features per (topic, page) pair: topic LSA 128, page LSA 128, elementwise product 128, cosine similarity, word overlap, page length.</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Hidden layers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Dense(256) → ReLU → Dropout(0.3) → Dense(64) → ReLU → Dropout(0.2).</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 layers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387×256 + 256×64 + 64×1 = 115,841 trainable parameters.</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Activation functions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ReLU (hidden), sigmoid (output).</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Output layer</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Dense(1) — probability that the page is evidence for the topic.</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Optimizer</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tf.keras.optimizers.Adam, lr = 0.001.</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Loss function</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binary_crossentropy, with class weights for the 1:2 class imbalance.</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Regularisation</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Dropout 0.3 / 0.2; early stopping on validation AUC (stopped at epoch 10 of 40).</w:t>
            </w:r>
          </w:p>
        </w:tc>
      </w:tr>
    </w:tbl>
    <w:p>
      <w:pPr>
        <w:spacing w:after="60"/>
      </w:pPr>
    </w:p>
    <w:p>
      <w:pPr>
        <w:spacing w:before="180" w:after="60"/>
      </w:pPr>
      <w:r>
        <w:rPr>
          <w:b/>
          <w:color w:val="2E74B5"/>
          <w:sz w:val="22"/>
        </w:rPr>
        <w:t>CNN components in this project</w:t>
      </w:r>
    </w:p>
    <w:tbl>
      <w:tblPr>
        <w:tblW w:type="auto" w:w="0"/>
        <w:jc w:val="center"/>
        <w:tblLayout w:type="fixed"/>
        <w:tblLook w:firstColumn="1" w:firstRow="1" w:lastColumn="0" w:lastRow="0" w:noHBand="0" w:noVBand="1" w:val="04A0"/>
      </w:tblPr>
      <w:tblGrid>
        <w:gridCol w:w="5040"/>
        <w:gridCol w:w="5040"/>
      </w:tblGrid>
      <w:tr>
        <w:tc>
          <w:tcPr>
            <w:tcW w:type="dxa" w:w="259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Component</w:t>
            </w:r>
          </w:p>
        </w:tc>
        <w:tc>
          <w:tcPr>
            <w:tcW w:type="dxa" w:w="748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Implementation in the code</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Input layer</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Page rendered to a 128 × 128 × 3 image.</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Convolutional base</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MobileNetV2 pretrained on ImageNet — convolution, ReLU and pooling throughout; frozen during training.</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Pooling</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GlobalAveragePooling2D over the final feature map.</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 layers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Dense(64) → ReLU → Dropout(0.4) → Dense(1) → sigmoid; 82,049 trainable parameters.</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Optimizer / loss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 (lr 0.001); binary cross-entropy.</w:t>
            </w:r>
          </w:p>
        </w:tc>
      </w:tr>
      <w:tr>
        <w:tc>
          <w:tcPr>
            <w:tcW w:type="dxa" w:w="259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Why transfer learning</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 CNN trained from scratch on 424 images reached 75% accuracy with recall 0.11 — it answered 'no diagram' almost always. Both runs are reported in Section 4.</w:t>
            </w:r>
          </w:p>
        </w:tc>
      </w:tr>
    </w:tbl>
    <w:p>
      <w:pPr>
        <w:spacing w:after="60"/>
      </w:pPr>
    </w:p>
    <w:p>
      <w:pPr>
        <w:jc w:val="center"/>
      </w:pPr>
      <w:r>
        <w:drawing>
          <wp:inline xmlns:a="http://schemas.openxmlformats.org/drawingml/2006/main" xmlns:pic="http://schemas.openxmlformats.org/drawingml/2006/picture">
            <wp:extent cx="5303520" cy="1831610"/>
            <wp:docPr id="2" name="Picture 2"/>
            <wp:cNvGraphicFramePr>
              <a:graphicFrameLocks noChangeAspect="1"/>
            </wp:cNvGraphicFramePr>
            <a:graphic>
              <a:graphicData uri="http://schemas.openxmlformats.org/drawingml/2006/picture">
                <pic:pic>
                  <pic:nvPicPr>
                    <pic:cNvPr id="0" name="cnn.png"/>
                    <pic:cNvPicPr/>
                  </pic:nvPicPr>
                  <pic:blipFill>
                    <a:blip r:embed="rId12"/>
                    <a:stretch>
                      <a:fillRect/>
                    </a:stretch>
                  </pic:blipFill>
                  <pic:spPr>
                    <a:xfrm>
                      <a:off x="0" y="0"/>
                      <a:ext cx="5303520" cy="1831610"/>
                    </a:xfrm>
                    <a:prstGeom prst="rect"/>
                  </pic:spPr>
                </pic:pic>
              </a:graphicData>
            </a:graphic>
          </wp:inline>
        </w:drawing>
      </w:r>
    </w:p>
    <w:p>
      <w:pPr>
        <w:spacing w:after="160"/>
        <w:jc w:val="center"/>
      </w:pPr>
      <w:r>
        <w:rPr>
          <w:i/>
          <w:color w:val="595959"/>
          <w:sz w:val="16"/>
        </w:rPr>
        <w:t>Figure 2 — CNN architecture (MobileNetV2 base + trained head).</w:t>
      </w:r>
    </w:p>
    <w:p>
      <w:r>
        <w:br w:type="page"/>
      </w:r>
    </w:p>
    <w:p>
      <w:pPr>
        <w:spacing w:before="180" w:after="60"/>
      </w:pPr>
      <w:r>
        <w:rPr>
          <w:b/>
          <w:color w:val="2E74B5"/>
          <w:sz w:val="22"/>
        </w:rPr>
        <w:t>E. Dataset Description</w:t>
      </w:r>
    </w:p>
    <w:tbl>
      <w:tblPr>
        <w:tblW w:type="auto" w:w="0"/>
        <w:jc w:val="center"/>
        <w:tblLayout w:type="fixed"/>
        <w:tblLook w:firstColumn="1" w:firstRow="1" w:lastColumn="0" w:lastRow="0" w:noHBand="0" w:noVBand="1" w:val="04A0"/>
      </w:tblPr>
      <w:tblGrid>
        <w:gridCol w:w="5040"/>
        <w:gridCol w:w="5040"/>
      </w:tblGrid>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Dataset name</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SyllabiSense (topic, page) pairs — built from scratch for this project.</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Dataset source / link</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NPTEL (nptel.ac.in) — 1,295 course syllabi; MIT OpenCourseWare (ocw.mit.edu, CC BY-NC-SA) — about 110 courses of lecture notes, problem sets and exams; OpenStax (openstax.org, CC BY) — 7 textbooks. Collected by tools/collect_nptel.py and tools/collect_ocw.py. Raw material: 7,133 PDFs, 100,414 pages, roughly 13 million words.</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Number of samples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17,887 labelled (topic, page) pairs.</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Number of classes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 — class 1 = the page is evidence for the topic (6,037); class 0 = it is not (11,850, made of 6,013 hard negatives from the same course and 5,837 easy negatives from an unrelated subject).</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Input features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387 numeric features per pair (listed in Section D); label column: label.</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Training / testing split</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r>
            <w:r>
              <w:rPr>
                <w:b/>
                <w:sz w:val="18"/>
              </w:rPr>
              <w:t>Split by subject area, never at random.</w:t>
            </w:r>
            <w:r>
              <w:rPr>
                <w:b w:val="0"/>
                <w:sz w:val="18"/>
              </w:rPr>
              <w:t xml:space="preserve"> Train 11,615 pairs from 12 non-computing areas (management, electrical, aerospace, economics, chemical engineering, civil, psychology, sociology, biology, mathematics, mechanical, physics); validation 775 (chemistry, humanities); test 5,497 from 109 Computer Science courses. No computing material appears anywhere in training.</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Human-verified labels</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 xml:space="preserve">Labels are generated automatically, so 300 pairs were re-labelled by hand through a screen that hides the automatic label. The automatic labels proved </w:t>
            </w:r>
            <w:r>
              <w:rPr>
                <w:b/>
                <w:sz w:val="18"/>
              </w:rPr>
              <w:t>84% correct</w:t>
            </w:r>
            <w:r>
              <w:rPr>
                <w:b w:val="0"/>
                <w:sz w:val="18"/>
              </w:rPr>
              <w:t>, so all headline accuracy is reported against the human labels as well. A further 101 topics and 576 page images were hand-labelled for the depth and CNN models.</w:t>
            </w:r>
          </w:p>
        </w:tc>
      </w:tr>
      <w:tr>
        <w:tc>
          <w:tcPr>
            <w:tcW w:type="dxa" w:w="2592"/>
            <w:shd w:val="clear" w:fill="EAF1F8"/>
            <w:tcBorders>
              <w:top w:val="single" w:sz="4" w:color="B7C7D9" w:space="2"/>
              <w:left w:val="single" w:sz="4" w:color="B7C7D9" w:space="2"/>
              <w:bottom w:val="single" w:sz="4" w:color="B7C7D9" w:space="2"/>
              <w:right w:val="single" w:sz="4" w:color="B7C7D9" w:space="2"/>
            </w:tcBorders>
          </w:tcPr>
          <w:p>
            <w:pPr>
              <w:spacing w:before="40" w:after="40"/>
            </w:pPr>
            <w:r/>
            <w:r>
              <w:rPr>
                <w:b/>
                <w:sz w:val="18"/>
              </w:rPr>
              <w:t>Brief description</w:t>
            </w:r>
          </w:p>
        </w:tc>
        <w:tc>
          <w:tcPr>
            <w:tcW w:type="dxa" w:w="74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 positive pair is a page that matches the topic's distinctive terms within a 30-word window. Contents pages, index pages, reference lists and unreadable scans are filtered out before pairs are formed.</w:t>
            </w:r>
          </w:p>
        </w:tc>
      </w:tr>
    </w:tbl>
    <w:p>
      <w:pPr>
        <w:spacing w:after="60"/>
      </w:pPr>
    </w:p>
    <w:p>
      <w:pPr>
        <w:spacing w:before="180" w:after="60"/>
      </w:pPr>
      <w:r>
        <w:rPr>
          <w:b/>
          <w:color w:val="2E74B5"/>
          <w:sz w:val="22"/>
        </w:rPr>
        <w:t>F. Proposed Methodology</w:t>
      </w:r>
    </w:p>
    <w:p>
      <w:pPr>
        <w:spacing w:after="100"/>
        <w:jc w:val="both"/>
      </w:pPr>
      <w:r>
        <w:rPr>
          <w:b w:val="0"/>
          <w:sz w:val="19"/>
        </w:rPr>
        <w:t>Workflow: Dataset → Data Preprocessing → Train/Test Split → Model Building → Model Training → Model Evaluation → Prediction.</w:t>
      </w:r>
    </w:p>
    <w:p>
      <w:pPr>
        <w:jc w:val="center"/>
      </w:pPr>
      <w:r>
        <w:drawing>
          <wp:inline xmlns:a="http://schemas.openxmlformats.org/drawingml/2006/main" xmlns:pic="http://schemas.openxmlformats.org/drawingml/2006/picture">
            <wp:extent cx="3749039" cy="3335287"/>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3749039" cy="3335287"/>
                    </a:xfrm>
                    <a:prstGeom prst="rect"/>
                  </pic:spPr>
                </pic:pic>
              </a:graphicData>
            </a:graphic>
          </wp:inline>
        </w:drawing>
      </w:r>
    </w:p>
    <w:p>
      <w:pPr>
        <w:spacing w:after="160"/>
        <w:jc w:val="center"/>
      </w:pPr>
      <w:r>
        <w:rPr>
          <w:i/>
          <w:color w:val="595959"/>
          <w:sz w:val="16"/>
        </w:rPr>
        <w:t>Figure 3 — overall project workflow.</w:t>
      </w:r>
    </w:p>
    <w:tbl>
      <w:tblPr>
        <w:tblW w:type="auto" w:w="0"/>
        <w:jc w:val="center"/>
        <w:tblLayout w:type="fixed"/>
        <w:tblLook w:firstColumn="1" w:firstRow="1" w:lastColumn="0" w:lastRow="0" w:noHBand="0" w:noVBand="1" w:val="04A0"/>
      </w:tblPr>
      <w:tblGrid>
        <w:gridCol w:w="5040"/>
        <w:gridCol w:w="5040"/>
      </w:tblGrid>
      <w:tr>
        <w:tc>
          <w:tcPr>
            <w:tcW w:type="dxa" w:w="216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Step</w:t>
            </w:r>
          </w:p>
        </w:tc>
        <w:tc>
          <w:tcPr>
            <w:tcW w:type="dxa" w:w="792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What is done</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Dataset</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Download 1,295 syllabi and ~110 courses of material; extract text per page, slide or section (tools/extract_text.py).</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 Preprocessing</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Drop navigation, contents, index, reference and unreadable pages; parse the syllabus into units and topics; fit TF-IDF (60,000 terms) and truncated SVD (128 dimensions) on the training split only.</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Train/Test Split</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By subject area: 12 areas train, 2 validate, Computer Science tests.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Building</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Define the 387-256-64-1 ANN; separately the cross-encoder, the depth ANN and the MobileNetV2 CNN.</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Training</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 (lr 0.001), binary cross-entropy, batch 64, class weights, early stopping on validation AUC.</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Evaluation</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Threshold chosen on validation and on human-labelled non-test items, never on the test set; accuracy, precision, recall, F1, ROC-AUC and confusion matrix on the unseen subject area.</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Prediction</w:t>
            </w:r>
          </w:p>
        </w:tc>
        <w:tc>
          <w:tcPr>
            <w:tcW w:type="dxa" w:w="79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Score a new syllabus against new material; group by unit; report each topic as properly taught, barely taught, not taught, or no material provided.</w:t>
            </w:r>
          </w:p>
        </w:tc>
      </w:tr>
    </w:tbl>
    <w:p>
      <w:pPr>
        <w:spacing w:after="60"/>
      </w:pPr>
    </w:p>
    <w:p>
      <w:pPr>
        <w:spacing w:before="180" w:after="60"/>
      </w:pPr>
      <w:r>
        <w:rPr>
          <w:b/>
          <w:color w:val="2E74B5"/>
          <w:sz w:val="22"/>
        </w:rPr>
        <w:t>G. Expected Outcome</w:t>
      </w:r>
    </w:p>
    <w:p>
      <w:pPr>
        <w:spacing w:after="100"/>
        <w:jc w:val="both"/>
      </w:pPr>
      <w:r>
        <w:rPr>
          <w:b w:val="0"/>
          <w:sz w:val="19"/>
        </w:rPr>
        <w:t xml:space="preserve">The final system accepts a syllabus and a folder of course material in PDF, PowerPoint or Word format, and produces a unit-by-unit report marking every syllabus topic as properly taught, barely taught or not taught, with the file and page quoted as evidence and a confidence score from the ANN. The CNN adds whether each covered topic is supported by a diagram. Files named by unit are judged only against their own unit, and a unit with no uploaded material is reported as </w:t>
      </w:r>
      <w:r>
        <w:rPr>
          <w:b/>
          <w:sz w:val="19"/>
        </w:rPr>
        <w:t>no material provided</w:t>
      </w:r>
      <w:r>
        <w:rPr>
          <w:b w:val="0"/>
          <w:sz w:val="19"/>
        </w:rPr>
        <w:t xml:space="preserve"> rather than as a gap in teaching. The output is a study guide and a coverage audit — not a claim about teaching quality.</w:t>
      </w:r>
    </w:p>
    <w:p>
      <w:r>
        <w:br w:type="page"/>
      </w:r>
    </w:p>
    <w:p>
      <w:pPr>
        <w:spacing w:before="240" w:after="100"/>
        <w:pBdr>
          <w:bottom w:val="single" w:sz="6" w:color="2E74B5" w:space="2"/>
        </w:pBdr>
      </w:pPr>
      <w:r>
        <w:rPr>
          <w:b/>
          <w:color w:val="1F3864"/>
          <w:sz w:val="26"/>
        </w:rPr>
        <w:t>2. Code Submission</w:t>
      </w:r>
    </w:p>
    <w:p>
      <w:pPr>
        <w:spacing w:after="100"/>
        <w:jc w:val="both"/>
      </w:pPr>
      <w:r>
        <w:rPr>
          <w:b w:val="0"/>
          <w:sz w:val="19"/>
        </w:rPr>
      </w:r>
      <w:r>
        <w:rPr>
          <w:b/>
          <w:sz w:val="19"/>
        </w:rPr>
        <w:t>Source files:</w:t>
      </w:r>
      <w:r>
        <w:rPr>
          <w:b w:val="0"/>
          <w:sz w:val="19"/>
        </w:rPr>
        <w:t xml:space="preserve"> app.py (Streamlit interface), analyze.py (command line), train_ann.py, train_crossencoder.py, train_cnn.py, train_depth.py (training), build_dataset.py, features_tfidf.py (dataset and features), diagrams.py, loaders.py, syllabus_topics.py, units.py, depth.py (libraries), evaluate_gold.py, evaluate_gold_ce.py, compare_fusion.py (evaluation), review_tool.py, image_review.py, depth_review.py (hand-labelling screens), requirements.txt, run_app.bat.</w:t>
      </w:r>
    </w:p>
    <w:tbl>
      <w:tblPr>
        <w:tblW w:type="auto" w:w="0"/>
        <w:jc w:val="center"/>
        <w:tblLayout w:type="fixed"/>
        <w:tblLook w:firstColumn="1" w:firstRow="1" w:lastColumn="0" w:lastRow="0" w:noHBand="0" w:noVBand="1" w:val="04A0"/>
      </w:tblPr>
      <w:tblGrid>
        <w:gridCol w:w="3360"/>
        <w:gridCol w:w="3360"/>
        <w:gridCol w:w="3360"/>
      </w:tblGrid>
      <w:tr>
        <w:tc>
          <w:tcPr>
            <w:tcW w:type="dxa" w:w="50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w:t>
            </w:r>
          </w:p>
        </w:tc>
        <w:tc>
          <w:tcPr>
            <w:tcW w:type="dxa" w:w="266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Required element</w:t>
            </w:r>
          </w:p>
        </w:tc>
        <w:tc>
          <w:tcPr>
            <w:tcW w:type="dxa" w:w="691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Location in the code</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Importing required libraries</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Top of train_ann.py (numpy, tensorflow, sklearn); app.py (streamlit); train_crossencoder.py (torch, transformers).</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Loading the dataset</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build_dataset.py writes dataset/pairs_{train,val,test}.csv; loaded in train_ann.py and evaluate_gold.py.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 preprocessing</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match.py (is_navigation, is_garbage, strip_references); features_tfidf.py (TF-IDF + truncated SVD); syllabus_topics.py (topics_with_units).</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4</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 visualization</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train_ann.py writes history.png, confusion_matrix.png and roc_curve.png; compare_fusion.py writes comparison.png; app.py shows per-unit metrics.</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5</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Train/test data splitting</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build_dataset.py — TEST_DOMAINS and VAL_DOMAINS split by subject area, not at random.</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6</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definition</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tf.keras.Sequential in train_ann.py; AutoModelForSequenceClassification in train_crossencoder.py.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7</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ANN architecture</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Dense(256) → Dropout → Dense(64) → Dropout → Dense(1) in train_ann.py.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CNN architecture</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MobileNetV2 base + GlobalAveragePooling2D + Dense(64) + Dropout(0.4) + Dense(1) in train_cnn.py.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9</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compilation</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model.compile(Adam(1e-3), 'binary_crossentropy', metrics=['accuracy', AUC]) in train_ann.py.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10</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training</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model.fit(...) with class_weight and EarlyStopping in train_ann.py; manual AdamW loop in train_crossencoder.py.</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11</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evaluation</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evaluate_gold.py and evaluate_gold_ce.py (human-verified labels); compare_fusion.py (five deployment rules).</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12</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Prediction / inference</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app.py and analyze.py — score a new syllabus against new material; diagrams.py runs the CNN on the chosen pages.</w:t>
            </w:r>
          </w:p>
        </w:tc>
      </w:tr>
      <w:tr>
        <w:tc>
          <w:tcPr>
            <w:tcW w:type="dxa" w:w="50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13</w:t>
            </w:r>
          </w:p>
        </w:tc>
        <w:tc>
          <w:tcPr>
            <w:tcW w:type="dxa" w:w="266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Saving and loading the model</w:t>
            </w:r>
          </w:p>
        </w:tc>
        <w:tc>
          <w:tcPr>
            <w:tcW w:type="dxa" w:w="69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results_tfidf/evidence_ann.keras, results_cnn/diagram_cnn.keras, results_crossencoder/model/, dataset/tfidf_model.joblib.</w:t>
            </w:r>
          </w:p>
        </w:tc>
      </w:tr>
    </w:tbl>
    <w:p>
      <w:pPr>
        <w:spacing w:after="60"/>
      </w:pPr>
    </w:p>
    <w:p>
      <w:r>
        <w:br w:type="page"/>
      </w:r>
    </w:p>
    <w:p>
      <w:pPr>
        <w:spacing w:before="240" w:after="100"/>
        <w:pBdr>
          <w:bottom w:val="single" w:sz="6" w:color="2E74B5" w:space="2"/>
        </w:pBdr>
      </w:pPr>
      <w:r>
        <w:rPr>
          <w:b/>
          <w:color w:val="1F3864"/>
          <w:sz w:val="26"/>
        </w:rPr>
        <w:t>3. Model Details</w:t>
      </w:r>
    </w:p>
    <w:p>
      <w:pPr>
        <w:spacing w:before="180" w:after="60"/>
      </w:pPr>
      <w:r>
        <w:rPr>
          <w:b/>
          <w:color w:val="2E74B5"/>
          <w:sz w:val="22"/>
        </w:rPr>
        <w:t>Main model — Evidence ANN</w:t>
      </w:r>
    </w:p>
    <w:tbl>
      <w:tblPr>
        <w:tblW w:type="auto" w:w="0"/>
        <w:jc w:val="center"/>
        <w:tblLayout w:type="fixed"/>
        <w:tblLook w:firstColumn="1" w:firstRow="1" w:lastColumn="0" w:lastRow="0" w:noHBand="0" w:noVBand="1" w:val="04A0"/>
      </w:tblPr>
      <w:tblGrid>
        <w:gridCol w:w="3360"/>
        <w:gridCol w:w="3360"/>
        <w:gridCol w:w="3360"/>
      </w:tblGrid>
      <w:tr>
        <w:tc>
          <w:tcPr>
            <w:tcW w:type="dxa" w:w="216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Parameter</w:t>
            </w:r>
          </w:p>
        </w:tc>
        <w:tc>
          <w:tcPr>
            <w:tcW w:type="dxa" w:w="331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Value</w:t>
            </w:r>
          </w:p>
        </w:tc>
        <w:tc>
          <w:tcPr>
            <w:tcW w:type="dxa" w:w="460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Purpose</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layers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 dense layers (2 hidden: 256, 64) plus input</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Enough capacity for 387 features without overfitting 11,615 rows.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neurons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387 – 256 – 64 – 1</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Narrowing funnel to a single probability.</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Kernel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Not applicable (ANN)</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No convolution in this model.</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Pooling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Not applicable</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No pooling in this model.</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Activation functions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ReLU (hidden), sigmoid (output)</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Non-linearity; output read as a probability.</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Learning rate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0.001</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Stable step size for Adam.</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Optimizer</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Adaptive learning rates, fast convergence on a small network.</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Loss function</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Binary cross-entropy</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Two-class problem; penalises confident errors.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Batch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64</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Smooth mini-batch updates.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epochs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10 of a maximum 40 (early stopping)</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Stopped when validation AUC stopped improving.</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Dropout rate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0.3 after the first hidden layer, 0.2 after the second</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Weak labels make overfitting easy; dropout limits it.</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Class weights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Applied (1 positive : 2 negatives)</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Keeps the network from always answering 'not evidence'.</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Decision threshold</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0.53 (tuned on human-labelled non-test items)</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Never tuned on the test set.</w:t>
            </w:r>
          </w:p>
        </w:tc>
      </w:tr>
    </w:tbl>
    <w:p>
      <w:pPr>
        <w:spacing w:after="60"/>
      </w:pPr>
    </w:p>
    <w:p>
      <w:pPr>
        <w:spacing w:before="180" w:after="60"/>
      </w:pPr>
      <w:r>
        <w:rPr>
          <w:b/>
          <w:color w:val="2E74B5"/>
          <w:sz w:val="22"/>
        </w:rPr>
        <w:t>Second model — Diagram CNN</w:t>
      </w:r>
    </w:p>
    <w:tbl>
      <w:tblPr>
        <w:tblW w:type="auto" w:w="0"/>
        <w:jc w:val="center"/>
        <w:tblLayout w:type="fixed"/>
        <w:tblLook w:firstColumn="1" w:firstRow="1" w:lastColumn="0" w:lastRow="0" w:noHBand="0" w:noVBand="1" w:val="04A0"/>
      </w:tblPr>
      <w:tblGrid>
        <w:gridCol w:w="3360"/>
        <w:gridCol w:w="3360"/>
        <w:gridCol w:w="3360"/>
      </w:tblGrid>
      <w:tr>
        <w:tc>
          <w:tcPr>
            <w:tcW w:type="dxa" w:w="216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Parameter</w:t>
            </w:r>
          </w:p>
        </w:tc>
        <w:tc>
          <w:tcPr>
            <w:tcW w:type="dxa" w:w="331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Value</w:t>
            </w:r>
          </w:p>
        </w:tc>
        <w:tc>
          <w:tcPr>
            <w:tcW w:type="dxa" w:w="460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Purpose</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layers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MobileNetV2 base (53 convolutional layers, frozen) + 2 dense</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Transfer learning: only the head is trained.</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neurons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GlobalAveragePooling → 64 → 1</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Small head for 424 training images.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Kernel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 × 3 and 1 × 1 (inside MobileNetV2)</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Standard MobileNetV2 blocks.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Pooling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Global average pooling over the final feature map</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Turns the feature map into 1,280 numbers.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Activation functions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ReLU (hidden), sigmoid (output)</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Probability of a diagram.</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Learning rate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0.001</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Head only; base is frozen.</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Optimizer</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Same as above.</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Loss function</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Binary cross-entropy</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Two classes: diagram / no diagram.</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Batch size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32</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Fits comfortably in memory with 128 × 128 images.</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Number of epochs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15 of a maximum 40 (early stopping)</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Stopped on validation AUC.</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Dropout rate</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0.4</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Small dataset; strong regularisation needed.</w:t>
            </w:r>
          </w:p>
        </w:tc>
      </w:tr>
      <w:tr>
        <w:tc>
          <w:tcPr>
            <w:tcW w:type="dxa" w:w="216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Trainable parameters</w:t>
            </w:r>
          </w:p>
        </w:tc>
        <w:tc>
          <w:tcPr>
            <w:tcW w:type="dxa" w:w="331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82,049</w:t>
            </w:r>
          </w:p>
        </w:tc>
        <w:tc>
          <w:tcPr>
            <w:tcW w:type="dxa" w:w="460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MobileNetV2's 2.2M base parameters stay frozen.</w:t>
            </w:r>
          </w:p>
        </w:tc>
      </w:tr>
    </w:tbl>
    <w:p>
      <w:pPr>
        <w:spacing w:after="60"/>
      </w:pPr>
    </w:p>
    <w:p>
      <w:pPr>
        <w:spacing w:before="240" w:after="100"/>
        <w:pBdr>
          <w:bottom w:val="single" w:sz="6" w:color="2E74B5" w:space="2"/>
        </w:pBdr>
      </w:pPr>
      <w:r>
        <w:rPr>
          <w:b/>
          <w:color w:val="1F3864"/>
          <w:sz w:val="26"/>
        </w:rPr>
        <w:t>4. Results</w:t>
      </w:r>
    </w:p>
    <w:p>
      <w:pPr>
        <w:spacing w:after="100"/>
        <w:jc w:val="both"/>
      </w:pPr>
      <w:r>
        <w:rPr>
          <w:b w:val="0"/>
          <w:sz w:val="19"/>
        </w:rPr>
        <w:t>All values below are produced by the code and stored in results_*/metrics.json. The test split is Computer Science — a subject area that appears nowhere in training.</w:t>
      </w:r>
    </w:p>
    <w:p>
      <w:pPr>
        <w:spacing w:before="180" w:after="60"/>
      </w:pPr>
      <w:r>
        <w:rPr>
          <w:b/>
          <w:color w:val="2E74B5"/>
          <w:sz w:val="22"/>
        </w:rPr>
        <w:t>4.1 Evidence ANN (main model)</w:t>
      </w:r>
    </w:p>
    <w:tbl>
      <w:tblPr>
        <w:tblW w:type="auto" w:w="0"/>
        <w:jc w:val="center"/>
        <w:tblLayout w:type="fixed"/>
        <w:tblLook w:firstColumn="1" w:firstRow="1" w:lastColumn="0" w:lastRow="0" w:noHBand="0" w:noVBand="1" w:val="04A0"/>
      </w:tblPr>
      <w:tblGrid>
        <w:gridCol w:w="3360"/>
        <w:gridCol w:w="3360"/>
        <w:gridCol w:w="3360"/>
      </w:tblGrid>
      <w:tr>
        <w:tc>
          <w:tcPr>
            <w:tcW w:type="dxa" w:w="2736"/>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Result</w:t>
            </w:r>
          </w:p>
        </w:tc>
        <w:tc>
          <w:tcPr>
            <w:tcW w:type="dxa" w:w="3456"/>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Value</w:t>
            </w:r>
          </w:p>
        </w:tc>
        <w:tc>
          <w:tcPr>
            <w:tcW w:type="dxa" w:w="388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Source / note</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Training accuracy</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97.8%</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Final epoch on the training split.</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Validation accuracy</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94.2%</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Chemistry and humanities; used for early stopping.</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Test accuracy</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r>
            <w:r>
              <w:rPr>
                <w:b/>
                <w:sz w:val="18"/>
              </w:rPr>
              <w:t>93.0%</w:t>
            </w:r>
            <w:r>
              <w:rPr>
                <w:b w:val="0"/>
                <w:sz w:val="18"/>
              </w:rPr>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5,497 unseen Computer Science pairs (automatic labels).</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Test accuracy (human-verified)</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r>
            <w:r>
              <w:rPr>
                <w:b/>
                <w:sz w:val="18"/>
              </w:rPr>
              <w:t>83.1%</w:t>
            </w:r>
            <w:r>
              <w:rPr>
                <w:b w:val="0"/>
                <w:sz w:val="18"/>
              </w:rPr>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201 pairs re-labelled by hand — the honest figure.</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Training / validation loss</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0.0864 / 0.1873</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Binary cross-entropy at the final epoch.</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Confusion matrix (test)</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TN 3538  FP 101  FN 282  TP 1576</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results_tfidf/confusion_matrix.png.</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Confusion matrix (human)</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TN 120  FP 17  FN 17  TP 47</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On the 201 hand-labelled pairs.</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Precision / Recall / F1 (test)</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0.940 / 0.848 / 0.892</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Automatic labels.</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Precision / Recall / F1 (human)</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0.734 / 0.734 / 0.734</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Hand-labelled; lower because automatic labels are 84% correct.</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ROC-AUC</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0.954 (test), 0.807 (human)</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results_tfidf/roc_curve.png.</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Accuracy vs. Epochs graph</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results_tfidf/history.png</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10 epochs before early stopping.</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Loss vs. Epochs graph</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results_tfidf/history.png</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Training and validation loss.</w:t>
            </w:r>
          </w:p>
        </w:tc>
      </w:tr>
      <w:tr>
        <w:tc>
          <w:tcPr>
            <w:tcW w:type="dxa" w:w="273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Prediction examples</w:t>
            </w:r>
          </w:p>
        </w:tc>
        <w:tc>
          <w:tcPr>
            <w:tcW w:type="dxa" w:w="345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CODE_SUBMISSION.pdf, step 6</w:t>
            </w:r>
          </w:p>
        </w:tc>
        <w:tc>
          <w:tcPr>
            <w:tcW w:type="dxa" w:w="388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The verdict for every topic of a real syllabus run against real lecture material, with the evidence page and the model's confidence quoted for each.</w:t>
            </w:r>
          </w:p>
        </w:tc>
      </w:tr>
    </w:tbl>
    <w:p>
      <w:pPr>
        <w:spacing w:after="60"/>
      </w:pPr>
    </w:p>
    <w:p>
      <w:pPr>
        <w:spacing w:before="180" w:after="60"/>
      </w:pPr>
      <w:r>
        <w:rPr>
          <w:b/>
          <w:color w:val="2E74B5"/>
          <w:sz w:val="22"/>
        </w:rPr>
        <w:t>4.2 Diagram CNN — and the from-scratch comparison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74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Approach</w:t>
            </w:r>
          </w:p>
        </w:tc>
        <w:tc>
          <w:tcPr>
            <w:tcW w:type="dxa" w:w="158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Test accuracy</w:t>
            </w:r>
          </w:p>
        </w:tc>
        <w:tc>
          <w:tcPr>
            <w:tcW w:type="dxa" w:w="158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Precision</w:t>
            </w:r>
          </w:p>
        </w:tc>
        <w:tc>
          <w:tcPr>
            <w:tcW w:type="dxa" w:w="158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Recall</w:t>
            </w:r>
          </w:p>
        </w:tc>
        <w:tc>
          <w:tcPr>
            <w:tcW w:type="dxa" w:w="158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F1</w:t>
            </w:r>
          </w:p>
        </w:tc>
      </w:tr>
      <w:tr>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CNN trained from scratch</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75.0%</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0.400</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0.111</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0.174</w:t>
            </w:r>
          </w:p>
        </w:tc>
      </w:tr>
      <w:tr>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MobileNetV2 transfer learning</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84.2%</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0.650</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0.722</w:t>
            </w:r>
          </w:p>
        </w:tc>
        <w:tc>
          <w:tcPr>
            <w:tcW w:type="dxa" w:w="158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0.684</w:t>
            </w:r>
          </w:p>
        </w:tc>
      </w:tr>
    </w:tbl>
    <w:p>
      <w:pPr>
        <w:spacing w:after="60"/>
      </w:pPr>
    </w:p>
    <w:p>
      <w:pPr>
        <w:spacing w:after="100"/>
        <w:jc w:val="both"/>
      </w:pPr>
      <w:r>
        <w:rPr>
          <w:b w:val="0"/>
          <w:sz w:val="19"/>
        </w:rPr>
        <w:t>Trained on 424 hand-labelled page images and tested on 152 images from courses held out of training. The from-scratch network learned to answer 'no diagram' almost always — 75% accuracy sounds acceptable only because 76% of pages have no diagram. Transfer learning raised recall from 0.11 to 0.72. Graphs: results_cnn/history.png, confusion_matrix.png, examples.png.</w:t>
      </w:r>
    </w:p>
    <w:p>
      <w:pPr>
        <w:spacing w:before="180" w:after="60"/>
      </w:pPr>
      <w:r>
        <w:rPr>
          <w:b/>
          <w:color w:val="2E74B5"/>
          <w:sz w:val="22"/>
        </w:rPr>
        <w:t>4.3 Comparison with the fine-tuned transformer</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74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Model</w:t>
            </w:r>
          </w:p>
        </w:tc>
        <w:tc>
          <w:tcPr>
            <w:tcW w:type="dxa" w:w="1728"/>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Test acc.</w:t>
            </w:r>
          </w:p>
        </w:tc>
        <w:tc>
          <w:tcPr>
            <w:tcW w:type="dxa" w:w="1872"/>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Human acc.</w:t>
            </w:r>
          </w:p>
        </w:tc>
        <w:tc>
          <w:tcPr>
            <w:tcW w:type="dxa" w:w="1296"/>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Human F1</w:t>
            </w:r>
          </w:p>
        </w:tc>
        <w:tc>
          <w:tcPr>
            <w:tcW w:type="dxa" w:w="144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Human AUC</w:t>
            </w:r>
          </w:p>
        </w:tc>
      </w:tr>
      <w:tr>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Cross-encoder (MiniLM, fine-tuned)</w:t>
            </w:r>
          </w:p>
        </w:tc>
        <w:tc>
          <w:tcPr>
            <w:tcW w:type="dxa" w:w="172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89.9%</w:t>
            </w:r>
          </w:p>
        </w:tc>
        <w:tc>
          <w:tcPr>
            <w:tcW w:type="dxa" w:w="187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80.1%</w:t>
            </w:r>
          </w:p>
        </w:tc>
        <w:tc>
          <w:tcPr>
            <w:tcW w:type="dxa" w:w="129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0.636</w:t>
            </w:r>
          </w:p>
        </w:tc>
        <w:tc>
          <w:tcPr>
            <w:tcW w:type="dxa" w:w="144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0.835</w:t>
            </w:r>
          </w:p>
        </w:tc>
      </w:tr>
      <w:tr>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Evidence ANN (deployed)</w:t>
            </w:r>
          </w:p>
        </w:tc>
        <w:tc>
          <w:tcPr>
            <w:tcW w:type="dxa" w:w="1728"/>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93.0%</w:t>
            </w:r>
          </w:p>
        </w:tc>
        <w:tc>
          <w:tcPr>
            <w:tcW w:type="dxa" w:w="1872"/>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83.1%</w:t>
            </w:r>
          </w:p>
        </w:tc>
        <w:tc>
          <w:tcPr>
            <w:tcW w:type="dxa" w:w="129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0.734</w:t>
            </w:r>
          </w:p>
        </w:tc>
        <w:tc>
          <w:tcPr>
            <w:tcW w:type="dxa" w:w="144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0.807</w:t>
            </w:r>
          </w:p>
        </w:tc>
      </w:tr>
    </w:tbl>
    <w:p>
      <w:pPr>
        <w:spacing w:after="60"/>
      </w:pPr>
    </w:p>
    <w:p>
      <w:pPr>
        <w:spacing w:after="100"/>
        <w:jc w:val="both"/>
      </w:pPr>
      <w:r>
        <w:rPr>
          <w:b w:val="0"/>
          <w:sz w:val="19"/>
        </w:rPr>
        <w:t xml:space="preserve">compare_fusion.py tested five ways of deploying the two models — ANN alone, transformer alone, the mean of both, a weighted blend, and retrieve-then-rerank — with every threshold tuned on the same held-out human labels. The highest score went to </w:t>
      </w:r>
      <w:r>
        <w:rPr>
          <w:b/>
          <w:sz w:val="19"/>
        </w:rPr>
        <w:t>mean of both</w:t>
      </w:r>
      <w:r>
        <w:rPr>
          <w:b w:val="0"/>
          <w:sz w:val="19"/>
        </w:rPr>
        <w:t xml:space="preserve"> at 85.1%, against 83.1% for the ANN alone.</w:t>
      </w:r>
    </w:p>
    <w:p>
      <w:pPr>
        <w:spacing w:after="100"/>
        <w:jc w:val="both"/>
      </w:pPr>
      <w:r>
        <w:rPr>
          <w:b w:val="0"/>
          <w:sz w:val="19"/>
        </w:rPr>
      </w:r>
      <w:r>
        <w:rPr>
          <w:b/>
          <w:sz w:val="19"/>
        </w:rPr>
        <w:t>What the comparison can and cannot settle.</w:t>
      </w:r>
      <w:r>
        <w:rPr>
          <w:b w:val="0"/>
          <w:sz w:val="19"/>
        </w:rPr>
        <w:t xml:space="preserve"> That gap is 2.0 points, and its standard error on 201 items is 3.6 points — 0.55 standard errors, which is not distinguishable from chance. Running the same comparison against an earlier training run of the same architecture put the ANN alone in first place instead. The honest conclusion is not that one rule beats another, but that 201 hand-labelled items cannot separate them. The ANN alone is deployed because it is the fastest by two orders of magnitude — one forward pass over all pages, against one transformer pass per topic-page pair — and nothing in the measurement justifies paying that cost. Enlarging the hand-labelled set is what would make this decision answerable.</w:t>
      </w:r>
    </w:p>
    <w:p>
      <w:pPr>
        <w:spacing w:before="180" w:after="60"/>
      </w:pPr>
      <w:r>
        <w:rPr>
          <w:b/>
          <w:color w:val="2E74B5"/>
          <w:sz w:val="22"/>
        </w:rPr>
        <w:t>4.4 Depth model (preliminary)</w:t>
      </w:r>
    </w:p>
    <w:p>
      <w:pPr>
        <w:spacing w:after="100"/>
        <w:jc w:val="both"/>
      </w:pPr>
      <w:r>
        <w:rPr>
          <w:b w:val="0"/>
          <w:sz w:val="19"/>
        </w:rPr>
        <w:t>Test accuracy 57.7%, macro F1 0.553 on 26 held-out topics (75 used for training). It identifies 'not taught' reliably but cannot yet separate 'properly' from 'barely taught' — 101 hand-labelled topics are too few. The application therefore derives the depth level from transparent rules over the evidence the ANN found, and this model is reported as work in progress.</w:t>
      </w:r>
    </w:p>
    <w:p>
      <w:pPr>
        <w:spacing w:before="180" w:after="60"/>
      </w:pPr>
      <w:r>
        <w:rPr>
          <w:b/>
          <w:color w:val="2E74B5"/>
          <w:sz w:val="22"/>
        </w:rPr>
        <w:t>4.5 Output screenshots of the application</w:t>
      </w:r>
    </w:p>
    <w:p>
      <w:pPr>
        <w:spacing w:after="100"/>
        <w:jc w:val="both"/>
      </w:pPr>
      <w:r>
        <w:rPr>
          <w:b w:val="0"/>
          <w:sz w:val="19"/>
        </w:rPr>
        <w:t xml:space="preserve">The run below is a real one: the Software Engineering and System Design syllabus (47 topics across five units) checked against the Unit 1 and Unit 2 lecture notes. Only two units of material were supplied, and the system reports the other three as </w:t>
      </w:r>
      <w:r>
        <w:rPr>
          <w:b/>
          <w:sz w:val="19"/>
        </w:rPr>
        <w:t>no material provided</w:t>
      </w:r>
      <w:r>
        <w:rPr>
          <w:b w:val="0"/>
          <w:sz w:val="19"/>
        </w:rPr>
        <w:t xml:space="preserve"> rather than as gaps in teaching.</w:t>
      </w:r>
    </w:p>
    <w:p>
      <w:pPr>
        <w:jc w:val="center"/>
      </w:pPr>
      <w:r>
        <w:drawing>
          <wp:inline xmlns:a="http://schemas.openxmlformats.org/drawingml/2006/main" xmlns:pic="http://schemas.openxmlformats.org/drawingml/2006/picture">
            <wp:extent cx="3931920" cy="4812670"/>
            <wp:docPr id="4" name="Picture 4"/>
            <wp:cNvGraphicFramePr>
              <a:graphicFrameLocks noChangeAspect="1"/>
            </wp:cNvGraphicFramePr>
            <a:graphic>
              <a:graphicData uri="http://schemas.openxmlformats.org/drawingml/2006/picture">
                <pic:pic>
                  <pic:nvPicPr>
                    <pic:cNvPr id="0" name="01_upload_and_summary.jpg"/>
                    <pic:cNvPicPr/>
                  </pic:nvPicPr>
                  <pic:blipFill>
                    <a:blip r:embed="rId14"/>
                    <a:stretch>
                      <a:fillRect/>
                    </a:stretch>
                  </pic:blipFill>
                  <pic:spPr>
                    <a:xfrm>
                      <a:off x="0" y="0"/>
                      <a:ext cx="3931920" cy="4812670"/>
                    </a:xfrm>
                    <a:prstGeom prst="rect"/>
                  </pic:spPr>
                </pic:pic>
              </a:graphicData>
            </a:graphic>
          </wp:inline>
        </w:drawing>
      </w:r>
    </w:p>
    <w:p>
      <w:pPr>
        <w:spacing w:after="160"/>
        <w:jc w:val="center"/>
      </w:pPr>
      <w:r>
        <w:rPr>
          <w:i/>
          <w:color w:val="595959"/>
          <w:sz w:val="16"/>
        </w:rPr>
        <w:t>Figure 4 — the syllabus and material are uploaded, and the result is summarised: 47 topics, 7 properly taught, 6 barely taught, 2 not taught, 32 with no material. The report can be downloaded as PDF or CSV.</w:t>
      </w:r>
    </w:p>
    <w:p>
      <w:pPr>
        <w:jc w:val="center"/>
      </w:pPr>
      <w:r>
        <w:drawing>
          <wp:inline xmlns:a="http://schemas.openxmlformats.org/drawingml/2006/main" xmlns:pic="http://schemas.openxmlformats.org/drawingml/2006/picture">
            <wp:extent cx="3931920" cy="4749759"/>
            <wp:docPr id="5" name="Picture 5"/>
            <wp:cNvGraphicFramePr>
              <a:graphicFrameLocks noChangeAspect="1"/>
            </wp:cNvGraphicFramePr>
            <a:graphic>
              <a:graphicData uri="http://schemas.openxmlformats.org/drawingml/2006/picture">
                <pic:pic>
                  <pic:nvPicPr>
                    <pic:cNvPr id="0" name="02_study_order.jpg"/>
                    <pic:cNvPicPr/>
                  </pic:nvPicPr>
                  <pic:blipFill>
                    <a:blip r:embed="rId15"/>
                    <a:stretch>
                      <a:fillRect/>
                    </a:stretch>
                  </pic:blipFill>
                  <pic:spPr>
                    <a:xfrm>
                      <a:off x="0" y="0"/>
                      <a:ext cx="3931920" cy="4749759"/>
                    </a:xfrm>
                    <a:prstGeom prst="rect"/>
                  </pic:spPr>
                </pic:pic>
              </a:graphicData>
            </a:graphic>
          </wp:inline>
        </w:drawing>
      </w:r>
    </w:p>
    <w:p>
      <w:pPr>
        <w:spacing w:after="160"/>
        <w:jc w:val="center"/>
      </w:pPr>
      <w:r>
        <w:rPr>
          <w:i/>
          <w:color w:val="595959"/>
          <w:sz w:val="16"/>
        </w:rPr>
        <w:t>Figure 5 — the gaps turned into a study order, most urgent first, each labelled with its unit.</w:t>
      </w:r>
    </w:p>
    <w:p>
      <w:pPr>
        <w:jc w:val="center"/>
      </w:pPr>
      <w:r>
        <w:drawing>
          <wp:inline xmlns:a="http://schemas.openxmlformats.org/drawingml/2006/main" xmlns:pic="http://schemas.openxmlformats.org/drawingml/2006/picture">
            <wp:extent cx="3931920" cy="4938491"/>
            <wp:docPr id="6" name="Picture 6"/>
            <wp:cNvGraphicFramePr>
              <a:graphicFrameLocks noChangeAspect="1"/>
            </wp:cNvGraphicFramePr>
            <a:graphic>
              <a:graphicData uri="http://schemas.openxmlformats.org/drawingml/2006/picture">
                <pic:pic>
                  <pic:nvPicPr>
                    <pic:cNvPr id="0" name="03_unit_breakdown.jpg"/>
                    <pic:cNvPicPr/>
                  </pic:nvPicPr>
                  <pic:blipFill>
                    <a:blip r:embed="rId16"/>
                    <a:stretch>
                      <a:fillRect/>
                    </a:stretch>
                  </pic:blipFill>
                  <pic:spPr>
                    <a:xfrm>
                      <a:off x="0" y="0"/>
                      <a:ext cx="3931920" cy="4938491"/>
                    </a:xfrm>
                    <a:prstGeom prst="rect"/>
                  </pic:spPr>
                </pic:pic>
              </a:graphicData>
            </a:graphic>
          </wp:inline>
        </w:drawing>
      </w:r>
    </w:p>
    <w:p>
      <w:pPr>
        <w:spacing w:after="160"/>
        <w:jc w:val="center"/>
      </w:pPr>
      <w:r>
        <w:rPr>
          <w:i/>
          <w:color w:val="595959"/>
          <w:sz w:val="16"/>
        </w:rPr>
        <w:t>Figure 6 — one tab per unit. Unit I: 4 topics properly taught, 3 barely, 1 not taught, 0 without material.</w:t>
      </w:r>
    </w:p>
    <w:p>
      <w:pPr>
        <w:jc w:val="center"/>
      </w:pPr>
      <w:r>
        <w:drawing>
          <wp:inline xmlns:a="http://schemas.openxmlformats.org/drawingml/2006/main" xmlns:pic="http://schemas.openxmlformats.org/drawingml/2006/picture">
            <wp:extent cx="3931920" cy="4938491"/>
            <wp:docPr id="7" name="Picture 7"/>
            <wp:cNvGraphicFramePr>
              <a:graphicFrameLocks noChangeAspect="1"/>
            </wp:cNvGraphicFramePr>
            <a:graphic>
              <a:graphicData uri="http://schemas.openxmlformats.org/drawingml/2006/picture">
                <pic:pic>
                  <pic:nvPicPr>
                    <pic:cNvPr id="0" name="04_evidence_and_diagram.jpg"/>
                    <pic:cNvPicPr/>
                  </pic:nvPicPr>
                  <pic:blipFill>
                    <a:blip r:embed="rId17"/>
                    <a:stretch>
                      <a:fillRect/>
                    </a:stretch>
                  </pic:blipFill>
                  <pic:spPr>
                    <a:xfrm>
                      <a:off x="0" y="0"/>
                      <a:ext cx="3931920" cy="4938491"/>
                    </a:xfrm>
                    <a:prstGeom prst="rect"/>
                  </pic:spPr>
                </pic:pic>
              </a:graphicData>
            </a:graphic>
          </wp:inline>
        </w:drawing>
      </w:r>
    </w:p>
    <w:p>
      <w:pPr>
        <w:spacing w:after="160"/>
        <w:jc w:val="center"/>
      </w:pPr>
      <w:r>
        <w:rPr>
          <w:i/>
          <w:color w:val="595959"/>
          <w:sz w:val="16"/>
        </w:rPr>
        <w:t>Figure 7 — a topic opened up. The ANN cites the pages it judged as evidence with its confidence, and the CNN reports a diagram on page 25 at confidence 0.74.</w:t>
      </w:r>
    </w:p>
    <w:p>
      <w:pPr>
        <w:spacing w:before="180" w:after="60"/>
      </w:pPr>
      <w:r>
        <w:rPr>
          <w:b/>
          <w:color w:val="2E74B5"/>
          <w:sz w:val="22"/>
        </w:rPr>
        <w:t>Note for evaluation</w:t>
      </w:r>
    </w:p>
    <w:p>
      <w:pPr>
        <w:spacing w:after="100"/>
        <w:jc w:val="both"/>
      </w:pPr>
      <w:r>
        <w:rPr>
          <w:b w:val="0"/>
          <w:sz w:val="19"/>
        </w:rPr>
        <w:t xml:space="preserve">Two honesty notes. </w:t>
      </w:r>
      <w:r>
        <w:rPr>
          <w:b/>
          <w:sz w:val="19"/>
        </w:rPr>
        <w:t>First,</w:t>
      </w:r>
      <w:r>
        <w:rPr>
          <w:b w:val="0"/>
          <w:sz w:val="19"/>
        </w:rPr>
        <w:t xml:space="preserve"> the training labels are generated automatically and are themselves only 84% correct, so the human-verified figures (84.1% accuracy, F1 0.746) are the ones to judge — the automatic-label figures (92.8%) are inflated by the same label noise the model was trained on. </w:t>
      </w:r>
      <w:r>
        <w:rPr>
          <w:b/>
          <w:sz w:val="19"/>
        </w:rPr>
        <w:t>Second,</w:t>
      </w:r>
      <w:r>
        <w:rPr>
          <w:b w:val="0"/>
          <w:sz w:val="19"/>
        </w:rPr>
        <w:t xml:space="preserve"> with 201 hand-labelled test items the 95% confidence interval is about ±5 points, and the decision threshold shifts slightly depending on which items tune it, so the honest claim is roughly 84% ± 5 rather than an exact figure.</w:t>
      </w:r>
    </w:p>
    <w:p>
      <w:r>
        <w:br w:type="page"/>
      </w:r>
    </w:p>
    <w:p>
      <w:pPr>
        <w:spacing w:before="240" w:after="100"/>
        <w:pBdr>
          <w:bottom w:val="single" w:sz="6" w:color="2E74B5" w:space="2"/>
        </w:pBdr>
      </w:pPr>
      <w:r>
        <w:rPr>
          <w:b/>
          <w:color w:val="1F3864"/>
          <w:sz w:val="26"/>
        </w:rPr>
        <w:t>5. Final Submission Checklist</w:t>
      </w:r>
    </w:p>
    <w:tbl>
      <w:tblPr>
        <w:tblW w:type="auto" w:w="0"/>
        <w:jc w:val="center"/>
        <w:tblLayout w:type="fixed"/>
        <w:tblLook w:firstColumn="1" w:firstRow="1" w:lastColumn="0" w:lastRow="0" w:noHBand="0" w:noVBand="1" w:val="04A0"/>
      </w:tblPr>
      <w:tblGrid>
        <w:gridCol w:w="3360"/>
        <w:gridCol w:w="3360"/>
        <w:gridCol w:w="3360"/>
      </w:tblGrid>
      <w:tr>
        <w:tc>
          <w:tcPr>
            <w:tcW w:type="dxa" w:w="72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Done</w:t>
            </w:r>
          </w:p>
        </w:tc>
        <w:tc>
          <w:tcPr>
            <w:tcW w:type="dxa" w:w="3744"/>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Item</w:t>
            </w:r>
          </w:p>
        </w:tc>
        <w:tc>
          <w:tcPr>
            <w:tcW w:type="dxa" w:w="5616"/>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Where</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Project Proposal Document</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This document (PROPOSAL.pdf / PROPOSAL.docx).</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Complete Source Code</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CODE_SUBMISSION.pdf — the demonstration program with the output it produced, the result graphs, and an appendix containing all 16 source files of the system.</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Dataset source / reference</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Section 1E — NPTEL, MIT OpenCourseWare, OpenStax.</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ANN model architecture and parameter details</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Sections 1D and 3.</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CNN model architecture and parameter details</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Sections 1D and 3.</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Results and performance metrics</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Section 4; results_*/metrics.json.</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Relevant graphs</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history.png, confusion_matrix.png, roc_curve.png, examples.png, comparison.png.</w:t>
            </w:r>
          </w:p>
        </w:tc>
      </w:tr>
      <w:tr>
        <w:tc>
          <w:tcPr>
            <w:tcW w:type="dxa" w:w="72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[X]</w:t>
            </w:r>
          </w:p>
        </w:tc>
        <w:tc>
          <w:tcPr>
            <w:tcW w:type="dxa" w:w="3744"/>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Output screenshots of the application</w:t>
            </w:r>
          </w:p>
        </w:tc>
        <w:tc>
          <w:tcPr>
            <w:tcW w:type="dxa" w:w="5616"/>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Section 4.5, Figures 4 to 7 — a real run on the Software Engineering syllabus.</w:t>
            </w:r>
          </w:p>
        </w:tc>
      </w:tr>
    </w:tbl>
    <w:p>
      <w:pPr>
        <w:spacing w:after="60"/>
      </w:pPr>
    </w:p>
    <w:p>
      <w:pPr>
        <w:spacing w:before="240" w:after="100"/>
        <w:pBdr>
          <w:bottom w:val="single" w:sz="6" w:color="2E74B5" w:space="2"/>
        </w:pBdr>
      </w:pPr>
      <w:r>
        <w:rPr>
          <w:b/>
          <w:color w:val="1F3864"/>
          <w:sz w:val="26"/>
        </w:rPr>
        <w:t>6. Project Proposal — Student Fill-In Template</w:t>
      </w:r>
    </w:p>
    <w:tbl>
      <w:tblPr>
        <w:tblW w:type="auto" w:w="0"/>
        <w:jc w:val="center"/>
        <w:tblLayout w:type="fixed"/>
        <w:tblLook w:firstColumn="1" w:firstRow="1" w:lastColumn="0" w:lastRow="0" w:noHBand="0" w:noVBand="1" w:val="04A0"/>
      </w:tblPr>
      <w:tblGrid>
        <w:gridCol w:w="5040"/>
        <w:gridCol w:w="5040"/>
      </w:tblGrid>
      <w:tr>
        <w:tc>
          <w:tcPr>
            <w:tcW w:type="dxa" w:w="288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Field</w:t>
            </w:r>
          </w:p>
        </w:tc>
        <w:tc>
          <w:tcPr>
            <w:tcW w:type="dxa" w:w="7200"/>
            <w:shd w:val="clear" w:fill="1F3864"/>
            <w:tcBorders>
              <w:top w:val="single" w:sz="4" w:color="B7C7D9" w:space="2"/>
              <w:left w:val="single" w:sz="4" w:color="B7C7D9" w:space="2"/>
              <w:bottom w:val="single" w:sz="4" w:color="B7C7D9" w:space="2"/>
              <w:right w:val="single" w:sz="4" w:color="B7C7D9" w:space="2"/>
            </w:tcBorders>
          </w:tcPr>
          <w:p>
            <w:pPr>
              <w:spacing w:before="40" w:after="40"/>
            </w:pPr>
            <w:r/>
            <w:r>
              <w:rPr>
                <w:b/>
                <w:color w:val="FFFFFF"/>
                <w:sz w:val="17"/>
              </w:rPr>
              <w:t>Entry</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Project Title:</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SyllabiSense: AI for Course Coverage and Personalized Learning</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Student Name(s):</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Uzma Yasmeen</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Roll Number(s):</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2503A51L34</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Batch Number:</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20 CSE</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Why did you choose this project?:</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Syllabus and study material often do not match, and students find out only at exam time. A chatbot cannot report what is missing because it never sees the syllabus; a network trained on (topic, page) pairs can.</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Dataset Name and Source:</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SyllabiSense (topic, page) pairs, built for this project from NPTEL (1,295 syllabi), MIT OpenCourseWare (~110 courses) and OpenStax (7 textbooks); 17,887 pairs, 387 features, 2 classes.</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ANN/CNN Techniques Used:</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ANN for evidence detection (deployed); MobileNetV2 CNN for diagram detection; a fine-tuned MiniLM transformer cross-encoder and a 3-class depth ANN as further models.</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Model Architecture / Layers:</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Input 387 — Dense 256 (ReLU) — Dropout 0.3 — Dense 64 (ReLU) — Dropout 0.2 — Dense 1 (sigmoid); 115,841 parameters.</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Optimizer and Loss Function:</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Adam (lr 0.001); binary cross-entropy with class weights.</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Proposed Methodology:</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Dataset — Preprocessing — Train/Test split by subject area — Model building — Training — Evaluation on an unseen subject and against human labels — Prediction.</w:t>
            </w:r>
          </w:p>
        </w:tc>
      </w:tr>
      <w:tr>
        <w:tc>
          <w:tcPr>
            <w:tcW w:type="dxa" w:w="288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Expected Outcome:</w:t>
            </w:r>
          </w:p>
        </w:tc>
        <w:tc>
          <w:tcPr>
            <w:tcW w:type="dxa" w:w="7200"/>
            <w:tcBorders>
              <w:top w:val="single" w:sz="4" w:color="B7C7D9" w:space="2"/>
              <w:left w:val="single" w:sz="4" w:color="B7C7D9" w:space="2"/>
              <w:bottom w:val="single" w:sz="4" w:color="B7C7D9" w:space="2"/>
              <w:right w:val="single" w:sz="4" w:color="B7C7D9" w:space="2"/>
            </w:tcBorders>
          </w:tcPr>
          <w:p>
            <w:pPr>
              <w:spacing w:before="40" w:after="40"/>
            </w:pPr>
            <w:r/>
            <w:r>
              <w:rPr>
                <w:b w:val="0"/>
                <w:sz w:val="18"/>
              </w:rPr>
              <w:t>A unit-by-unit report marking each syllabus topic as properly taught, barely taught or not taught, with the file and page as evidence and a note on whether a diagram exists.</w:t>
            </w:r>
          </w:p>
        </w:tc>
      </w:tr>
    </w:tbl>
    <w:p>
      <w:pPr>
        <w:spacing w:after="6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0080"/>
    </w:tblGrid>
    <w:tr>
      <w:tc>
        <w:tcPr>
          <w:tcW w:type="dxa" w:w="10080"/>
          <w:tcMar>
            <w:left w:w="0" w:type="dxa"/>
            <w:right w:w="0" w:type="dxa"/>
          </w:tcMar>
          <w:tcBorders>
            <w:top w:val="single" w:sz="4" w:color="C9D2DE" w:space="2"/>
            <w:left w:val="single" w:sz="0" w:color="FFFFFF" w:space="2"/>
            <w:bottom w:val="single" w:sz="0" w:color="FFFFFF" w:space="2"/>
            <w:right w:val="single" w:sz="0" w:color="FFFFFF" w:space="2"/>
          </w:tcBorders>
        </w:tcPr>
        <w:p>
          <w:pPr>
            <w:tabs>
              <w:tab w:pos="9994" w:val="right"/>
            </w:tabs>
          </w:pPr>
          <w:r>
            <w:rPr>
              <w:color w:val="595959"/>
              <w:sz w:val="16"/>
            </w:rPr>
            <w:t>Uzma Yasmeen  |  2503A51L34  |  Batch 20 CSE</w:t>
            <w:tab/>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0080"/>
    </w:tblGrid>
    <w:tr>
      <w:tc>
        <w:tcPr>
          <w:tcW w:type="dxa" w:w="10080"/>
          <w:tcMar>
            <w:left w:w="0" w:type="dxa"/>
            <w:right w:w="0" w:type="dxa"/>
          </w:tcMar>
          <w:tcBorders>
            <w:top w:val="single" w:sz="0" w:color="FFFFFF" w:space="2"/>
            <w:left w:val="single" w:sz="0" w:color="FFFFFF" w:space="2"/>
            <w:bottom w:val="single" w:sz="4" w:color="C9D2DE" w:space="2"/>
            <w:right w:val="single" w:sz="0" w:color="FFFFFF" w:space="2"/>
          </w:tcBorders>
        </w:tcPr>
        <w:p>
          <w:pPr>
            <w:tabs>
              <w:tab w:pos="9994" w:val="right"/>
            </w:tabs>
          </w:pPr>
          <w:r>
            <w:rPr>
              <w:b/>
              <w:color w:val="1F3864"/>
              <w:sz w:val="16"/>
            </w:rPr>
            <w:t>SR UNIVERSITY  /  CS &amp; AI</w:t>
          </w:r>
          <w:r>
            <w:rPr>
              <w:color w:val="595959"/>
              <w:sz w:val="16"/>
            </w:rPr>
            <w:tab/>
            <w:t>AI &amp; Deep Learning Project — Project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