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color w:val="212121"/>
          <w:sz w:val="24"/>
          <w:szCs w:val="24"/>
          <w:shd w:fill="FFFFFF" w:val="clear"/>
        </w:rPr>
      </w:pPr>
      <w:r>
        <w:rPr>
          <w:rFonts w:cs="Times New Roman" w:ascii="Times New Roman" w:hAnsi="Times New Roman"/>
          <w:b/>
          <w:color w:val="212121"/>
          <w:sz w:val="24"/>
          <w:szCs w:val="24"/>
          <w:shd w:fill="FFFFFF" w:val="clear"/>
        </w:rPr>
        <w:t>Road crashes among underage motorcyclists’ compared with motorcyclists of legal driving age: A Cross-Sectional Study from an Urban Setting in Low-Middle Income Country, Karachi, Pakistan</w:t>
      </w:r>
    </w:p>
    <w:p>
      <w:pPr>
        <w:pStyle w:val="Normal"/>
        <w:spacing w:lineRule="auto" w:line="480"/>
        <w:jc w:val="center"/>
        <w:rPr>
          <w:rFonts w:ascii="Times New Roman" w:hAnsi="Times New Roman" w:cs="Times New Roman"/>
          <w:b/>
          <w:b/>
          <w:color w:val="212121"/>
          <w:sz w:val="24"/>
          <w:szCs w:val="24"/>
          <w:shd w:fill="FFFFFF" w:val="clear"/>
        </w:rPr>
      </w:pPr>
      <w:r>
        <w:rPr>
          <w:rFonts w:cs="Times New Roman" w:ascii="Times New Roman" w:hAnsi="Times New Roman"/>
          <w:b/>
          <w:color w:val="212121"/>
          <w:sz w:val="24"/>
          <w:szCs w:val="24"/>
          <w:shd w:fill="FFFFFF" w:val="clear"/>
        </w:rPr>
        <w:t>Add abstract</w:t>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Adolescents bear the largest burden of road traffic deaths.</w:t>
      </w:r>
      <w:r>
        <w:fldChar w:fldCharType="begin"/>
      </w:r>
      <w:r>
        <w:rPr>
          <w:sz w:val="24"/>
          <w:shd w:fill="FFFFFF" w:val="clear"/>
          <w:szCs w:val="24"/>
          <w:rFonts w:cs="Times New Roman" w:ascii="Times New Roman" w:hAnsi="Times New Roman"/>
          <w:color w:val="212121"/>
        </w:rPr>
        <w:instrText>ADDIN EN.CITE &lt;EndNote&gt;&lt;Cite&gt;&lt;Author&gt;Li&lt;/Author&gt;&lt;Year&gt;2016&lt;/Year&gt;&lt;RecNum&gt;17&lt;/RecNum&gt;&lt;DisplayText&gt;[1]&lt;/DisplayText&gt;&lt;record&gt;&lt;rec-number&gt;17&lt;/rec-number&gt;&lt;foreign-keys&gt;&lt;key app="EN" db-id="9pexzrwd6vtz2wepzzqxz9p7adx2etvt9rfx" timestamp="1613769378"&gt;17&lt;/key&gt;&lt;/foreign-keys&gt;&lt;ref-type name="Journal Article"&gt;17&lt;/ref-type&gt;&lt;contributors&gt;&lt;authors&gt;&lt;author&gt;Li, Qingfeng&lt;/author&gt;&lt;author&gt;Alonge, Olakunle&lt;/author&gt;&lt;author&gt;Hyder, Adnan A&lt;/author&gt;&lt;/authors&gt;&lt;/contributors&gt;&lt;titles&gt;&lt;title&gt;Children and road traffic injuries: can&amp;apos;t the world do better?&lt;/title&gt;&lt;secondary-title&gt;Archives of disease in childhood&lt;/secondary-title&gt;&lt;/titles&gt;&lt;periodical&gt;&lt;full-title&gt;Archives of disease in childhood&lt;/full-title&gt;&lt;/periodical&gt;&lt;pages&gt;1063-1070&lt;/pages&gt;&lt;volume&gt;101&lt;/volume&gt;&lt;number&gt;11&lt;/number&gt;&lt;dates&gt;&lt;year&gt;2016&lt;/year&gt;&lt;/dates&gt;&lt;isbn&gt;0003-9888&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Underage adolescents’ drivers are involved in fatal crashes three times more often compared with adults.</w:t>
      </w:r>
      <w:r>
        <w:fldChar w:fldCharType="begin"/>
      </w:r>
      <w:r>
        <w:rPr>
          <w:sz w:val="24"/>
          <w:shd w:fill="FFFFFF" w:val="clear"/>
          <w:szCs w:val="24"/>
          <w:rFonts w:cs="Times New Roman" w:ascii="Times New Roman" w:hAnsi="Times New Roman"/>
          <w:color w:val="212121"/>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[2]</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w:t>
      </w:r>
      <w:r>
        <w:rPr>
          <w:rFonts w:cs="Times New Roman" w:ascii="Times New Roman" w:hAnsi="Times New Roman"/>
          <w:sz w:val="24"/>
          <w:szCs w:val="24"/>
        </w:rPr>
        <w:t xml:space="preserve">The number of road traffic crashes per million miles driven is six times higher in adolescents compared with adults. </w:t>
      </w:r>
      <w:r>
        <w:fldChar w:fldCharType="begin"/>
      </w:r>
      <w:r>
        <w:rPr>
          <w:sz w:val="24"/>
          <w:szCs w:val="24"/>
          <w:rFonts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color w:val="212121"/>
          <w:sz w:val="24"/>
          <w:szCs w:val="24"/>
          <w:shd w:fill="FFFFFF" w:val="clear"/>
        </w:rPr>
        <w:t>Adolescents are vulnerable to road traffic crashes due to limited experience and risky taking behaviors.</w:t>
      </w:r>
      <w:r>
        <w:fldChar w:fldCharType="begin"/>
      </w:r>
      <w:r>
        <w:rPr>
          <w:sz w:val="24"/>
          <w:shd w:fill="FFFFFF" w:val="clear"/>
          <w:szCs w:val="24"/>
          <w:rFonts w:cs="Times New Roman" w:ascii="Times New Roman" w:hAnsi="Times New Roman"/>
          <w:color w:val="212121"/>
        </w:rPr>
        <w:instrText>ADDIN EN.CITE &lt;EndNote&gt;&lt;Cite&gt;&lt;Author&gt;Sarkar&lt;/Author&gt;&lt;Year&gt;2004&lt;/Year&gt;&lt;RecNum&gt;27&lt;/RecNum&gt;&lt;DisplayText&gt;[4,5]&lt;/DisplayText&gt;&lt;record&gt;&lt;rec-number&gt;27&lt;/rec-number&gt;&lt;foreign-keys&gt;&lt;key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[4,5]</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In most countries the minimum driving age is 18 years but many adolescents start to drive earlier than the </w:t>
      </w:r>
      <w:r>
        <w:rPr>
          <w:rFonts w:cs="Times New Roman" w:ascii="Times New Roman" w:hAnsi="Times New Roman"/>
          <w:sz w:val="24"/>
          <w:szCs w:val="24"/>
        </w:rPr>
        <w:t>legal</w:t>
      </w:r>
      <w:r>
        <w:rPr>
          <w:rFonts w:cs="Times New Roman" w:ascii="Times New Roman" w:hAnsi="Times New Roman"/>
          <w:color w:val="212121"/>
          <w:sz w:val="24"/>
          <w:szCs w:val="24"/>
          <w:shd w:fill="FFFFFF" w:val="clear"/>
        </w:rPr>
        <w:t xml:space="preserve"> age if they have access to vehicle in the household </w:t>
      </w:r>
      <w:r>
        <w:fldChar w:fldCharType="begin"/>
      </w:r>
      <w:r>
        <w:rPr>
          <w:sz w:val="24"/>
          <w:shd w:fill="FFFFFF" w:val="clear"/>
          <w:szCs w:val="24"/>
          <w:rFonts w:cs="Times New Roman" w:ascii="Times New Roman" w:hAnsi="Times New Roman"/>
          <w:color w:val="212121"/>
        </w:rPr>
        <w:instrText>ADDIN EN.CITE &lt;EndNote&gt;&lt;Cite&gt;&lt;Author&gt;Shults&lt;/Author&gt;&lt;Year&gt;2016&lt;/Year&gt;&lt;RecNum&gt;30&lt;/RecNum&gt;&lt;DisplayText&gt;&lt;style face="superscript"&gt;1&lt;/style&gt;&lt;/DisplayText&gt;&lt;record&gt;&lt;rec-number&gt;30&lt;/rec-number&gt;&lt;foreign-keys&gt;&lt;key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vertAlign w:val="superscript"/>
        </w:rPr>
        <w:t>1</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Underage driving is linked to adolescents’ aspiration of becoming independent and experience adventure, augmented with peer pressure.</w:t>
      </w:r>
      <w:r>
        <w:fldChar w:fldCharType="begin"/>
      </w:r>
      <w:r>
        <w:rPr>
          <w:sz w:val="24"/>
          <w:shd w:fill="FFFFFF" w:val="clear"/>
          <w:szCs w:val="24"/>
          <w:rFonts w:cs="Times New Roman" w:ascii="Times New Roman" w:hAnsi="Times New Roman"/>
          <w:color w:val="212121"/>
        </w:rPr>
        <w:instrText>ADDIN EN.CITE &lt;EndNote&gt;&lt;Cite&gt;&lt;Author&gt;Alderman&lt;/Author&gt;&lt;Year&gt;2018&lt;/Year&gt;&lt;RecNum&gt;4&lt;/RecNum&gt;&lt;DisplayText&gt;[6]&lt;/DisplayText&gt;&lt;record&gt;&lt;rec-number&gt;4&lt;/rec-number&gt;&lt;foreign-keys&gt;&lt;key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[6]</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Demographic and socioeconomic factors, behaviors and consequences related to road crashes by adolescent car drivers have been studied in high- income countries (HICs) </w:t>
      </w:r>
      <w:r>
        <w:fldChar w:fldCharType="begin"/>
      </w:r>
      <w:r>
        <w:rPr>
          <w:sz w:val="24"/>
          <w:shd w:fill="FFFFFF" w:val="clear"/>
          <w:szCs w:val="24"/>
          <w:rFonts w:cs="Times New Roman" w:ascii="Times New Roman" w:hAnsi="Times New Roman"/>
          <w:color w:val="212121"/>
        </w:rPr>
        <w:instrText>ADDIN EN.CITE &lt;EndNote&gt;&lt;Cite&gt;&lt;Author&gt;Hanna&lt;/Author&gt;&lt;Year&gt;2010&lt;/Year&gt;&lt;RecNum&gt;5&lt;/RecNum&gt;&lt;DisplayText&gt;[7,8]&lt;/DisplayText&gt;&lt;record&gt;&lt;rec-number&gt;5&lt;/rec-number&gt;&lt;foreign-keys&gt;&lt;key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[7,8]</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The common crash risks in HICs among adolescent drivers are speeding, violation of safety rules, drink driving and use of cell phones. </w:t>
      </w:r>
      <w:r>
        <w:fldChar w:fldCharType="begin"/>
      </w:r>
      <w:r>
        <w:rPr>
          <w:sz w:val="24"/>
          <w:shd w:fill="FFFFFF" w:val="clear"/>
          <w:szCs w:val="24"/>
          <w:rFonts w:cs="Times New Roman" w:ascii="Times New Roman" w:hAnsi="Times New Roman"/>
          <w:color w:val="212121"/>
        </w:rPr>
        <w:instrText>ADDIN EN.CITE</w:instrText>
      </w:r>
      <w:r>
        <w:rPr>
          <w:rFonts w:cs="Times New Roman" w:ascii="Times New Roman" w:hAnsi="Times New Roman"/>
          <w:color w:val="212121"/>
          <w:sz w:val="24"/>
          <w:szCs w:val="24"/>
          <w:shd w:fill="FFFFFF" w:val="clear"/>
        </w:rPr>
      </w:r>
      <w:r>
        <w:fldChar w:fldCharType="begin"/>
      </w:r>
      <w:r>
        <w:rPr>
          <w:sz w:val="24"/>
          <w:shd w:fill="FFFFFF" w:val="clear"/>
          <w:szCs w:val="24"/>
          <w:rFonts w:cs="Times New Roman" w:ascii="Times New Roman" w:hAnsi="Times New Roman"/>
          <w:color w:val="212121"/>
        </w:rPr>
        <w:instrText>ADDIN EN.CITE.DATA</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[8-10]</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Graduate driving license program in some high income countries aims to restrict the road traffic exposure of adolescent drivers; and have been shown to successful in reducing fatal crashes in young drivers.</w:t>
      </w:r>
      <w:r>
        <w:fldChar w:fldCharType="begin"/>
      </w:r>
      <w:r>
        <w:rPr>
          <w:sz w:val="24"/>
          <w:shd w:fill="FFFFFF" w:val="clear"/>
          <w:szCs w:val="24"/>
          <w:rFonts w:cs="Times New Roman" w:ascii="Times New Roman" w:hAnsi="Times New Roman"/>
          <w:color w:val="212121"/>
        </w:rPr>
        <w:instrText>ADDIN EN.CITE &lt;EndNote&gt;&lt;Cite&gt;&lt;Author&gt;Tefft&lt;/Author&gt;&lt;Year&gt;2014&lt;/Year&gt;&lt;RecNum&gt;6&lt;/RecNum&gt;&lt;DisplayText&gt;[11]&lt;/DisplayText&gt;&lt;record&gt;&lt;rec-number&gt;6&lt;/rec-number&gt;&lt;foreign-keys&gt;&lt;key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[11]</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It is unclear how underage drivers are contributing to the crash burden in low and middle income settings. </w:t>
      </w:r>
      <w:commentRangeStart w:id="0"/>
      <w:r>
        <w:rPr>
          <w:rFonts w:cs="Times New Roman" w:ascii="Times New Roman" w:hAnsi="Times New Roman"/>
          <w:color w:val="212121"/>
          <w:sz w:val="24"/>
          <w:szCs w:val="24"/>
          <w:shd w:fill="FFFFFF" w:val="clear"/>
        </w:rPr>
        <w:t>Studies</w:t>
      </w:r>
      <w:ins w:id="0" w:author="Martin Gerdin Wärnberg" w:date="2021-06-28T21:23:07Z">
        <w:r>
          <w:rPr>
            <w:rFonts w:cs="Times New Roman" w:ascii="Times New Roman" w:hAnsi="Times New Roman"/>
            <w:color w:val="212121"/>
            <w:sz w:val="24"/>
            <w:szCs w:val="24"/>
            <w:shd w:fill="FFFFFF" w:val="clear"/>
          </w:rPr>
        </w:r>
      </w:ins>
      <w:commentRangeEnd w:id="0"/>
      <w:r>
        <w:commentReference w:id="0"/>
      </w:r>
      <w:r>
        <w:rPr>
          <w:rFonts w:cs="Times New Roman" w:ascii="Times New Roman" w:hAnsi="Times New Roman"/>
          <w:color w:val="212121"/>
          <w:sz w:val="24"/>
          <w:szCs w:val="24"/>
          <w:shd w:fill="FFFFFF" w:val="clear"/>
        </w:rPr>
        <w:t xml:space="preserve"> from many Asian countries </w:t>
      </w:r>
      <w:del w:id="1" w:author="Martin Gerdin Wärnberg" w:date="2021-06-28T21:20:28Z">
        <w:r>
          <w:rPr>
            <w:rFonts w:cs="Times New Roman" w:ascii="Times New Roman" w:hAnsi="Times New Roman"/>
            <w:color w:val="212121"/>
            <w:sz w:val="24"/>
            <w:szCs w:val="24"/>
            <w:shd w:fill="FFFFFF" w:val="clear"/>
          </w:rPr>
          <w:delText>showed</w:delText>
        </w:r>
      </w:del>
      <w:ins w:id="2" w:author="Martin Gerdin Wärnberg" w:date="2021-06-28T21:20:28Z">
        <w:r>
          <w:rPr>
            <w:rFonts w:cs="Times New Roman" w:ascii="Times New Roman" w:hAnsi="Times New Roman"/>
            <w:color w:val="212121"/>
            <w:sz w:val="24"/>
            <w:szCs w:val="24"/>
            <w:shd w:fill="FFFFFF" w:val="clear"/>
          </w:rPr>
          <w:t>show that</w:t>
        </w:r>
      </w:ins>
      <w:r>
        <w:rPr>
          <w:rFonts w:cs="Times New Roman" w:ascii="Times New Roman" w:hAnsi="Times New Roman"/>
          <w:color w:val="212121"/>
          <w:sz w:val="24"/>
          <w:szCs w:val="24"/>
          <w:shd w:fill="FFFFFF" w:val="clear"/>
        </w:rPr>
        <w:t xml:space="preserve"> underage motorcycle driving exist and young boys as young as 8 years were reported to drive motorcycle</w:t>
      </w:r>
      <w:commentRangeStart w:id="1"/>
      <w:r>
        <w:rPr>
          <w:rFonts w:cs="Times New Roman" w:ascii="Times New Roman" w:hAnsi="Times New Roman"/>
          <w:color w:val="212121"/>
          <w:sz w:val="24"/>
          <w:szCs w:val="24"/>
          <w:shd w:fill="FFFFFF" w:val="clear"/>
        </w:rPr>
        <w:t>s.</w:t>
      </w:r>
      <w:r>
        <w:fldChar w:fldCharType="begin"/>
      </w:r>
      <w:r>
        <w:rPr>
          <w:sz w:val="24"/>
          <w:shd w:fill="FFFFFF" w:val="clear"/>
          <w:szCs w:val="24"/>
          <w:rFonts w:cs="Times New Roman" w:ascii="Times New Roman" w:hAnsi="Times New Roman"/>
          <w:color w:val="212121"/>
        </w:rPr>
        <w:instrText>ADDIN EN.CITE</w:instrText>
      </w:r>
      <w:r>
        <w:rPr>
          <w:rFonts w:cs="Times New Roman" w:ascii="Times New Roman" w:hAnsi="Times New Roman"/>
          <w:color w:val="212121"/>
          <w:sz w:val="24"/>
          <w:szCs w:val="24"/>
          <w:shd w:fill="FFFFFF" w:val="clear"/>
        </w:rPr>
      </w:r>
      <w:r>
        <w:fldChar w:fldCharType="begin"/>
      </w:r>
      <w:r>
        <w:rPr>
          <w:sz w:val="24"/>
          <w:shd w:fill="FFFFFF" w:val="clear"/>
          <w:szCs w:val="24"/>
          <w:rFonts w:cs="Times New Roman" w:ascii="Times New Roman" w:hAnsi="Times New Roman"/>
          <w:color w:val="212121"/>
        </w:rPr>
        <w:instrText>ADDIN EN.CITE.DATA</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vertAlign w:val="superscript"/>
        </w:rPr>
        <w:t>2-5</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w:t>
      </w:r>
      <w:ins w:id="3" w:author="Martin Gerdin Wärnberg" w:date="2021-06-28T21:21:49Z">
        <w:r>
          <w:rPr>
            <w:rFonts w:cs="Times New Roman" w:ascii="Times New Roman" w:hAnsi="Times New Roman"/>
            <w:color w:val="212121"/>
            <w:sz w:val="24"/>
            <w:szCs w:val="24"/>
            <w:shd w:fill="FFFFFF" w:val="clear"/>
          </w:rPr>
        </w:r>
      </w:ins>
      <w:commentRangeEnd w:id="1"/>
      <w:r>
        <w:commentReference w:id="1"/>
      </w:r>
      <w:r>
        <w:rPr>
          <w:rFonts w:cs="Times New Roman" w:ascii="Times New Roman" w:hAnsi="Times New Roman"/>
          <w:color w:val="212121"/>
          <w:sz w:val="24"/>
          <w:szCs w:val="24"/>
          <w:shd w:fill="FFFFFF" w:val="clear"/>
        </w:rPr>
        <w:t xml:space="preserve">Underage drivers </w:t>
      </w:r>
      <w:del w:id="4" w:author="Martin Gerdin Wärnberg" w:date="2021-06-28T21:21:09Z">
        <w:r>
          <w:rPr>
            <w:rFonts w:cs="Times New Roman" w:ascii="Times New Roman" w:hAnsi="Times New Roman"/>
            <w:color w:val="212121"/>
            <w:sz w:val="24"/>
            <w:szCs w:val="24"/>
            <w:shd w:fill="FFFFFF" w:val="clear"/>
          </w:rPr>
          <w:delText>also showed low</w:delText>
        </w:r>
      </w:del>
      <w:ins w:id="5" w:author="Martin Gerdin Wärnberg" w:date="2021-06-28T21:21:09Z">
        <w:r>
          <w:rPr>
            <w:rFonts w:cs="Times New Roman" w:ascii="Times New Roman" w:hAnsi="Times New Roman"/>
            <w:color w:val="212121"/>
            <w:sz w:val="24"/>
            <w:szCs w:val="24"/>
            <w:shd w:fill="FFFFFF" w:val="clear"/>
          </w:rPr>
          <w:t>rarely</w:t>
        </w:r>
      </w:ins>
      <w:r>
        <w:rPr>
          <w:rFonts w:cs="Times New Roman" w:ascii="Times New Roman" w:hAnsi="Times New Roman"/>
          <w:color w:val="212121"/>
          <w:sz w:val="24"/>
          <w:szCs w:val="24"/>
          <w:shd w:fill="FFFFFF" w:val="clear"/>
        </w:rPr>
        <w:t xml:space="preserve"> use </w:t>
      </w:r>
      <w:del w:id="6" w:author="Martin Gerdin Wärnberg" w:date="2021-06-28T21:21:13Z">
        <w:r>
          <w:rPr>
            <w:rFonts w:cs="Times New Roman" w:ascii="Times New Roman" w:hAnsi="Times New Roman"/>
            <w:color w:val="212121"/>
            <w:sz w:val="24"/>
            <w:szCs w:val="24"/>
            <w:shd w:fill="FFFFFF" w:val="clear"/>
          </w:rPr>
          <w:delText>of</w:delText>
        </w:r>
      </w:del>
      <w:r>
        <w:rPr>
          <w:rFonts w:cs="Times New Roman" w:ascii="Times New Roman" w:hAnsi="Times New Roman"/>
          <w:color w:val="212121"/>
          <w:sz w:val="24"/>
          <w:szCs w:val="24"/>
          <w:shd w:fill="FFFFFF" w:val="clear"/>
        </w:rPr>
        <w:t xml:space="preserve"> helmet</w:t>
      </w:r>
      <w:ins w:id="7" w:author="Martin Gerdin Wärnberg" w:date="2021-06-28T21:21:16Z">
        <w:r>
          <w:rPr>
            <w:rFonts w:cs="Times New Roman" w:ascii="Times New Roman" w:hAnsi="Times New Roman"/>
            <w:color w:val="212121"/>
            <w:sz w:val="24"/>
            <w:szCs w:val="24"/>
            <w:shd w:fill="FFFFFF" w:val="clear"/>
          </w:rPr>
          <w:t>s</w:t>
        </w:r>
      </w:ins>
      <w:r>
        <w:rPr>
          <w:rFonts w:cs="Times New Roman" w:ascii="Times New Roman" w:hAnsi="Times New Roman"/>
          <w:color w:val="212121"/>
          <w:sz w:val="24"/>
          <w:szCs w:val="24"/>
          <w:shd w:fill="FFFFFF" w:val="clear"/>
        </w:rPr>
        <w:t xml:space="preserve"> and </w:t>
      </w:r>
      <w:del w:id="8" w:author="Martin Gerdin Wärnberg" w:date="2021-06-28T21:21:19Z">
        <w:r>
          <w:rPr>
            <w:rFonts w:cs="Times New Roman" w:ascii="Times New Roman" w:hAnsi="Times New Roman"/>
            <w:color w:val="212121"/>
            <w:sz w:val="24"/>
            <w:szCs w:val="24"/>
            <w:shd w:fill="FFFFFF" w:val="clear"/>
          </w:rPr>
          <w:delText>involvement</w:delText>
        </w:r>
      </w:del>
      <w:ins w:id="9" w:author="Martin Gerdin Wärnberg" w:date="2021-06-28T21:21:19Z">
        <w:r>
          <w:rPr>
            <w:rFonts w:cs="Times New Roman" w:ascii="Times New Roman" w:hAnsi="Times New Roman"/>
            <w:color w:val="212121"/>
            <w:sz w:val="24"/>
            <w:szCs w:val="24"/>
            <w:shd w:fill="FFFFFF" w:val="clear"/>
          </w:rPr>
          <w:t>are often involved</w:t>
        </w:r>
      </w:ins>
      <w:r>
        <w:rPr>
          <w:rFonts w:cs="Times New Roman" w:ascii="Times New Roman" w:hAnsi="Times New Roman"/>
          <w:color w:val="212121"/>
          <w:sz w:val="24"/>
          <w:szCs w:val="24"/>
          <w:shd w:fill="FFFFFF" w:val="clear"/>
        </w:rPr>
        <w:t xml:space="preserve"> in crashes.</w:t>
      </w:r>
      <w:r>
        <w:fldChar w:fldCharType="begin"/>
      </w:r>
      <w:r>
        <w:rPr>
          <w:sz w:val="24"/>
          <w:shd w:fill="FFFFFF" w:val="clear"/>
          <w:szCs w:val="24"/>
          <w:rFonts w:cs="Times New Roman" w:ascii="Times New Roman" w:hAnsi="Times New Roman"/>
          <w:color w:val="212121"/>
        </w:rPr>
        <w:instrText>ADDIN EN.CITE &lt;EndNote&gt;&lt;Cite&gt;&lt;Author&gt;Piyapromdee&lt;/Author&gt;&lt;Year&gt;2015&lt;/Year&gt;&lt;RecNum&gt;33&lt;/RecNum&gt;&lt;DisplayText&gt;&lt;style face="superscript"&gt;4&lt;/style&gt;&lt;/DisplayText&gt;&lt;record&gt;&lt;rec-number&gt;33&lt;/rec-number&gt;&lt;foreign-keys&gt;&lt;key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vertAlign w:val="superscript"/>
        </w:rPr>
        <w:t>4</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Understanding underage motorcycle driving can be critical in suggesting preventive measures in low-income settings, as these countries account for about 90% of road deaths in adolescents globally.</w:t>
      </w:r>
      <w:r>
        <w:fldChar w:fldCharType="begin"/>
      </w:r>
      <w:r>
        <w:rPr>
          <w:sz w:val="24"/>
          <w:shd w:fill="FFFFFF" w:val="clear"/>
          <w:szCs w:val="24"/>
          <w:rFonts w:cs="Times New Roman" w:ascii="Times New Roman" w:hAnsi="Times New Roman"/>
          <w:color w:val="212121"/>
        </w:rPr>
        <w:instrText>ADDIN EN.CITE &lt;EndNote&gt;&lt;Cite&gt;&lt;Author&gt;Nantulya&lt;/Author&gt;&lt;Year&gt;2003&lt;/Year&gt;&lt;RecNum&gt;28&lt;/RecNum&gt;&lt;DisplayText&gt;[12]&lt;/DisplayText&gt;&lt;record&gt;&lt;rec-number&gt;28&lt;/rec-number&gt;&lt;foreign-keys&gt;&lt;key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[12]</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Unlike high-income </w:t>
      </w:r>
      <w:r>
        <w:rPr>
          <w:rFonts w:cs="Times New Roman" w:ascii="Times New Roman" w:hAnsi="Times New Roman"/>
          <w:sz w:val="24"/>
          <w:szCs w:val="24"/>
        </w:rPr>
        <w:t>countries</w:t>
      </w:r>
      <w:r>
        <w:rPr>
          <w:rFonts w:cs="Times New Roman" w:ascii="Times New Roman" w:hAnsi="Times New Roman"/>
          <w:color w:val="212121"/>
          <w:sz w:val="24"/>
          <w:szCs w:val="24"/>
          <w:shd w:fill="FFFFFF" w:val="clear"/>
        </w:rPr>
        <w:t xml:space="preserve">, many low-income settings lack stringent rules for obtaining driving license. Previous studies report high crash rates in the early licensure period regardless of age of licensure compared to adults. </w:t>
      </w:r>
      <w:r>
        <w:fldChar w:fldCharType="begin"/>
      </w:r>
      <w:r>
        <w:rPr>
          <w:sz w:val="24"/>
          <w:shd w:fill="FFFFFF" w:val="clear"/>
          <w:szCs w:val="24"/>
          <w:rFonts w:cs="Times New Roman" w:ascii="Times New Roman" w:hAnsi="Times New Roman"/>
          <w:color w:val="212121"/>
        </w:rPr>
        <w:instrText>ADDIN EN.CITE</w:instrText>
      </w:r>
      <w:r>
        <w:rPr>
          <w:rFonts w:cs="Times New Roman" w:ascii="Times New Roman" w:hAnsi="Times New Roman"/>
          <w:color w:val="212121"/>
          <w:sz w:val="24"/>
          <w:szCs w:val="24"/>
          <w:shd w:fill="FFFFFF" w:val="clear"/>
        </w:rPr>
      </w:r>
      <w:r>
        <w:fldChar w:fldCharType="begin"/>
      </w:r>
      <w:r>
        <w:rPr>
          <w:sz w:val="24"/>
          <w:shd w:fill="FFFFFF" w:val="clear"/>
          <w:szCs w:val="24"/>
          <w:rFonts w:cs="Times New Roman" w:ascii="Times New Roman" w:hAnsi="Times New Roman"/>
          <w:color w:val="212121"/>
        </w:rPr>
        <w:instrText>ADDIN EN.CITE.DATA</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[5,13-18]</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The risk of crashes is particularly high in the first 12 to 18 months of independent driving after obtaining license. </w:t>
      </w:r>
      <w:r>
        <w:fldChar w:fldCharType="begin"/>
      </w:r>
      <w:r>
        <w:rPr>
          <w:sz w:val="24"/>
          <w:shd w:fill="FFFFFF" w:val="clear"/>
          <w:szCs w:val="24"/>
          <w:rFonts w:cs="Times New Roman" w:ascii="Times New Roman" w:hAnsi="Times New Roman"/>
          <w:color w:val="212121"/>
        </w:rPr>
        <w:instrText>ADDIN EN.CITE &lt;EndNote&gt;&lt;Cite&gt;&lt;Author&gt;Curry&lt;/Author&gt;&lt;Year&gt;2017&lt;/Year&gt;&lt;RecNum&gt;19&lt;/RecNum&gt;&lt;DisplayText&gt;[19]&lt;/DisplayText&gt;&lt;record&gt;&lt;rec-number&gt;19&lt;/rec-number&gt;&lt;foreign-keys&gt;&lt;key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[19]</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jc w:val="both"/>
        <w:rPr>
          <w:rFonts w:ascii="Times New Roman" w:hAnsi="Times New Roman" w:cs="Times New Roman"/>
          <w:color w:val="212121"/>
          <w:sz w:val="24"/>
          <w:szCs w:val="24"/>
          <w:shd w:fill="FFFFFF" w:val="clear"/>
        </w:rPr>
      </w:pPr>
      <w:r>
        <w:rPr>
          <w:rFonts w:cs="Times New Roman" w:ascii="Times New Roman" w:hAnsi="Times New Roman"/>
          <w:sz w:val="24"/>
          <w:szCs w:val="24"/>
          <w:shd w:fill="FFFFFF" w:val="clear"/>
        </w:rPr>
        <w:t xml:space="preserve">Our aim is to </w:t>
      </w:r>
      <w:r>
        <w:rPr>
          <w:rFonts w:cs="Times New Roman" w:ascii="Times New Roman" w:hAnsi="Times New Roman"/>
          <w:sz w:val="24"/>
          <w:szCs w:val="24"/>
        </w:rPr>
        <w:t xml:space="preserve">determine association of age of young motorcyclists </w:t>
      </w:r>
      <w:commentRangeStart w:id="2"/>
      <w:r>
        <w:rPr>
          <w:rFonts w:cs="Times New Roman" w:ascii="Times New Roman" w:hAnsi="Times New Roman"/>
          <w:sz w:val="24"/>
          <w:szCs w:val="24"/>
        </w:rPr>
        <w:t xml:space="preserve">(13-17, 18-19 and 20-24 years) </w:t>
      </w:r>
      <w:ins w:id="10" w:author="Martin Gerdin Wärnberg" w:date="2021-06-28T21:24:52Z">
        <w:r>
          <w:rPr>
            <w:rFonts w:cs="Times New Roman" w:ascii="Times New Roman" w:hAnsi="Times New Roman"/>
            <w:sz w:val="24"/>
            <w:szCs w:val="24"/>
          </w:rPr>
        </w:r>
      </w:ins>
      <w:commentRangeEnd w:id="2"/>
      <w:r>
        <w:commentReference w:id="2"/>
      </w:r>
      <w:r>
        <w:rPr>
          <w:rFonts w:cs="Times New Roman" w:ascii="Times New Roman" w:hAnsi="Times New Roman"/>
          <w:sz w:val="24"/>
          <w:szCs w:val="24"/>
        </w:rPr>
        <w:t>with injury severity and in-hospital death due to road crash in Karachi, Pakistan.</w:t>
      </w:r>
    </w:p>
    <w:p>
      <w:pPr>
        <w:pStyle w:val="Normal"/>
        <w:spacing w:lineRule="auto" w:line="480"/>
        <w:rPr>
          <w:rFonts w:ascii="Times New Roman" w:hAnsi="Times New Roman" w:cs="Times New Roman"/>
          <w:sz w:val="24"/>
          <w:szCs w:val="24"/>
          <w:shd w:fill="FFFFFF" w:val="clear"/>
        </w:rPr>
      </w:pPr>
      <w:r>
        <w:rPr>
          <w:rFonts w:cs="Times New Roman" w:ascii="Times New Roman" w:hAnsi="Times New Roman"/>
          <w:b/>
          <w:sz w:val="24"/>
          <w:szCs w:val="24"/>
        </w:rPr>
        <w:t>Methods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Design</w:t>
      </w:r>
    </w:p>
    <w:p>
      <w:pPr>
        <w:pStyle w:val="Normal"/>
        <w:spacing w:lineRule="auto" w:line="480"/>
        <w:ind w:firstLine="720"/>
        <w:jc w:val="both"/>
        <w:rPr>
          <w:rFonts w:ascii="Times New Roman" w:hAnsi="Times New Roman" w:cs="Times New Roman"/>
          <w:b/>
          <w:b/>
          <w:sz w:val="24"/>
          <w:szCs w:val="24"/>
        </w:rPr>
      </w:pPr>
      <w:r>
        <w:rPr>
          <w:rFonts w:cs="Times New Roman" w:ascii="Times New Roman" w:hAnsi="Times New Roman"/>
          <w:sz w:val="24"/>
          <w:szCs w:val="24"/>
        </w:rPr>
        <w:t xml:space="preserve">The study is </w:t>
      </w:r>
      <w:commentRangeStart w:id="3"/>
      <w:r>
        <w:rPr>
          <w:rFonts w:cs="Times New Roman" w:ascii="Times New Roman" w:hAnsi="Times New Roman"/>
          <w:sz w:val="24"/>
          <w:szCs w:val="24"/>
        </w:rPr>
        <w:t>cross-sectional design</w:t>
      </w:r>
      <w:r>
        <w:rPr>
          <w:rFonts w:cs="Times New Roman" w:ascii="Times New Roman" w:hAnsi="Times New Roman"/>
          <w:sz w:val="24"/>
          <w:szCs w:val="24"/>
        </w:rPr>
      </w:r>
      <w:commentRangeEnd w:id="3"/>
      <w:r>
        <w:commentReference w:id="3"/>
      </w:r>
      <w:r>
        <w:rPr>
          <w:rFonts w:cs="Times New Roman" w:ascii="Times New Roman" w:hAnsi="Times New Roman"/>
          <w:sz w:val="24"/>
          <w:szCs w:val="24"/>
        </w:rPr>
        <w:t xml:space="preserve"> during the period 2007-2014.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Setting</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The study setting is Karachi, a large urban area of Pakistan with an estimated population of 18 million and a total length of the road network of over 8,000 kilometers.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Injury data were extracted from road traffic injury surveillance project based on emergency departments (ED) in all of the three government trauma centers in the city, and the two private tertiary care hospitals. The detailed methods have been described previously.</w:t>
      </w:r>
      <w:r>
        <w:fldChar w:fldCharType="begin"/>
      </w:r>
      <w:r>
        <w:rPr>
          <w:sz w:val="24"/>
          <w:szCs w:val="24"/>
          <w:rFonts w:cs="Times New Roman" w:ascii="Times New Roman" w:hAnsi="Times New Roman"/>
        </w:rPr>
        <w:instrText>ADDIN EN.CITE &lt;EndNote&gt;&lt;Cite&gt;&lt;Author&gt;Razzak&lt;/Author&gt;&lt;Year&gt;2012&lt;/Year&gt;&lt;RecNum&gt;10&lt;/RecNum&gt;&lt;DisplayText&gt;[20]&lt;/DisplayText&gt;&lt;record&gt;&lt;rec-number&gt;10&lt;/rec-number&gt;&lt;foreign-keys&gt;&lt;key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[20]</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spacing w:lineRule="auto" w:line="480"/>
        <w:ind w:firstLine="720"/>
        <w:jc w:val="both"/>
        <w:rPr>
          <w:rFonts w:ascii="Times New Roman" w:hAnsi="Times New Roman" w:cs="Times New Roman"/>
          <w:sz w:val="24"/>
          <w:szCs w:val="24"/>
          <w:del w:id="11" w:author="Martin Gerdin Wärnberg" w:date="2021-06-28T21:25:38Z"/>
        </w:rPr>
      </w:pPr>
      <w:r>
        <w:rPr>
          <w:rFonts w:cs="Times New Roman" w:ascii="Times New Roman" w:hAnsi="Times New Roman"/>
          <w:sz w:val="24"/>
          <w:szCs w:val="24"/>
        </w:rPr>
        <w:t>These hospitals receive nearly all major trauma cases from the city. The data collectors of the surveillance project gathered demographic information on the injured patients and details of the crash by asking victims, their relatives, ambulance drivers or any eyewitnesses. The system was piloted in late 2006 and formally launched in 2007.</w:t>
      </w:r>
    </w:p>
    <w:p>
      <w:pPr>
        <w:pStyle w:val="Normal"/>
        <w:widowControl/>
        <w:suppressAutoHyphens w:val="true"/>
        <w:bidi w:val="0"/>
        <w:spacing w:lineRule="auto" w:line="480" w:before="0" w:after="160"/>
        <w:ind w:firstLine="720"/>
        <w:jc w:val="both"/>
        <w:rPr>
          <w:rFonts w:ascii="Times New Roman" w:hAnsi="Times New Roman" w:cs="Times New Roman"/>
          <w:sz w:val="24"/>
          <w:szCs w:val="24"/>
          <w:del w:id="13" w:author="Martin Gerdin Wärnberg" w:date="2021-06-28T21:25:38Z"/>
        </w:rPr>
      </w:pPr>
      <w:del w:id="12" w:author="Martin Gerdin Wärnberg" w:date="2021-06-28T21:25:38Z">
        <w:r>
          <w:rPr>
            <w:rFonts w:cs="Times New Roman" w:ascii="Times New Roman" w:hAnsi="Times New Roman"/>
            <w:sz w:val="24"/>
            <w:szCs w:val="24"/>
          </w:rPr>
        </w:r>
      </w:del>
    </w:p>
    <w:p>
      <w:pPr>
        <w:pStyle w:val="Normal"/>
        <w:widowControl/>
        <w:suppressAutoHyphens w:val="true"/>
        <w:bidi w:val="0"/>
        <w:spacing w:lineRule="auto" w:line="480" w:before="0" w:after="160"/>
        <w:ind w:firstLine="720"/>
        <w:jc w:val="both"/>
        <w:rPr>
          <w:rFonts w:ascii="Times New Roman" w:hAnsi="Times New Roman" w:cs="Times New Roman"/>
          <w:sz w:val="24"/>
          <w:szCs w:val="24"/>
          <w:del w:id="15" w:author="Martin Gerdin Wärnberg" w:date="2021-06-28T21:25:38Z"/>
        </w:rPr>
      </w:pPr>
      <w:del w:id="14" w:author="Martin Gerdin Wärnberg" w:date="2021-06-28T21:25:38Z">
        <w:r>
          <w:rPr>
            <w:rFonts w:cs="Times New Roman" w:ascii="Times New Roman" w:hAnsi="Times New Roman"/>
            <w:b/>
            <w:sz w:val="24"/>
            <w:szCs w:val="24"/>
          </w:rPr>
        </w:r>
      </w:del>
    </w:p>
    <w:p>
      <w:pPr>
        <w:pStyle w:val="Normal"/>
        <w:widowControl/>
        <w:suppressAutoHyphens w:val="true"/>
        <w:bidi w:val="0"/>
        <w:spacing w:lineRule="auto" w:line="480" w:before="0" w:after="160"/>
        <w:ind w:firstLine="720"/>
        <w:jc w:val="both"/>
        <w:rPr>
          <w:rFonts w:ascii="Times New Roman" w:hAnsi="Times New Roman" w:cs="Times New Roman"/>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Participants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Road traffic crash victims of age 13-24 years who were drivers of motorcycles or any other vehicle and reported to emergency departments of participating hospitals with injuries.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Outcomes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Injury severity score </w:t>
      </w:r>
      <w:commentRangeStart w:id="4"/>
      <w:r>
        <w:rPr>
          <w:rFonts w:cs="Times New Roman" w:ascii="Times New Roman" w:hAnsi="Times New Roman"/>
          <w:sz w:val="24"/>
          <w:szCs w:val="24"/>
        </w:rPr>
        <w:t>ISS</w:t>
      </w:r>
      <w:ins w:id="16" w:author="Martin Gerdin Wärnberg" w:date="2021-06-28T21:26:03Z">
        <w:r>
          <w:rPr>
            <w:rFonts w:cs="Times New Roman" w:ascii="Times New Roman" w:hAnsi="Times New Roman"/>
            <w:sz w:val="24"/>
            <w:szCs w:val="24"/>
          </w:rPr>
        </w:r>
      </w:ins>
      <w:commentRangeEnd w:id="4"/>
      <w:r>
        <w:commentReference w:id="4"/>
      </w:r>
      <w:r>
        <w:rPr>
          <w:rFonts w:cs="Times New Roman" w:ascii="Times New Roman" w:hAnsi="Times New Roman"/>
          <w:sz w:val="24"/>
          <w:szCs w:val="24"/>
        </w:rPr>
        <w:t xml:space="preserve"> &gt;= 16 </w:t>
      </w:r>
      <w:r>
        <w:fldChar w:fldCharType="begin"/>
      </w:r>
      <w:r>
        <w:rPr>
          <w:sz w:val="24"/>
          <w:szCs w:val="24"/>
          <w:rFonts w:cs="Times New Roman" w:ascii="Times New Roman" w:hAnsi="Times New Roman"/>
        </w:rPr>
        <w:instrText>ADDIN EN.CITE &lt;EndNote&gt;&lt;Cite&gt;&lt;Author&gt;Schröter&lt;/Author&gt;&lt;Year&gt;2019&lt;/Year&gt;&lt;RecNum&gt;29&lt;/RecNum&gt;&lt;DisplayText&gt;&lt;style face="superscript"&gt;6&lt;/style&gt;&lt;/DisplayText&gt;&lt;record&gt;&lt;rec-number&gt;29&lt;/rec-number&gt;&lt;foreign-keys&gt;&lt;key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and in hospital death</w:t>
      </w:r>
      <w:del w:id="17" w:author="Martin Gerdin Wärnberg" w:date="2021-06-28T21:25:56Z">
        <w:r>
          <w:rPr>
            <w:rFonts w:cs="Times New Roman" w:ascii="Times New Roman" w:hAnsi="Times New Roman"/>
            <w:sz w:val="24"/>
            <w:szCs w:val="24"/>
          </w:rPr>
          <w:delText>s</w:delText>
        </w:r>
      </w:del>
      <w:r>
        <w:rPr>
          <w:rFonts w:cs="Times New Roman" w:ascii="Times New Roman" w:hAnsi="Times New Roman"/>
          <w:sz w:val="24"/>
          <w:szCs w:val="24"/>
        </w:rPr>
        <w:t xml:space="preserve"> due to road traffic crash.</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Exposure </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Age</w:t>
      </w:r>
      <w:ins w:id="18" w:author="Martin Gerdin Wärnberg" w:date="2021-06-28T21:26:24Z">
        <w:r>
          <w:rPr>
            <w:rFonts w:cs="Times New Roman" w:ascii="Times New Roman" w:hAnsi="Times New Roman"/>
            <w:sz w:val="24"/>
            <w:szCs w:val="24"/>
          </w:rPr>
          <w:t xml:space="preserve">, </w:t>
        </w:r>
      </w:ins>
      <w:ins w:id="19" w:author="Martin Gerdin Wärnberg" w:date="2021-06-28T21:26:24Z">
        <w:r>
          <w:rPr>
            <w:rFonts w:cs="Times New Roman" w:ascii="Times New Roman" w:hAnsi="Times New Roman"/>
            <w:sz w:val="24"/>
            <w:szCs w:val="24"/>
          </w:rPr>
          <w:t>categorised as</w:t>
        </w:r>
      </w:ins>
      <w:r>
        <w:rPr>
          <w:rFonts w:cs="Times New Roman" w:ascii="Times New Roman" w:hAnsi="Times New Roman"/>
          <w:sz w:val="24"/>
          <w:szCs w:val="24"/>
        </w:rPr>
        <w:t xml:space="preserve"> </w:t>
      </w:r>
      <w:del w:id="20" w:author="Martin Gerdin Wärnberg" w:date="2021-06-28T21:26:30Z">
        <w:r>
          <w:rPr>
            <w:rFonts w:cs="Times New Roman" w:ascii="Times New Roman" w:hAnsi="Times New Roman"/>
            <w:sz w:val="24"/>
            <w:szCs w:val="24"/>
          </w:rPr>
          <w:delText>groups</w:delText>
        </w:r>
      </w:del>
      <w:r>
        <w:rPr>
          <w:rFonts w:cs="Times New Roman" w:ascii="Times New Roman" w:hAnsi="Times New Roman"/>
          <w:sz w:val="24"/>
          <w:szCs w:val="24"/>
        </w:rPr>
        <w:t xml:space="preserve"> 13-17 years (underage), 18-19 years (early licensure age) and 20-24 years (post two years of licensure age).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Study variables </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Gender, injured body region, time of the crash, weekday versus weekend, helmet use,  </w:t>
      </w:r>
      <w:commentRangeStart w:id="5"/>
      <w:r>
        <w:rPr>
          <w:rFonts w:cs="Times New Roman" w:ascii="Times New Roman" w:hAnsi="Times New Roman"/>
          <w:sz w:val="24"/>
          <w:szCs w:val="24"/>
        </w:rPr>
        <w:t>type of location</w:t>
      </w:r>
      <w:ins w:id="21" w:author="Martin Gerdin Wärnberg" w:date="2021-06-28T21:27:47Z">
        <w:r>
          <w:rPr>
            <w:rFonts w:cs="Times New Roman" w:ascii="Times New Roman" w:hAnsi="Times New Roman"/>
            <w:sz w:val="24"/>
            <w:szCs w:val="24"/>
          </w:rPr>
        </w:r>
      </w:ins>
      <w:commentRangeEnd w:id="5"/>
      <w:r>
        <w:commentReference w:id="5"/>
      </w:r>
      <w:r>
        <w:rPr>
          <w:rFonts w:cs="Times New Roman" w:ascii="Times New Roman" w:hAnsi="Times New Roman"/>
          <w:sz w:val="24"/>
          <w:szCs w:val="24"/>
        </w:rPr>
        <w:t xml:space="preserve"> (</w:t>
      </w:r>
      <w:commentRangeStart w:id="6"/>
      <w:r>
        <w:rPr>
          <w:rFonts w:cs="Times New Roman" w:ascii="Times New Roman" w:hAnsi="Times New Roman"/>
          <w:sz w:val="24"/>
          <w:szCs w:val="24"/>
        </w:rPr>
        <w:t>intersection or midblock</w:t>
      </w:r>
      <w:ins w:id="22" w:author="Martin Gerdin Wärnberg" w:date="2021-06-28T21:28:02Z">
        <w:r>
          <w:rPr>
            <w:rFonts w:cs="Times New Roman" w:ascii="Times New Roman" w:hAnsi="Times New Roman"/>
            <w:sz w:val="24"/>
            <w:szCs w:val="24"/>
          </w:rPr>
        </w:r>
      </w:ins>
      <w:commentRangeEnd w:id="6"/>
      <w:r>
        <w:commentReference w:id="6"/>
      </w:r>
      <w:r>
        <w:rPr>
          <w:rFonts w:cs="Times New Roman" w:ascii="Times New Roman" w:hAnsi="Times New Roman"/>
          <w:sz w:val="24"/>
          <w:szCs w:val="24"/>
        </w:rPr>
        <w:t>), transport vehicle to hospital and Glasgow Coma scale (GCS).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Ethics approval</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Ethics of study methods were approved from the Institutional Review Board of the Jinnah Post Graduate Medical Center, which is coordinating site of this road surveillance project.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We performed the analysis using R.</w:t>
      </w:r>
      <w:r>
        <w:fldChar w:fldCharType="begin"/>
      </w:r>
      <w:r>
        <w:rPr>
          <w:sz w:val="24"/>
          <w:szCs w:val="24"/>
          <w:rFonts w:cs="Times New Roman" w:ascii="Times New Roman" w:hAnsi="Times New Roman"/>
        </w:rPr>
        <w:instrText>ADDIN EN.CITE &lt;EndNote&gt;&lt;Cite&gt;&lt;Author&gt;Team R Core&lt;/Author&gt;&lt;Year&gt;2017&lt;/Year&gt;&lt;RecNum&gt;11&lt;/RecNum&gt;&lt;DisplayText&gt;[21]&lt;/DisplayText&gt;&lt;record&gt;&lt;rec-number&gt;11&lt;/rec-number&gt;&lt;foreign-keys&gt;&lt;key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 categorical variables are described using frequencies and percentages (age, gender, injury region, crash location, transport vehicle to hospital and GCS).</w:t>
      </w:r>
      <w:commentRangeStart w:id="7"/>
      <w:r>
        <w:rPr>
          <w:rFonts w:cs="Times New Roman" w:ascii="Times New Roman" w:hAnsi="Times New Roman"/>
          <w:sz w:val="24"/>
          <w:szCs w:val="24"/>
        </w:rPr>
        <w:t xml:space="preserve"> Chi-square tests were used to assess crash characteristics associated with drivers of motorcycles versus </w:t>
      </w:r>
      <w:ins w:id="23" w:author="Martin Gerdin Wärnberg" w:date="2021-06-28T21:34:26Z">
        <w:r>
          <w:rPr>
            <w:rFonts w:cs="Times New Roman" w:ascii="Times New Roman" w:hAnsi="Times New Roman"/>
            <w:sz w:val="24"/>
            <w:szCs w:val="24"/>
          </w:rPr>
        </w:r>
      </w:ins>
      <w:commentRangeStart w:id="8"/>
      <w:commentRangeEnd w:id="7"/>
      <w:r>
        <w:commentReference w:id="7"/>
      </w:r>
      <w:r>
        <w:rPr>
          <w:rFonts w:cs="Times New Roman" w:ascii="Times New Roman" w:hAnsi="Times New Roman"/>
          <w:sz w:val="24"/>
          <w:szCs w:val="24"/>
        </w:rPr>
        <w:t>other drivers.</w:t>
      </w:r>
      <w:ins w:id="24" w:author="Martin Gerdin Wärnberg" w:date="2021-06-28T21:28:36Z">
        <w:r>
          <w:rPr>
            <w:rFonts w:cs="Times New Roman" w:ascii="Times New Roman" w:hAnsi="Times New Roman"/>
            <w:sz w:val="24"/>
            <w:szCs w:val="24"/>
          </w:rPr>
        </w:r>
      </w:ins>
      <w:commentRangeEnd w:id="8"/>
      <w:r>
        <w:commentReference w:id="8"/>
      </w:r>
      <w:r>
        <w:rPr>
          <w:rFonts w:cs="Times New Roman" w:ascii="Times New Roman" w:hAnsi="Times New Roman"/>
          <w:sz w:val="24"/>
          <w:szCs w:val="24"/>
        </w:rPr>
        <w:t xml:space="preserve"> We used logistic regression to assess the association of age group</w:t>
      </w:r>
      <w:del w:id="25" w:author="Martin Gerdin Wärnberg" w:date="2021-06-28T21:28:45Z">
        <w:r>
          <w:rPr>
            <w:rFonts w:cs="Times New Roman" w:ascii="Times New Roman" w:hAnsi="Times New Roman"/>
            <w:sz w:val="24"/>
            <w:szCs w:val="24"/>
          </w:rPr>
          <w:delText>s</w:delText>
        </w:r>
      </w:del>
      <w:r>
        <w:rPr>
          <w:rFonts w:cs="Times New Roman" w:ascii="Times New Roman" w:hAnsi="Times New Roman"/>
          <w:sz w:val="24"/>
          <w:szCs w:val="24"/>
        </w:rPr>
        <w:t xml:space="preserve"> (13-17 years</w:t>
      </w:r>
      <w:ins w:id="26" w:author="Martin Gerdin Wärnberg" w:date="2021-06-28T21:28:55Z">
        <w:r>
          <w:rPr>
            <w:rFonts w:cs="Times New Roman" w:ascii="Times New Roman" w:hAnsi="Times New Roman"/>
            <w:sz w:val="24"/>
            <w:szCs w:val="24"/>
          </w:rPr>
          <w:t xml:space="preserve"> </w:t>
        </w:r>
      </w:ins>
      <w:ins w:id="27" w:author="Martin Gerdin Wärnberg" w:date="2021-06-28T21:28:55Z">
        <w:r>
          <w:rPr>
            <w:rFonts w:cs="Times New Roman" w:ascii="Times New Roman" w:hAnsi="Times New Roman"/>
            <w:sz w:val="24"/>
            <w:szCs w:val="24"/>
          </w:rPr>
          <w:t xml:space="preserve">and </w:t>
        </w:r>
      </w:ins>
      <w:del w:id="28" w:author="Martin Gerdin Wärnberg" w:date="2021-06-28T21:28:55Z">
        <w:r>
          <w:rPr>
            <w:rFonts w:cs="Times New Roman" w:ascii="Times New Roman" w:hAnsi="Times New Roman"/>
            <w:sz w:val="24"/>
            <w:szCs w:val="24"/>
          </w:rPr>
          <w:delText xml:space="preserve">, </w:delText>
        </w:r>
      </w:del>
      <w:r>
        <w:rPr>
          <w:rFonts w:cs="Times New Roman" w:ascii="Times New Roman" w:hAnsi="Times New Roman"/>
          <w:sz w:val="24"/>
          <w:szCs w:val="24"/>
        </w:rPr>
        <w:t>18-19 years compared with 20-24 years) and the outcomes severe injury (ISS ≥ 16) and in hospital death.</w:t>
      </w:r>
      <w:ins w:id="29" w:author="Martin Gerdin Wärnberg" w:date="2021-06-28T21:30:23Z">
        <w:r>
          <w:rPr>
            <w:rFonts w:cs="Times New Roman" w:ascii="Times New Roman" w:hAnsi="Times New Roman"/>
            <w:sz w:val="24"/>
            <w:szCs w:val="24"/>
          </w:rPr>
          <w:t xml:space="preserve"> </w:t>
        </w:r>
      </w:ins>
      <w:ins w:id="30" w:author="Martin Gerdin Wärnberg" w:date="2021-06-28T21:30:23Z">
        <w:r>
          <w:rPr>
            <w:rFonts w:cs="Times New Roman" w:ascii="Times New Roman" w:hAnsi="Times New Roman"/>
            <w:sz w:val="24"/>
            <w:szCs w:val="24"/>
          </w:rPr>
          <w:t>We conducted a complete case analysis,</w:t>
        </w:r>
      </w:ins>
      <w:ins w:id="31" w:author="Martin Gerdin Wärnberg" w:date="2021-06-28T21:31:03Z">
        <w:r>
          <w:rPr>
            <w:rFonts w:cs="Times New Roman" w:ascii="Times New Roman" w:hAnsi="Times New Roman"/>
            <w:sz w:val="24"/>
            <w:szCs w:val="24"/>
          </w:rPr>
          <w:t xml:space="preserve"> estimated 95% confidence intervals, and interpreted confidence intervals of differences that excluded no difference as </w:t>
        </w:r>
      </w:ins>
      <w:ins w:id="32" w:author="Martin Gerdin Wärnberg" w:date="2021-06-28T21:36:05Z">
        <w:r>
          <w:rPr>
            <w:rFonts w:cs="Times New Roman" w:ascii="Times New Roman" w:hAnsi="Times New Roman"/>
            <w:sz w:val="24"/>
            <w:szCs w:val="24"/>
          </w:rPr>
          <w:t>statistically significant.</w:t>
        </w:r>
      </w:ins>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jc w:val="both"/>
        <w:rPr>
          <w:rFonts w:ascii="Times New Roman" w:hAnsi="Times New Roman" w:cs="Times New Roman"/>
          <w:sz w:val="24"/>
          <w:szCs w:val="24"/>
        </w:rPr>
      </w:pPr>
      <w:commentRangeStart w:id="9"/>
      <w:r>
        <w:rPr>
          <w:rFonts w:cs="Times New Roman" w:ascii="Times New Roman" w:hAnsi="Times New Roman"/>
          <w:sz w:val="24"/>
          <w:szCs w:val="24"/>
        </w:rPr>
        <w:t>Table</w:t>
      </w:r>
      <w:ins w:id="33" w:author="Martin Gerdin Wärnberg" w:date="2021-06-28T21:29:32Z">
        <w:r>
          <w:rPr>
            <w:rFonts w:cs="Times New Roman" w:ascii="Times New Roman" w:hAnsi="Times New Roman"/>
            <w:sz w:val="24"/>
            <w:szCs w:val="24"/>
          </w:rPr>
        </w:r>
      </w:ins>
      <w:commentRangeEnd w:id="9"/>
      <w:r>
        <w:commentReference w:id="9"/>
      </w:r>
      <w:r>
        <w:rPr>
          <w:rFonts w:cs="Times New Roman" w:ascii="Times New Roman" w:hAnsi="Times New Roman"/>
          <w:sz w:val="24"/>
          <w:szCs w:val="24"/>
        </w:rPr>
        <w:t xml:space="preserve"> 1 shows descriptive characteristics of </w:t>
      </w:r>
      <w:ins w:id="34" w:author="Martin Gerdin Wärnberg" w:date="2021-06-28T21:29:11Z">
        <w:r>
          <w:rPr>
            <w:rFonts w:cs="Times New Roman" w:ascii="Times New Roman" w:hAnsi="Times New Roman"/>
            <w:sz w:val="24"/>
            <w:szCs w:val="24"/>
          </w:rPr>
          <w:t xml:space="preserve">the </w:t>
        </w:r>
      </w:ins>
      <w:r>
        <w:rPr>
          <w:rFonts w:cs="Times New Roman" w:ascii="Times New Roman" w:hAnsi="Times New Roman"/>
          <w:sz w:val="24"/>
          <w:szCs w:val="24"/>
        </w:rPr>
        <w:t xml:space="preserve">young motorcyclists in the three age groups 13-17 years (underage driving age), 18-19 years (early licensure age) and age 20-24 years (post two years of licensure age). There were a total of 37,702 motorcyclists; out of which 8,099 (21.5%) were of age 13-17 years, 8,048 (21.3%) of 18-19 years and 21,555 (57.2%) of age 20-14 years. Almost all were males (99.8%). Helmet use was very low in all age groups but </w:t>
      </w:r>
      <w:del w:id="35" w:author="Martin Gerdin Wärnberg" w:date="2021-06-28T21:32:33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higher in 20-24 years of age (5%) as compared to 13-17 years of age (2%) and 18-19 years of age (2%). The distributions of other variables of interest were similar across groups. </w:t>
      </w:r>
      <w:commentRangeStart w:id="10"/>
      <w:r>
        <w:rPr>
          <w:rFonts w:cs="Times New Roman" w:ascii="Times New Roman" w:hAnsi="Times New Roman"/>
          <w:sz w:val="24"/>
          <w:szCs w:val="24"/>
        </w:rPr>
        <w:t>Midblock</w:t>
      </w:r>
      <w:r>
        <w:rPr>
          <w:rFonts w:cs="Times New Roman" w:ascii="Times New Roman" w:hAnsi="Times New Roman"/>
          <w:sz w:val="24"/>
          <w:szCs w:val="24"/>
        </w:rPr>
      </w:r>
      <w:commentRangeEnd w:id="10"/>
      <w:r>
        <w:commentReference w:id="10"/>
      </w:r>
      <w:r>
        <w:rPr>
          <w:rFonts w:cs="Times New Roman" w:ascii="Times New Roman" w:hAnsi="Times New Roman"/>
          <w:sz w:val="24"/>
          <w:szCs w:val="24"/>
        </w:rPr>
        <w:t xml:space="preserve"> was the location of crashes in almost 70% among the three age groups. Overall, more than half of motorcyclists had external injuries, about 60% had extremity injuries, and 30% had head injuries. More than 2% had severe injuries </w:t>
      </w:r>
      <w:del w:id="36" w:author="Martin Gerdin Wärnberg" w:date="2021-06-28T21:37:47Z">
        <w:r>
          <w:rPr>
            <w:rFonts w:cs="Times New Roman" w:ascii="Times New Roman" w:hAnsi="Times New Roman"/>
            <w:sz w:val="24"/>
            <w:szCs w:val="24"/>
          </w:rPr>
          <w:delText>while</w:delText>
        </w:r>
      </w:del>
      <w:ins w:id="37" w:author="Martin Gerdin Wärnberg" w:date="2021-06-28T21:37:47Z">
        <w:r>
          <w:rPr>
            <w:rFonts w:cs="Times New Roman" w:ascii="Times New Roman" w:hAnsi="Times New Roman"/>
            <w:sz w:val="24"/>
            <w:szCs w:val="24"/>
          </w:rPr>
          <w:t>whereas</w:t>
        </w:r>
      </w:ins>
      <w:r>
        <w:rPr>
          <w:rFonts w:cs="Times New Roman" w:ascii="Times New Roman" w:hAnsi="Times New Roman"/>
          <w:sz w:val="24"/>
          <w:szCs w:val="24"/>
        </w:rPr>
        <w:t xml:space="preserve"> less than 2% died.</w:t>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6"/>
        <w:gridCol w:w="1798"/>
        <w:gridCol w:w="1890"/>
        <w:gridCol w:w="1911"/>
      </w:tblGrid>
      <w:tr>
        <w:trPr>
          <w:cnfStyle w:val="100000000000" w:firstRow="1" w:lastRow="0" w:firstColumn="0" w:lastColumn="0" w:oddVBand="0" w:evenVBand="0" w:oddHBand="0" w:evenHBand="0" w:firstRowFirstColumn="0" w:firstRowLastColumn="0" w:lastRowFirstColumn="0" w:lastRowLastColumn="0"/>
        </w:trPr>
        <w:tc>
          <w:tcPr>
            <w:tcW w:w="9015"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single" w:sz="4" w:space="0" w:color="000000"/>
              <w:right w:val="nil"/>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Cs/>
                <w:kern w:val="0"/>
                <w:sz w:val="24"/>
                <w:szCs w:val="24"/>
                <w:lang w:val="en-US" w:eastAsia="en-US" w:bidi="ar-SA"/>
              </w:rPr>
              <w:t>Table 1: Characteristics of underage motorcyclists versus young motorcyclists of legal age (n=37,702)</w:t>
            </w:r>
          </w:p>
        </w:tc>
      </w:tr>
      <w:tr>
        <w:trPr/>
        <w:tc>
          <w:tcPr>
            <w:tcW w:w="341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b/>
                <w:bCs/>
                <w:kern w:val="0"/>
                <w:sz w:val="24"/>
                <w:szCs w:val="24"/>
                <w:lang w:val="en-US" w:eastAsia="en-US" w:bidi="ar-SA"/>
              </w:rPr>
              <w:t>Variables</w:t>
            </w:r>
          </w:p>
        </w:tc>
        <w:tc>
          <w:tcPr>
            <w:tcW w:w="1798" w:type="dxa"/>
            <w:tcBorders>
              <w:top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13-17 years</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n=8,099</w:t>
            </w:r>
          </w:p>
        </w:tc>
        <w:tc>
          <w:tcPr>
            <w:tcW w:w="1890" w:type="dxa"/>
            <w:tcBorders>
              <w:top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18-19 years</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n=8,048</w:t>
            </w:r>
          </w:p>
        </w:tc>
        <w:tc>
          <w:tcPr>
            <w:tcW w:w="1911" w:type="dxa"/>
            <w:tcBorders>
              <w:top w:val="single" w:sz="4" w:space="0" w:color="000000"/>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20-24 years</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n=21,555</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Male</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kern w:val="0"/>
                <w:sz w:val="24"/>
                <w:szCs w:val="24"/>
                <w:lang w:val="en-US" w:eastAsia="en-US" w:bidi="ar-SA"/>
              </w:rPr>
              <w:t>8080 (99.8)</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8028 (99.8)</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21501 (99.8)</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Time of crash</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Dark</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4465 (55.1)</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3634 (44.9)</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3877 (48.2)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4171 (51.8)</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11261 (52.2)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10294 (47.8)</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Day of the week</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Weekend</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5250 (64.8)</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2849 (35.2)</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5221 (64.9)</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2827 (35.1)</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14427 (66.9)</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7128 (33.1)</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No</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149 (1.9)</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7524 (98.1)</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186 (2.4)</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7547 (97.6)</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978 (4.7)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19734  (95.3)</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Midblock</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1967 (25.0)</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5913 (75.0)</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2119 (27.2)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5658 (72.8)</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5881 (28.5)</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14790 (71.5)</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Transport to hospital</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Others</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6003 (75.4)</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1826 (22.9)</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102 (1.3)</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 (0.2)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 (0.1)</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5924 (74.9)</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1834 (23.2)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105 (1.3)</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 (0.3)</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 (0.3)</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15144 (71.5)</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5609 (26.5)</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335 (1.6)</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38 (0.2)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40 (0.2)</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eastAsia="Calibri" w:cs="Times New Roman"/>
                <w:b w:val="false"/>
                <w:b w:val="false"/>
                <w:sz w:val="24"/>
                <w:szCs w:val="24"/>
              </w:rPr>
            </w:pPr>
            <w:r>
              <w:rPr>
                <w:rFonts w:eastAsia="Calibri" w:cs="Times New Roman" w:ascii="Times New Roman" w:hAnsi="Times New Roman"/>
                <w:b w:val="false"/>
                <w:bCs/>
                <w:kern w:val="0"/>
                <w:sz w:val="24"/>
                <w:szCs w:val="24"/>
                <w:lang w:val="en-US" w:eastAsia="en-US" w:bidi="ar-SA"/>
              </w:rPr>
              <w:t>Glasgow coma scale (GCS)</w:t>
            </w:r>
          </w:p>
          <w:p>
            <w:pPr>
              <w:pStyle w:val="Normal"/>
              <w:widowControl/>
              <w:suppressAutoHyphens w:val="true"/>
              <w:spacing w:lineRule="auto" w:line="240" w:before="0" w:after="0"/>
              <w:jc w:val="left"/>
              <w:rPr>
                <w:rFonts w:ascii="Times New Roman" w:hAnsi="Times New Roman" w:eastAsia="Calibri"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eastAsia="Calibri"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eastAsia="Calibri"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eastAsia="Calibri"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eastAsia="Calibri"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3</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7598 (93.8)</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301 (3.7)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60 (0.7)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 (0.2)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126 (1.6)</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7539 (93.7)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321 (4.0)</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48 (0.6)</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 (0.2)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127 (1.6)</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20114 (93.3)</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932 (4.3))</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142 (0.7)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48 (0.2)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319 (1.5)</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Body region Injured (multi response variable)</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Head</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Face</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Chest</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Abdomen</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Extremities</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External</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2550 (31.5)</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2338 (28.9)   </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80 (1.0)</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113 (1.4)</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4432 (54.7)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4784 (59.1)</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2700 (33.5)</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2546 (31.6)</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63 (0.8)</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114 (1.4)</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4437 (55.1)</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4939 (61.4)</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7103 (33.0)</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6537 (30.3)</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230 (1.1)</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317 (1.5)</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11619 (53.9)</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13138 (61.0)</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Injury Severity score (ISS)</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More than or equal to 16</w:t>
            </w:r>
          </w:p>
        </w:tc>
        <w:tc>
          <w:tcPr>
            <w:tcW w:w="1798"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7589 (97.6)</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183 (2.4)</w:t>
            </w:r>
          </w:p>
        </w:tc>
        <w:tc>
          <w:tcPr>
            <w:tcW w:w="1890" w:type="dxa"/>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7515 (97.0)</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231 (3.0)</w:t>
            </w:r>
          </w:p>
        </w:tc>
        <w:tc>
          <w:tcPr>
            <w:tcW w:w="1911" w:type="dxa"/>
            <w:tcBorders>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20158 (97.5)</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519 (2.5)</w:t>
            </w:r>
          </w:p>
        </w:tc>
      </w:tr>
      <w:tr>
        <w:trPr/>
        <w:tc>
          <w:tcPr>
            <w:tcW w:w="3416"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tcBorders>
            <w:shd w:color="auto" w:fill="auto" w:val="clear"/>
          </w:tcPr>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Deaths</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No</w:t>
            </w:r>
          </w:p>
        </w:tc>
        <w:tc>
          <w:tcPr>
            <w:tcW w:w="1798" w:type="dxa"/>
            <w:tcBorders>
              <w:bottom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138 (1.7)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7939 (98.3)</w:t>
            </w:r>
          </w:p>
        </w:tc>
        <w:tc>
          <w:tcPr>
            <w:tcW w:w="1890" w:type="dxa"/>
            <w:tcBorders>
              <w:bottom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144 (1.8)</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7880 (98.2)</w:t>
            </w:r>
          </w:p>
        </w:tc>
        <w:tc>
          <w:tcPr>
            <w:tcW w:w="1911" w:type="dxa"/>
            <w:tcBorders>
              <w:bottom w:val="single" w:sz="4" w:space="0" w:color="000000"/>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363 (1.7)</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21135 (</w:t>
            </w:r>
            <w:bookmarkStart w:id="0" w:name="_GoBack"/>
            <w:bookmarkEnd w:id="0"/>
            <w:r>
              <w:rPr>
                <w:rFonts w:eastAsia="Calibri" w:cs="Times New Roman" w:ascii="Times New Roman" w:hAnsi="Times New Roman"/>
                <w:kern w:val="0"/>
                <w:sz w:val="24"/>
                <w:szCs w:val="24"/>
                <w:lang w:val="en-US" w:eastAsia="en-US" w:bidi="ar-SA"/>
              </w:rPr>
              <w:t>98.3)</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del w:id="39" w:author="Martin Gerdin Wärnberg" w:date="2021-06-28T21:38:13Z"/>
        </w:rPr>
      </w:pPr>
      <w:del w:id="38" w:author="Martin Gerdin Wärnberg" w:date="2021-06-28T21:38:13Z">
        <w:r>
          <w:rPr>
            <w:rFonts w:cs="Times New Roman" w:ascii="Times New Roman" w:hAnsi="Times New Roman"/>
            <w:b/>
            <w:sz w:val="24"/>
            <w:szCs w:val="24"/>
          </w:rPr>
        </w:r>
      </w:del>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Table 2 shows unadjusted and adjusted analyses of road traffic deaths. The age group 13-17 years (OR 1.06; 95% CIs 0.87, 1.24) and 18-19 years (OR 1.01; 95% CIs 0.83, 1.23) had higher odds of road traffic deaths in unadjusted analyses. The odds ratio increased for the age group 13-17 years in the adjusted </w:t>
      </w:r>
      <w:commentRangeStart w:id="11"/>
      <w:r>
        <w:rPr>
          <w:rFonts w:cs="Times New Roman" w:ascii="Times New Roman" w:hAnsi="Times New Roman"/>
          <w:sz w:val="24"/>
          <w:szCs w:val="24"/>
        </w:rPr>
        <w:t>model</w:t>
      </w:r>
      <w:ins w:id="40" w:author="Martin Gerdin Wärnberg" w:date="2021-06-28T21:39:29Z">
        <w:r>
          <w:rPr>
            <w:rFonts w:cs="Times New Roman" w:ascii="Times New Roman" w:hAnsi="Times New Roman"/>
            <w:sz w:val="24"/>
            <w:szCs w:val="24"/>
          </w:rPr>
        </w:r>
      </w:ins>
      <w:commentRangeEnd w:id="11"/>
      <w:r>
        <w:commentReference w:id="11"/>
      </w:r>
      <w:r>
        <w:rPr>
          <w:rFonts w:cs="Times New Roman" w:ascii="Times New Roman" w:hAnsi="Times New Roman"/>
          <w:sz w:val="24"/>
          <w:szCs w:val="24"/>
        </w:rPr>
        <w:t xml:space="preserve"> while it decreased in the 18-19 years age group but the confidence intervals were not statistically significant. </w:t>
      </w:r>
      <w:commentRangeStart w:id="12"/>
      <w:r>
        <w:rPr>
          <w:rFonts w:cs="Times New Roman" w:ascii="Times New Roman" w:hAnsi="Times New Roman"/>
          <w:sz w:val="24"/>
          <w:szCs w:val="24"/>
        </w:rPr>
        <w:t>Helmet non-use</w:t>
      </w:r>
      <w:r>
        <w:rPr>
          <w:rFonts w:cs="Times New Roman" w:ascii="Times New Roman" w:hAnsi="Times New Roman"/>
          <w:sz w:val="24"/>
          <w:szCs w:val="24"/>
        </w:rPr>
      </w:r>
      <w:commentRangeEnd w:id="12"/>
      <w:r>
        <w:commentReference w:id="12"/>
      </w:r>
      <w:r>
        <w:rPr>
          <w:rFonts w:cs="Times New Roman" w:ascii="Times New Roman" w:hAnsi="Times New Roman"/>
          <w:sz w:val="24"/>
          <w:szCs w:val="24"/>
        </w:rPr>
        <w:t xml:space="preserve"> was associated with increased odds of death (OR 3.12; 95% CIs 1.6, 7.29) and (aOR 9.98; 95% CIs 2.53, 46.11). The odds ratios were in opposite directions for midblock crash compared to crash on intersection in unadjusted model versus adjusted model (OR 1.4; 95% CIs 1.15, 1.71 and aOR 0.74; 95% CIs 0.50, 1.10) respectively. Compared with ambulances, the transfer to hospital in private vehicles was associated with </w:t>
      </w:r>
      <w:commentRangeStart w:id="13"/>
      <w:r>
        <w:rPr>
          <w:rFonts w:cs="Times New Roman" w:ascii="Times New Roman" w:hAnsi="Times New Roman"/>
          <w:sz w:val="24"/>
          <w:szCs w:val="24"/>
        </w:rPr>
        <w:t>reduced</w:t>
      </w:r>
      <w:ins w:id="41" w:author="Martin Gerdin Wärnberg" w:date="2021-06-28T21:40:27Z">
        <w:r>
          <w:rPr>
            <w:rFonts w:cs="Times New Roman" w:ascii="Times New Roman" w:hAnsi="Times New Roman"/>
            <w:sz w:val="24"/>
            <w:szCs w:val="24"/>
          </w:rPr>
        </w:r>
      </w:ins>
      <w:commentRangeEnd w:id="13"/>
      <w:r>
        <w:commentReference w:id="13"/>
      </w:r>
      <w:r>
        <w:rPr>
          <w:rFonts w:cs="Times New Roman" w:ascii="Times New Roman" w:hAnsi="Times New Roman"/>
          <w:sz w:val="24"/>
          <w:szCs w:val="24"/>
        </w:rPr>
        <w:t xml:space="preserve"> odds of death in both unadjusted (OR 0.07; 95% CIs 0.06, 0.09) and adjusted (aOR 0.28; 95% CIs 0.22, 0.36) analyses. There </w:t>
      </w:r>
      <w:del w:id="42" w:author="Martin Gerdin Wärnberg" w:date="2021-06-28T21:41:03Z">
        <w:r>
          <w:rPr>
            <w:rFonts w:cs="Times New Roman" w:ascii="Times New Roman" w:hAnsi="Times New Roman"/>
            <w:sz w:val="24"/>
            <w:szCs w:val="24"/>
          </w:rPr>
          <w:delText>is</w:delText>
        </w:r>
      </w:del>
      <w:ins w:id="43" w:author="Martin Gerdin Wärnberg" w:date="2021-06-28T21:41:03Z">
        <w:r>
          <w:rPr>
            <w:rFonts w:cs="Times New Roman" w:ascii="Times New Roman" w:hAnsi="Times New Roman"/>
            <w:sz w:val="24"/>
            <w:szCs w:val="24"/>
          </w:rPr>
          <w:t>was</w:t>
        </w:r>
      </w:ins>
      <w:r>
        <w:rPr>
          <w:rFonts w:cs="Times New Roman" w:ascii="Times New Roman" w:hAnsi="Times New Roman"/>
          <w:sz w:val="24"/>
          <w:szCs w:val="24"/>
        </w:rPr>
        <w:t xml:space="preserve"> an inverse relationship between GCS and death, </w:t>
      </w:r>
      <w:del w:id="44" w:author="Martin Gerdin Wärnberg" w:date="2021-06-28T21:41:16Z">
        <w:r>
          <w:rPr>
            <w:rFonts w:cs="Times New Roman" w:ascii="Times New Roman" w:hAnsi="Times New Roman"/>
            <w:sz w:val="24"/>
            <w:szCs w:val="24"/>
          </w:rPr>
          <w:delText xml:space="preserve">with each decreasing score category, </w:delText>
        </w:r>
      </w:del>
      <w:ins w:id="45" w:author="Martin Gerdin Wärnberg" w:date="2021-06-28T21:41:16Z">
        <w:r>
          <w:rPr>
            <w:rFonts w:cs="Times New Roman" w:ascii="Times New Roman" w:hAnsi="Times New Roman"/>
            <w:sz w:val="24"/>
            <w:szCs w:val="24"/>
          </w:rPr>
          <w:t xml:space="preserve">and as GCS decreased </w:t>
        </w:r>
      </w:ins>
      <w:r>
        <w:rPr>
          <w:rFonts w:cs="Times New Roman" w:ascii="Times New Roman" w:hAnsi="Times New Roman"/>
          <w:sz w:val="24"/>
          <w:szCs w:val="24"/>
        </w:rPr>
        <w:t xml:space="preserve">the odds </w:t>
      </w:r>
      <w:del w:id="46" w:author="Martin Gerdin Wärnberg" w:date="2021-06-28T21:41:47Z">
        <w:r>
          <w:rPr>
            <w:rFonts w:cs="Times New Roman" w:ascii="Times New Roman" w:hAnsi="Times New Roman"/>
            <w:sz w:val="24"/>
            <w:szCs w:val="24"/>
          </w:rPr>
          <w:delText>ratios</w:delText>
        </w:r>
      </w:del>
      <w:r>
        <w:rPr>
          <w:rFonts w:cs="Times New Roman" w:ascii="Times New Roman" w:hAnsi="Times New Roman"/>
          <w:sz w:val="24"/>
          <w:szCs w:val="24"/>
        </w:rPr>
        <w:t xml:space="preserve"> increased</w:t>
      </w:r>
      <w:ins w:id="47" w:author="Martin Gerdin Wärnberg" w:date="2021-06-28T21:41:49Z">
        <w:r>
          <w:rPr>
            <w:rFonts w:cs="Times New Roman" w:ascii="Times New Roman" w:hAnsi="Times New Roman"/>
            <w:sz w:val="24"/>
            <w:szCs w:val="24"/>
          </w:rPr>
          <w:t>,</w:t>
        </w:r>
      </w:ins>
      <w:del w:id="48" w:author="Martin Gerdin Wärnberg" w:date="2021-06-28T21:41:54Z">
        <w:r>
          <w:rPr>
            <w:rFonts w:cs="Times New Roman" w:ascii="Times New Roman" w:hAnsi="Times New Roman"/>
            <w:sz w:val="24"/>
            <w:szCs w:val="24"/>
          </w:rPr>
          <w:delText xml:space="preserve"> many folds </w:delText>
        </w:r>
      </w:del>
      <w:r>
        <w:rPr>
          <w:rFonts w:cs="Times New Roman" w:ascii="Times New Roman" w:hAnsi="Times New Roman"/>
          <w:sz w:val="24"/>
          <w:szCs w:val="24"/>
        </w:rPr>
        <w:t xml:space="preserve">both in unadjusted and adjusted analysis. </w:t>
      </w:r>
      <w:del w:id="49" w:author="Martin Gerdin Wärnberg" w:date="2021-06-28T21:42:03Z">
        <w:r>
          <w:rPr>
            <w:rFonts w:cs="Times New Roman" w:ascii="Times New Roman" w:hAnsi="Times New Roman"/>
            <w:sz w:val="24"/>
            <w:szCs w:val="24"/>
          </w:rPr>
          <w:delText>The</w:delText>
        </w:r>
      </w:del>
      <w:ins w:id="50" w:author="Martin Gerdin Wärnberg" w:date="2021-06-28T21:42:03Z">
        <w:r>
          <w:rPr>
            <w:rFonts w:cs="Times New Roman" w:ascii="Times New Roman" w:hAnsi="Times New Roman"/>
            <w:sz w:val="24"/>
            <w:szCs w:val="24"/>
          </w:rPr>
          <w:t xml:space="preserve">An </w:t>
        </w:r>
      </w:ins>
      <w:del w:id="51" w:author="Martin Gerdin Wärnberg" w:date="2021-06-28T21:42:09Z">
        <w:r>
          <w:rPr>
            <w:rFonts w:cs="Times New Roman" w:ascii="Times New Roman" w:hAnsi="Times New Roman"/>
            <w:sz w:val="24"/>
            <w:szCs w:val="24"/>
          </w:rPr>
          <w:delText xml:space="preserve"> injury score</w:delText>
        </w:r>
      </w:del>
      <w:ins w:id="52" w:author="Martin Gerdin Wärnberg" w:date="2021-06-28T21:42:09Z">
        <w:r>
          <w:rPr>
            <w:rFonts w:cs="Times New Roman" w:ascii="Times New Roman" w:hAnsi="Times New Roman"/>
            <w:sz w:val="24"/>
            <w:szCs w:val="24"/>
          </w:rPr>
          <w:t xml:space="preserve"> </w:t>
        </w:r>
      </w:ins>
      <w:ins w:id="53" w:author="Martin Gerdin Wärnberg" w:date="2021-06-28T21:42:09Z">
        <w:r>
          <w:rPr>
            <w:rFonts w:cs="Times New Roman" w:ascii="Times New Roman" w:hAnsi="Times New Roman"/>
            <w:sz w:val="24"/>
            <w:szCs w:val="24"/>
          </w:rPr>
          <w:t>ISS of</w:t>
        </w:r>
      </w:ins>
      <w:r>
        <w:rPr>
          <w:rFonts w:cs="Times New Roman" w:ascii="Times New Roman" w:hAnsi="Times New Roman"/>
          <w:sz w:val="24"/>
          <w:szCs w:val="24"/>
        </w:rPr>
        <w:t xml:space="preserve"> 16 or more </w:t>
      </w:r>
      <w:del w:id="54" w:author="Martin Gerdin Wärnberg" w:date="2021-06-28T21:42:28Z">
        <w:r>
          <w:rPr>
            <w:rFonts w:cs="Times New Roman" w:ascii="Times New Roman" w:hAnsi="Times New Roman"/>
            <w:sz w:val="24"/>
            <w:szCs w:val="24"/>
          </w:rPr>
          <w:delText>had increase</w:delText>
        </w:r>
      </w:del>
      <w:ins w:id="55" w:author="Martin Gerdin Wärnberg" w:date="2021-06-28T21:42:28Z">
        <w:r>
          <w:rPr>
            <w:rFonts w:cs="Times New Roman" w:ascii="Times New Roman" w:hAnsi="Times New Roman"/>
            <w:sz w:val="24"/>
            <w:szCs w:val="24"/>
          </w:rPr>
          <w:t>was associated with increased</w:t>
        </w:r>
      </w:ins>
      <w:r>
        <w:rPr>
          <w:rFonts w:cs="Times New Roman" w:ascii="Times New Roman" w:hAnsi="Times New Roman"/>
          <w:sz w:val="24"/>
          <w:szCs w:val="24"/>
        </w:rPr>
        <w:t xml:space="preserve"> odds of deaths.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eGrid1"/>
        <w:tblpPr w:bottomFromText="0" w:horzAnchor="margin" w:leftFromText="180" w:rightFromText="180" w:tblpX="-900" w:tblpY="1499" w:topFromText="0" w:vertAnchor="page"/>
        <w:tblW w:w="109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0"/>
        <w:gridCol w:w="1529"/>
        <w:gridCol w:w="1351"/>
        <w:gridCol w:w="2790"/>
        <w:gridCol w:w="2340"/>
      </w:tblGrid>
      <w:tr>
        <w:trPr/>
        <w:tc>
          <w:tcPr>
            <w:tcW w:w="10980" w:type="dxa"/>
            <w:gridSpan w:val="5"/>
            <w:tcBorders>
              <w:top w:val="nil"/>
              <w:left w:val="nil"/>
              <w:right w:val="nil"/>
            </w:tcBorders>
            <w:shd w:color="auto" w:fill="auto" w:val="clear"/>
          </w:tcPr>
          <w:p>
            <w:pPr>
              <w:pStyle w:val="Normal"/>
              <w:pageBreakBefore/>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cs="Times New Roman" w:ascii="Times New Roman" w:hAnsi="Times New Roman"/>
                <w:b/>
                <w:sz w:val="24"/>
                <w:szCs w:val="24"/>
                <w:lang w:val="en-US" w:eastAsia="en-US" w:bidi="ar-SA"/>
              </w:rPr>
              <w:t xml:space="preserve">Table 2: Unadjusted and adjusted associations of age group and death </w:t>
            </w:r>
          </w:p>
        </w:tc>
      </w:tr>
      <w:tr>
        <w:trPr/>
        <w:tc>
          <w:tcPr>
            <w:tcW w:w="2970" w:type="dxa"/>
            <w:tcBorders/>
            <w:shd w:color="auto" w:fill="auto" w:val="clear"/>
          </w:tcPr>
          <w:p>
            <w:pPr>
              <w:pStyle w:val="Normal"/>
              <w:widowControl/>
              <w:suppressAutoHyphens w:val="true"/>
              <w:spacing w:lineRule="auto" w:line="240" w:before="0" w:after="0"/>
              <w:contextualSpacing/>
              <w:jc w:val="center"/>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529" w:type="dxa"/>
            <w:tcBorders/>
            <w:shd w:color="auto" w:fill="auto" w:val="clear"/>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Survived</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w:t>
            </w:r>
            <w:r>
              <w:rPr>
                <w:rFonts w:cs="Times New Roman" w:ascii="Times New Roman" w:hAnsi="Times New Roman"/>
                <w:b/>
                <w:sz w:val="24"/>
                <w:szCs w:val="24"/>
                <w:lang w:val="en-US" w:eastAsia="en-US" w:bidi="ar-SA"/>
              </w:rPr>
              <w:t>36954</w:t>
            </w:r>
          </w:p>
        </w:tc>
        <w:tc>
          <w:tcPr>
            <w:tcW w:w="1351" w:type="dxa"/>
            <w:tcBorders/>
            <w:shd w:color="auto" w:fill="auto" w:val="clear"/>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Deaths</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w:t>
            </w:r>
            <w:r>
              <w:rPr>
                <w:rFonts w:cs="Times New Roman" w:ascii="Times New Roman" w:hAnsi="Times New Roman"/>
                <w:b/>
                <w:sz w:val="24"/>
                <w:szCs w:val="24"/>
                <w:lang w:val="en-US" w:eastAsia="en-US" w:bidi="ar-SA"/>
              </w:rPr>
              <w:t>645</w:t>
            </w:r>
          </w:p>
        </w:tc>
        <w:tc>
          <w:tcPr>
            <w:tcW w:w="2790" w:type="dxa"/>
            <w:tcBorders/>
            <w:shd w:color="auto" w:fill="auto" w:val="clear"/>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Unadjusted OR </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 = 36, 103</w:t>
            </w:r>
          </w:p>
        </w:tc>
        <w:tc>
          <w:tcPr>
            <w:tcW w:w="234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Adjusted OR</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 = 32, 813</w:t>
            </w:r>
          </w:p>
        </w:tc>
      </w:tr>
      <w:tr>
        <w:trPr/>
        <w:tc>
          <w:tcPr>
            <w:tcW w:w="297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Age group</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b/>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13-17 years</w:t>
            </w:r>
          </w:p>
        </w:tc>
        <w:tc>
          <w:tcPr>
            <w:tcW w:w="152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21135 (57.2)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7880 (21.3)</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7939 (21.5)</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363 (56.3)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144 (22.3)</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138 (21.4)</w:t>
            </w:r>
          </w:p>
        </w:tc>
        <w:tc>
          <w:tcPr>
            <w:tcW w:w="279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1.01 (0.83, 1.23)</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1.06 (0.87, 1.24)</w:t>
            </w:r>
          </w:p>
        </w:tc>
        <w:tc>
          <w:tcPr>
            <w:tcW w:w="234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1.04 (0.68, 1.56)</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1.09 (0.71, 1.66)</w:t>
            </w:r>
          </w:p>
        </w:tc>
      </w:tr>
      <w:tr>
        <w:trPr/>
        <w:tc>
          <w:tcPr>
            <w:tcW w:w="297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Female</w:t>
            </w:r>
          </w:p>
        </w:tc>
        <w:tc>
          <w:tcPr>
            <w:tcW w:w="152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36863 (99.8)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82 (0.2)</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645 (100.0)</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0 (0.0)</w:t>
            </w:r>
          </w:p>
        </w:tc>
        <w:tc>
          <w:tcPr>
            <w:tcW w:w="279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w:t>
            </w:r>
          </w:p>
        </w:tc>
        <w:tc>
          <w:tcPr>
            <w:tcW w:w="234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 (0.00, 0.28)</w:t>
            </w:r>
          </w:p>
        </w:tc>
      </w:tr>
      <w:tr>
        <w:trPr/>
        <w:tc>
          <w:tcPr>
            <w:tcW w:w="297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Time of crash</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Dark</w:t>
            </w:r>
          </w:p>
        </w:tc>
        <w:tc>
          <w:tcPr>
            <w:tcW w:w="152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19223 (52.0)</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17731 (48.0)</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334 (51.8)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311 (48.2)</w:t>
            </w:r>
          </w:p>
        </w:tc>
        <w:tc>
          <w:tcPr>
            <w:tcW w:w="279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1.01(0.86, 1.18)</w:t>
            </w:r>
          </w:p>
        </w:tc>
        <w:tc>
          <w:tcPr>
            <w:tcW w:w="234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1.45 (1.03, 2.04)</w:t>
            </w:r>
          </w:p>
        </w:tc>
      </w:tr>
      <w:tr>
        <w:trPr/>
        <w:tc>
          <w:tcPr>
            <w:tcW w:w="297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Day of the week</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Weekend</w:t>
            </w:r>
          </w:p>
        </w:tc>
        <w:tc>
          <w:tcPr>
            <w:tcW w:w="1529" w:type="dxa"/>
            <w:tcBorders/>
          </w:tcPr>
          <w:p>
            <w:pPr>
              <w:pStyle w:val="Normal"/>
              <w:widowControl/>
              <w:suppressAutoHyphens w:val="tru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24396 (66.0)</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12558 (34.0)</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439 (68.1)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206 (31.9)</w:t>
            </w:r>
          </w:p>
        </w:tc>
        <w:tc>
          <w:tcPr>
            <w:tcW w:w="279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0.91(0.77, 1.08)</w:t>
            </w:r>
          </w:p>
        </w:tc>
        <w:tc>
          <w:tcPr>
            <w:tcW w:w="234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Calibri" w:cs="Times New Roman" w:ascii="Times New Roman" w:hAnsi="Times New Roman"/>
                <w:sz w:val="24"/>
                <w:szCs w:val="24"/>
                <w:lang w:val="en-US" w:eastAsia="en-US" w:bidi="ar-SA"/>
              </w:rPr>
              <w:t>0.85 (0.59, 1.21)</w:t>
            </w:r>
          </w:p>
        </w:tc>
      </w:tr>
      <w:tr>
        <w:trPr/>
        <w:tc>
          <w:tcPr>
            <w:tcW w:w="297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No</w:t>
            </w:r>
          </w:p>
        </w:tc>
        <w:tc>
          <w:tcPr>
            <w:tcW w:w="152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1292 (3.6)</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34151 (96.4)</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 (1.2)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577 (98.8)</w:t>
            </w:r>
          </w:p>
        </w:tc>
        <w:tc>
          <w:tcPr>
            <w:tcW w:w="279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3.12 (1.6, 7.29)</w:t>
            </w:r>
          </w:p>
        </w:tc>
        <w:tc>
          <w:tcPr>
            <w:tcW w:w="234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9.98 (2.53, 46.11)</w:t>
            </w:r>
          </w:p>
        </w:tc>
      </w:tr>
      <w:tr>
        <w:trPr/>
        <w:tc>
          <w:tcPr>
            <w:tcW w:w="297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Midblock</w:t>
            </w:r>
          </w:p>
        </w:tc>
        <w:tc>
          <w:tcPr>
            <w:tcW w:w="152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9827 (27.6)</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25807 (72.4)</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127 (21.4)</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466 (78.6)</w:t>
            </w:r>
          </w:p>
        </w:tc>
        <w:tc>
          <w:tcPr>
            <w:tcW w:w="279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1.4 (1.15, 1.71)</w:t>
            </w:r>
          </w:p>
        </w:tc>
        <w:tc>
          <w:tcPr>
            <w:tcW w:w="234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0.74 (0.50, 1.10)</w:t>
            </w:r>
          </w:p>
        </w:tc>
      </w:tr>
      <w:tr>
        <w:trPr/>
        <w:tc>
          <w:tcPr>
            <w:tcW w:w="297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Patient transfer</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Others</w:t>
            </w:r>
          </w:p>
        </w:tc>
        <w:tc>
          <w:tcPr>
            <w:tcW w:w="152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8760 (24.1)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26887 (74.1)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511 (1.4)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69 (0.2)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68 (0.2)</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495 (77.8)</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105 (16.5)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 (4.1)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7 (1.1)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 (0.5)</w:t>
            </w:r>
          </w:p>
        </w:tc>
        <w:tc>
          <w:tcPr>
            <w:tcW w:w="279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0.07 (0.06,0.09)</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 (0.59, 1.32)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1.8 (0.75, 3.66)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0.78 (0.19, 2.11)</w:t>
            </w:r>
          </w:p>
        </w:tc>
        <w:tc>
          <w:tcPr>
            <w:tcW w:w="234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0.28 (0.18, 0.41)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1.23 (0.45, 2.90)</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0.24(0.01, 3.01)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0.30 (0.00, 10.53)</w:t>
            </w:r>
          </w:p>
        </w:tc>
      </w:tr>
      <w:tr>
        <w:trPr/>
        <w:tc>
          <w:tcPr>
            <w:tcW w:w="297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Glasgow Coma Scale (GCS)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3</w:t>
            </w:r>
          </w:p>
        </w:tc>
        <w:tc>
          <w:tcPr>
            <w:tcW w:w="152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35091 (95.0)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1511 (4.1)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227 (0.6)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63 (0.2)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62 (0.2)</w:t>
            </w:r>
          </w:p>
        </w:tc>
        <w:tc>
          <w:tcPr>
            <w:tcW w:w="135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67 (10.4)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33 (5.1)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 (3.6)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 (1.9)</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510 (79.1)</w:t>
            </w:r>
          </w:p>
        </w:tc>
        <w:tc>
          <w:tcPr>
            <w:tcW w:w="279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11.44(7.43, 17.27)</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53.07 31.85, 85.47</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99.76(49.31, 187.51)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4308.24 (3044.22, 6211.56)</w:t>
            </w:r>
          </w:p>
        </w:tc>
        <w:tc>
          <w:tcPr>
            <w:tcW w:w="234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2.01 (1.15, 3.44)</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3.70 (1.89, 7.02)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6.55 (2.58, 15.47)</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574.02 (367.12, 012.49)</w:t>
            </w:r>
          </w:p>
        </w:tc>
      </w:tr>
      <w:tr>
        <w:trPr>
          <w:trHeight w:val="620" w:hRule="atLeast"/>
        </w:trPr>
        <w:tc>
          <w:tcPr>
            <w:tcW w:w="297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Injury Severity score (ISS)</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More than or equal to 16</w:t>
            </w:r>
          </w:p>
        </w:tc>
        <w:tc>
          <w:tcPr>
            <w:tcW w:w="1529"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35035 (98.4)</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628 (1.5)</w:t>
            </w:r>
          </w:p>
        </w:tc>
        <w:tc>
          <w:tcPr>
            <w:tcW w:w="1351"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141 (27.2)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464 (74.7)</w:t>
            </w:r>
          </w:p>
        </w:tc>
        <w:tc>
          <w:tcPr>
            <w:tcW w:w="279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169.7 (137.76, 210.13)</w:t>
            </w:r>
          </w:p>
        </w:tc>
        <w:tc>
          <w:tcPr>
            <w:tcW w:w="234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19.03 (12.33, 29.57)</w:t>
            </w:r>
          </w:p>
        </w:tc>
      </w:tr>
    </w:tbl>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Table 3 shows unadjusted and adjusted associations of age group with severe injury (ISS =&gt; 16). The age group 18-19 years was associated with increased odds of severe injury (unadjusted OR 1.19; 95% CIs 1.02, 1.4 and aOR 1.4; 95% CIs 1.15, 1.76). Darkness (OR 0.96; 95% CIs 0.84, 1.1and aOR 1.04; 95% CIs 0.87, 1.24) and weekend (OR 1.05; 95% CIs 0.91, 1.2 and aOR 0.94; 95% CIs 0.78, 1.13) had ORs in opposite direction in unadjusted and adjusted analysis but not statistically significant.</w:t>
      </w:r>
      <w:commentRangeStart w:id="14"/>
      <w:r>
        <w:rPr>
          <w:rFonts w:cs="Times New Roman" w:ascii="Times New Roman" w:hAnsi="Times New Roman"/>
          <w:sz w:val="24"/>
          <w:szCs w:val="24"/>
        </w:rPr>
        <w:t xml:space="preserve"> Non-use of helmet </w:t>
      </w:r>
      <w:ins w:id="56" w:author="Martin Gerdin Wärnberg" w:date="2021-06-28T21:44:52Z">
        <w:r>
          <w:rPr>
            <w:rFonts w:cs="Times New Roman" w:ascii="Times New Roman" w:hAnsi="Times New Roman"/>
            <w:sz w:val="24"/>
            <w:szCs w:val="24"/>
          </w:rPr>
        </w:r>
      </w:ins>
      <w:commentRangeEnd w:id="14"/>
      <w:r>
        <w:commentReference w:id="14"/>
      </w:r>
      <w:r>
        <w:rPr>
          <w:rFonts w:cs="Times New Roman" w:ascii="Times New Roman" w:hAnsi="Times New Roman"/>
          <w:sz w:val="24"/>
          <w:szCs w:val="24"/>
        </w:rPr>
        <w:t xml:space="preserve">had decreased odds of severe injuries in </w:t>
      </w:r>
      <w:commentRangeStart w:id="15"/>
      <w:r>
        <w:rPr>
          <w:rFonts w:cs="Times New Roman" w:ascii="Times New Roman" w:hAnsi="Times New Roman"/>
          <w:sz w:val="24"/>
          <w:szCs w:val="24"/>
        </w:rPr>
        <w:t>both</w:t>
      </w:r>
      <w:ins w:id="57" w:author="Martin Gerdin Wärnberg" w:date="2021-06-28T21:45:28Z">
        <w:r>
          <w:rPr>
            <w:rFonts w:cs="Times New Roman" w:ascii="Times New Roman" w:hAnsi="Times New Roman"/>
            <w:sz w:val="24"/>
            <w:szCs w:val="24"/>
          </w:rPr>
        </w:r>
      </w:ins>
      <w:commentRangeEnd w:id="15"/>
      <w:r>
        <w:commentReference w:id="15"/>
      </w:r>
      <w:r>
        <w:rPr>
          <w:rFonts w:cs="Times New Roman" w:ascii="Times New Roman" w:hAnsi="Times New Roman"/>
          <w:sz w:val="24"/>
          <w:szCs w:val="24"/>
        </w:rPr>
        <w:t xml:space="preserve"> unadjusted and adjusted models (OR 0.9; 95% CIs 0.65, 1.3 and aOR 0.53; 95% CIs 0.35, 0.83). Midblock crash was associated with high odds of severe injuries in unadjusted as well as adjusted analysis (OR 1.85; 95% CIs 1.56, 2.21 and aOR 1.93; 95% CIs 1.55, 2.42). Transfer to hospital through private vehicles had decreased odds of severe injuries (OR 0.09 95% CIs 0.08, 0.11 and aOR 0.28, 95% CIs 0.23, 0.34). Low GCS had linear relationship with severe injuries in both unadjusted and adjusted analysis.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eGrid1"/>
        <w:tblW w:w="11340" w:type="dxa"/>
        <w:jc w:val="left"/>
        <w:tblInd w:w="-990" w:type="dxa"/>
        <w:tblLayout w:type="fixed"/>
        <w:tblCellMar>
          <w:top w:w="0" w:type="dxa"/>
          <w:left w:w="108" w:type="dxa"/>
          <w:bottom w:w="0" w:type="dxa"/>
          <w:right w:w="108" w:type="dxa"/>
        </w:tblCellMar>
        <w:tblLook w:val="04a0" w:noHBand="0" w:noVBand="1" w:firstColumn="1" w:lastRow="0" w:lastColumn="0" w:firstRow="1"/>
      </w:tblPr>
      <w:tblGrid>
        <w:gridCol w:w="2880"/>
        <w:gridCol w:w="1530"/>
        <w:gridCol w:w="1349"/>
        <w:gridCol w:w="2700"/>
        <w:gridCol w:w="2881"/>
      </w:tblGrid>
      <w:tr>
        <w:trPr/>
        <w:tc>
          <w:tcPr>
            <w:tcW w:w="11340" w:type="dxa"/>
            <w:gridSpan w:val="5"/>
            <w:tcBorders>
              <w:top w:val="nil"/>
              <w:left w:val="nil"/>
              <w:right w:val="nil"/>
            </w:tcBorders>
            <w:shd w:color="auto" w:fill="auto" w:val="clear"/>
          </w:tcPr>
          <w:p>
            <w:pPr>
              <w:pStyle w:val="Normal"/>
              <w:pageBreakBefore/>
              <w:widowControl/>
              <w:suppressAutoHyphens w:val="true"/>
              <w:spacing w:lineRule="auto" w:line="240" w:before="0" w:after="0"/>
              <w:contextualSpacing/>
              <w:jc w:val="left"/>
              <w:rPr>
                <w:rFonts w:ascii="Times New Roman" w:hAnsi="Times New Roman" w:eastAsia="Calibri" w:cs="Times New Roman"/>
                <w:b/>
                <w:b/>
                <w:sz w:val="24"/>
                <w:szCs w:val="24"/>
              </w:rPr>
            </w:pPr>
            <w:r>
              <w:rPr>
                <w:rFonts w:eastAsia="Calibri" w:cs="Times New Roman" w:ascii="Times New Roman" w:hAnsi="Times New Roman"/>
                <w:b/>
                <w:kern w:val="0"/>
                <w:sz w:val="24"/>
                <w:szCs w:val="24"/>
                <w:lang w:val="en-US" w:eastAsia="en-US" w:bidi="ar-SA"/>
              </w:rPr>
              <w:t xml:space="preserve">Table 3: Unadjusted and adjusted association of Injury severity score (ISS) with age of young motorcyclists </w:t>
            </w:r>
          </w:p>
        </w:tc>
      </w:tr>
      <w:tr>
        <w:trPr>
          <w:trHeight w:val="1061" w:hRule="atLeast"/>
        </w:trPr>
        <w:tc>
          <w:tcPr>
            <w:tcW w:w="2880" w:type="dxa"/>
            <w:tcBorders/>
            <w:shd w:color="auto" w:fill="auto" w:val="clear"/>
          </w:tcPr>
          <w:p>
            <w:pPr>
              <w:pStyle w:val="Normal"/>
              <w:widowControl/>
              <w:suppressAutoHyphens w:val="true"/>
              <w:spacing w:lineRule="auto" w:line="240" w:before="0" w:after="0"/>
              <w:contextualSpacing/>
              <w:jc w:val="center"/>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530" w:type="dxa"/>
            <w:tcBorders/>
            <w:shd w:color="auto" w:fill="auto" w:val="clear"/>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less than 16</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n = </w:t>
            </w:r>
            <w:r>
              <w:rPr>
                <w:rFonts w:cs="Times New Roman" w:ascii="Times New Roman" w:hAnsi="Times New Roman"/>
                <w:b/>
                <w:sz w:val="24"/>
                <w:szCs w:val="24"/>
                <w:lang w:val="en-US" w:eastAsia="en-US" w:bidi="ar-SA"/>
              </w:rPr>
              <w:t>35262</w:t>
            </w:r>
          </w:p>
        </w:tc>
        <w:tc>
          <w:tcPr>
            <w:tcW w:w="1349" w:type="dxa"/>
            <w:tcBorders/>
            <w:shd w:color="auto" w:fill="auto" w:val="clear"/>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more than or equal to 16</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n = </w:t>
            </w:r>
            <w:r>
              <w:rPr>
                <w:rFonts w:cs="Times New Roman" w:ascii="Times New Roman" w:hAnsi="Times New Roman"/>
                <w:b/>
                <w:sz w:val="24"/>
                <w:szCs w:val="24"/>
                <w:lang w:val="en-US" w:eastAsia="en-US" w:bidi="ar-SA"/>
              </w:rPr>
              <w:t>933</w:t>
            </w:r>
          </w:p>
        </w:tc>
        <w:tc>
          <w:tcPr>
            <w:tcW w:w="2700" w:type="dxa"/>
            <w:tcBorders/>
            <w:shd w:color="auto" w:fill="auto" w:val="clear"/>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Unadjusted ORs </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 36, 195</w:t>
            </w:r>
          </w:p>
        </w:tc>
        <w:tc>
          <w:tcPr>
            <w:tcW w:w="288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Adjusted ORs </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 = 32,888</w:t>
            </w:r>
          </w:p>
        </w:tc>
      </w:tr>
      <w:tr>
        <w:trPr/>
        <w:tc>
          <w:tcPr>
            <w:tcW w:w="288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Age groups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b/>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13-17 years</w:t>
            </w:r>
          </w:p>
        </w:tc>
        <w:tc>
          <w:tcPr>
            <w:tcW w:w="153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20158 (57.2)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7515 (21.3)</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7589 (21.5)</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519 (55.6)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231 (24.8)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183 (19.6)</w:t>
            </w:r>
          </w:p>
        </w:tc>
        <w:tc>
          <w:tcPr>
            <w:tcW w:w="270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1.19 (1.02, 1.4)</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0.94 (0.79, 1.11)</w:t>
            </w:r>
          </w:p>
        </w:tc>
        <w:tc>
          <w:tcPr>
            <w:tcW w:w="288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1.42 (1.15,1.76)</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0.97 (0.77,1.21)</w:t>
            </w:r>
          </w:p>
        </w:tc>
      </w:tr>
      <w:tr>
        <w:trPr/>
        <w:tc>
          <w:tcPr>
            <w:tcW w:w="288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Female</w:t>
            </w:r>
          </w:p>
        </w:tc>
        <w:tc>
          <w:tcPr>
            <w:tcW w:w="153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35169 (99.8)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82 (0.2)</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933 (100.0)</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0 (0.0)</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w:t>
            </w:r>
          </w:p>
        </w:tc>
        <w:tc>
          <w:tcPr>
            <w:tcW w:w="288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w:t>
            </w:r>
          </w:p>
        </w:tc>
      </w:tr>
      <w:tr>
        <w:trPr/>
        <w:tc>
          <w:tcPr>
            <w:tcW w:w="288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Time of crash</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Dark</w:t>
            </w:r>
          </w:p>
        </w:tc>
        <w:tc>
          <w:tcPr>
            <w:tcW w:w="153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18363 (52.1)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16899 (47.9)</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495 (53.1)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438 (46.9)</w:t>
            </w:r>
          </w:p>
        </w:tc>
        <w:tc>
          <w:tcPr>
            <w:tcW w:w="270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0.96 (0.84, 1.1)</w:t>
            </w:r>
          </w:p>
        </w:tc>
        <w:tc>
          <w:tcPr>
            <w:tcW w:w="288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1.04 (0.87, 1.24)</w:t>
            </w:r>
          </w:p>
        </w:tc>
      </w:tr>
      <w:tr>
        <w:trPr/>
        <w:tc>
          <w:tcPr>
            <w:tcW w:w="288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Day of the week</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Weekend</w:t>
            </w:r>
          </w:p>
        </w:tc>
        <w:tc>
          <w:tcPr>
            <w:tcW w:w="1530" w:type="dxa"/>
            <w:tcBorders/>
          </w:tcPr>
          <w:p>
            <w:pPr>
              <w:pStyle w:val="Normal"/>
              <w:widowControl/>
              <w:suppressAutoHyphens w:val="tru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23280 (66.0)</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11982 (34.0)</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606 (65.0)</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327 (35.0)</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1.05 (0.91, 1.2)</w:t>
            </w:r>
          </w:p>
        </w:tc>
        <w:tc>
          <w:tcPr>
            <w:tcW w:w="288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Calibri" w:cs="Times New Roman" w:ascii="Times New Roman" w:hAnsi="Times New Roman"/>
                <w:sz w:val="24"/>
                <w:szCs w:val="24"/>
                <w:lang w:val="en-US" w:eastAsia="en-US" w:bidi="ar-SA"/>
              </w:rPr>
              <w:t>0.94 (0.78, 1.13)</w:t>
            </w:r>
          </w:p>
        </w:tc>
      </w:tr>
      <w:tr>
        <w:trPr/>
        <w:tc>
          <w:tcPr>
            <w:tcW w:w="288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No</w:t>
            </w:r>
          </w:p>
        </w:tc>
        <w:tc>
          <w:tcPr>
            <w:tcW w:w="153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1187 (3.5)</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32611 (96.5)</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34 (3.9)</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840 (96.1)</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 (0.65, 1.3)</w:t>
            </w:r>
          </w:p>
        </w:tc>
        <w:tc>
          <w:tcPr>
            <w:tcW w:w="288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0.53 (0.35, 0.83)</w:t>
            </w:r>
          </w:p>
        </w:tc>
      </w:tr>
      <w:tr>
        <w:trPr/>
        <w:tc>
          <w:tcPr>
            <w:tcW w:w="288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Midblock</w:t>
            </w:r>
          </w:p>
        </w:tc>
        <w:tc>
          <w:tcPr>
            <w:tcW w:w="153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9503 (27.9)</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24517 (72.1)</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154 (17.3)</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735 (82.7)</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1.85 (1.56, 2.21)</w:t>
            </w:r>
          </w:p>
        </w:tc>
        <w:tc>
          <w:tcPr>
            <w:tcW w:w="288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1.93 (1.55, 2.42)</w:t>
            </w:r>
          </w:p>
        </w:tc>
      </w:tr>
      <w:tr>
        <w:trPr/>
        <w:tc>
          <w:tcPr>
            <w:tcW w:w="2880"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Patient transfer</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Others</w:t>
            </w:r>
          </w:p>
        </w:tc>
        <w:tc>
          <w:tcPr>
            <w:tcW w:w="153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8119 (23.4)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25937 (74.8)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485 (1.4)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65 (0.2)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60 (0.2)</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674 (73.8)</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198 (21.7)</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29 (3.2)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 (1.1)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 (0.2)</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0.09 (0.08, 0.11)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0.72 (0.48, 1.04)</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1.85 (0.89, 3.46)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 (0.07, 1.29)</w:t>
            </w:r>
          </w:p>
        </w:tc>
        <w:tc>
          <w:tcPr>
            <w:tcW w:w="288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0.28 (0.23, 0.34)</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0.56 (0.33, 0.93)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2.55 (0.88, 6.31)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0.19 (0.01, 1.22)</w:t>
            </w:r>
          </w:p>
        </w:tc>
      </w:tr>
      <w:tr>
        <w:trPr/>
        <w:tc>
          <w:tcPr>
            <w:tcW w:w="288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Glasgow Coma Scale (GCS)</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3</w:t>
            </w:r>
          </w:p>
        </w:tc>
        <w:tc>
          <w:tcPr>
            <w:tcW w:w="153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33688 (95.5)</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1285 (3.6)</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132 ( 0.4)</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33 ( 0.1)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124 ( 0.4)</w:t>
            </w:r>
          </w:p>
        </w:tc>
        <w:tc>
          <w:tcPr>
            <w:tcW w:w="1349"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250 (26.8)</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217 (23.3)</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107 (11.5)</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36 (3.9)</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323 (34.6)</w:t>
            </w:r>
          </w:p>
        </w:tc>
        <w:tc>
          <w:tcPr>
            <w:tcW w:w="2700"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22.76  (18.81, 27.52)</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109.23 (82.19, 145.04)</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147 (90.17, 240.47)</w:t>
            </w:r>
          </w:p>
          <w:p>
            <w:pPr>
              <w:pStyle w:val="Normal"/>
              <w:widowControl/>
              <w:suppressAutoHyphens w:val="true"/>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kern w:val="0"/>
                <w:sz w:val="24"/>
                <w:szCs w:val="24"/>
                <w:lang w:val="en-US" w:eastAsia="en-US" w:bidi="ar-SA"/>
              </w:rPr>
              <w:t>351.01 (276.48, 448.33)</w:t>
            </w:r>
          </w:p>
        </w:tc>
        <w:tc>
          <w:tcPr>
            <w:tcW w:w="2881" w:type="dxa"/>
            <w:tcBorders/>
          </w:tcPr>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15.31(12.35, 18.97)</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67.11(48.99, 91.90)</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69.42(40.03, 119.93)</w:t>
            </w:r>
          </w:p>
          <w:p>
            <w:pPr>
              <w:pStyle w:val="Normal"/>
              <w:widowControl/>
              <w:suppressAutoHyphens w:val="true"/>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255.61(192.52, 342.03)</w:t>
            </w:r>
          </w:p>
        </w:tc>
      </w:tr>
    </w:tbl>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References</w:t>
      </w:r>
    </w:p>
    <w:p>
      <w:pPr>
        <w:pStyle w:val="EndNoteBibliography"/>
        <w:spacing w:lineRule="auto" w:line="480" w:before="0" w:after="0"/>
        <w:ind w:left="720" w:hanging="720"/>
        <w:jc w:val="both"/>
        <w:rPr>
          <w:szCs w:val="24"/>
        </w:rPr>
      </w:pPr>
      <w:r>
        <w:fldChar w:fldCharType="begin"/>
      </w:r>
      <w:r>
        <w:rPr/>
        <w:instrText>ADDIN EN.REFLIST</w:instrText>
      </w:r>
      <w:r>
        <w:rPr/>
      </w:r>
      <w:r>
        <w:rPr/>
        <w:fldChar w:fldCharType="separate"/>
      </w:r>
      <w:r>
        <w:rPr/>
      </w:r>
      <w:r>
        <w:rPr>
          <w:szCs w:val="24"/>
        </w:rPr>
        <w:t>1.</w:t>
        <w:tab/>
        <w:t xml:space="preserve">Li Q, Alonge O, Hyder AA. Children and road traffic injuries: can't the world do better? </w:t>
      </w:r>
      <w:r>
        <w:rPr>
          <w:i/>
          <w:szCs w:val="24"/>
        </w:rPr>
        <w:t xml:space="preserve">Archives of disease in childhood. </w:t>
      </w:r>
      <w:r>
        <w:rPr>
          <w:szCs w:val="24"/>
        </w:rPr>
        <w:t>2016;101(11):1063-70.</w:t>
      </w:r>
    </w:p>
    <w:p>
      <w:pPr>
        <w:pStyle w:val="EndNoteBibliography"/>
        <w:spacing w:lineRule="auto" w:line="480" w:before="0" w:after="0"/>
        <w:ind w:left="720" w:hanging="720"/>
        <w:jc w:val="both"/>
        <w:rPr>
          <w:szCs w:val="24"/>
        </w:rPr>
      </w:pPr>
      <w:r>
        <w:rPr>
          <w:szCs w:val="24"/>
        </w:rPr>
        <w:t>2.</w:t>
        <w:tab/>
        <w:t xml:space="preserve">Walshe EA, Ward McIntosh C, Romer D, Winston FK. Executive function capacities, negative driving behavior and crashes in young drivers. </w:t>
      </w:r>
      <w:r>
        <w:rPr>
          <w:i/>
          <w:szCs w:val="24"/>
        </w:rPr>
        <w:t xml:space="preserve">International journal of environmental research and public health. </w:t>
      </w:r>
      <w:r>
        <w:rPr>
          <w:szCs w:val="24"/>
        </w:rPr>
        <w:t>2017;14(11):1314.</w:t>
      </w:r>
    </w:p>
    <w:p>
      <w:pPr>
        <w:pStyle w:val="EndNoteBibliography"/>
        <w:spacing w:lineRule="auto" w:line="480" w:before="0" w:after="0"/>
        <w:ind w:left="720" w:hanging="720"/>
        <w:jc w:val="both"/>
        <w:rPr>
          <w:szCs w:val="24"/>
        </w:rPr>
      </w:pPr>
      <w:r>
        <w:rPr>
          <w:szCs w:val="24"/>
        </w:rPr>
        <w:t>3.</w:t>
        <w:tab/>
        <w:t xml:space="preserve">Banz BC, Fell JC, Vaca FE. Focus: Death: Complexities of Young Driver Injury and Fatal Motor Vehicle Crashes. </w:t>
      </w:r>
      <w:r>
        <w:rPr>
          <w:i/>
          <w:szCs w:val="24"/>
        </w:rPr>
        <w:t xml:space="preserve">The Yale journal of biology and medicine. </w:t>
      </w:r>
      <w:r>
        <w:rPr>
          <w:szCs w:val="24"/>
        </w:rPr>
        <w:t>2019;92(4):725.</w:t>
      </w:r>
    </w:p>
    <w:p>
      <w:pPr>
        <w:pStyle w:val="EndNoteBibliography"/>
        <w:spacing w:lineRule="auto" w:line="480" w:before="0" w:after="0"/>
        <w:ind w:left="720" w:hanging="720"/>
        <w:jc w:val="both"/>
        <w:rPr>
          <w:szCs w:val="24"/>
        </w:rPr>
      </w:pPr>
      <w:r>
        <w:rPr>
          <w:szCs w:val="24"/>
        </w:rPr>
        <w:t>4.</w:t>
        <w:tab/>
        <w:t xml:space="preserve">Sarkar S, Andreas M. Acceptance of and engagement in risky driving behaviors by teenagers. </w:t>
      </w:r>
      <w:r>
        <w:rPr>
          <w:i/>
          <w:szCs w:val="24"/>
        </w:rPr>
        <w:t xml:space="preserve">Adolescence. </w:t>
      </w:r>
      <w:r>
        <w:rPr>
          <w:szCs w:val="24"/>
        </w:rPr>
        <w:t>2004;39(156):687.</w:t>
      </w:r>
    </w:p>
    <w:p>
      <w:pPr>
        <w:pStyle w:val="EndNoteBibliography"/>
        <w:spacing w:lineRule="auto" w:line="480" w:before="0" w:after="0"/>
        <w:ind w:left="720" w:hanging="720"/>
        <w:jc w:val="both"/>
        <w:rPr>
          <w:szCs w:val="24"/>
        </w:rPr>
      </w:pPr>
      <w:r>
        <w:rPr>
          <w:szCs w:val="24"/>
        </w:rPr>
        <w:t>5.</w:t>
        <w:tab/>
        <w:t xml:space="preserve">Gershon P, Ehsani JP, Zhu C, et al. Crash risk and risky driving behavior among adolescents during learner and independent driving periods. </w:t>
      </w:r>
      <w:r>
        <w:rPr>
          <w:i/>
          <w:szCs w:val="24"/>
        </w:rPr>
        <w:t xml:space="preserve">Journal of Adolescent Health. </w:t>
      </w:r>
      <w:r>
        <w:rPr>
          <w:szCs w:val="24"/>
        </w:rPr>
        <w:t>2018;63(5):568-74.</w:t>
      </w:r>
    </w:p>
    <w:p>
      <w:pPr>
        <w:pStyle w:val="EndNoteBibliography"/>
        <w:spacing w:lineRule="auto" w:line="480" w:before="0" w:after="0"/>
        <w:ind w:left="720" w:hanging="720"/>
        <w:jc w:val="both"/>
        <w:rPr>
          <w:szCs w:val="24"/>
        </w:rPr>
      </w:pPr>
      <w:r>
        <w:rPr>
          <w:szCs w:val="24"/>
        </w:rPr>
        <w:t>6.</w:t>
        <w:tab/>
        <w:t xml:space="preserve">Alderman EM, Johnston BD. The teen driver. </w:t>
      </w:r>
      <w:r>
        <w:rPr>
          <w:i/>
          <w:szCs w:val="24"/>
        </w:rPr>
        <w:t xml:space="preserve">Pediatrics. </w:t>
      </w:r>
      <w:r>
        <w:rPr>
          <w:szCs w:val="24"/>
        </w:rPr>
        <w:t>2018;142(4).</w:t>
      </w:r>
    </w:p>
    <w:p>
      <w:pPr>
        <w:pStyle w:val="EndNoteBibliography"/>
        <w:spacing w:lineRule="auto" w:line="480" w:before="0" w:after="0"/>
        <w:ind w:left="720" w:hanging="720"/>
        <w:jc w:val="both"/>
        <w:rPr>
          <w:szCs w:val="24"/>
        </w:rPr>
      </w:pPr>
      <w:r>
        <w:rPr>
          <w:szCs w:val="24"/>
        </w:rPr>
        <w:t>7.</w:t>
        <w:tab/>
        <w:t xml:space="preserve">Hanna CL, Hasselberg M, Laflamme L, Möller J. Road traffic crash circumstances and consequences among young unlicensed drivers: a Swedish cohort study on socioeconomic disparities. </w:t>
      </w:r>
      <w:r>
        <w:rPr>
          <w:i/>
          <w:szCs w:val="24"/>
        </w:rPr>
        <w:t xml:space="preserve">BMC Public Health. </w:t>
      </w:r>
      <w:r>
        <w:rPr>
          <w:szCs w:val="24"/>
        </w:rPr>
        <w:t>2010;10(1):1-8.</w:t>
      </w:r>
    </w:p>
    <w:p>
      <w:pPr>
        <w:pStyle w:val="EndNoteBibliography"/>
        <w:spacing w:lineRule="auto" w:line="480" w:before="0" w:after="0"/>
        <w:ind w:left="720" w:hanging="720"/>
        <w:jc w:val="both"/>
        <w:rPr>
          <w:szCs w:val="24"/>
        </w:rPr>
      </w:pPr>
      <w:r>
        <w:rPr>
          <w:szCs w:val="24"/>
        </w:rPr>
        <w:t>8.</w:t>
        <w:tab/>
        <w:t xml:space="preserve">Bates LJ, Davey J, Watson B, King MJ, Armstrong K. Factors contributing to crashes among young drivers. </w:t>
      </w:r>
      <w:r>
        <w:rPr>
          <w:i/>
          <w:szCs w:val="24"/>
        </w:rPr>
        <w:t xml:space="preserve">Sultan Qaboos university medical journal. </w:t>
      </w:r>
      <w:r>
        <w:rPr>
          <w:szCs w:val="24"/>
        </w:rPr>
        <w:t>2014;14(3):e297.</w:t>
      </w:r>
    </w:p>
    <w:p>
      <w:pPr>
        <w:pStyle w:val="EndNoteBibliography"/>
        <w:spacing w:lineRule="auto" w:line="480" w:before="0" w:after="0"/>
        <w:ind w:left="720" w:hanging="720"/>
        <w:jc w:val="both"/>
        <w:rPr>
          <w:szCs w:val="24"/>
        </w:rPr>
      </w:pPr>
      <w:r>
        <w:rPr>
          <w:szCs w:val="24"/>
        </w:rPr>
        <w:t>9.</w:t>
        <w:tab/>
        <w:t xml:space="preserve">Boulagouas W, García-Herrero S, Chaib R, Febres JD, Mariscal MÁ, Djebabra M. An investigation into unsafe behaviors and traffic accidents involving unlicensed drivers: a perspective for alignment measurement. </w:t>
      </w:r>
      <w:r>
        <w:rPr>
          <w:i/>
          <w:szCs w:val="24"/>
        </w:rPr>
        <w:t xml:space="preserve">International Journal of Environmental Research and Public Health. </w:t>
      </w:r>
      <w:r>
        <w:rPr>
          <w:szCs w:val="24"/>
        </w:rPr>
        <w:t>2020;17(18):6743.</w:t>
      </w:r>
    </w:p>
    <w:p>
      <w:pPr>
        <w:pStyle w:val="EndNoteBibliography"/>
        <w:spacing w:lineRule="auto" w:line="480" w:before="0" w:after="0"/>
        <w:ind w:left="720" w:hanging="720"/>
        <w:jc w:val="both"/>
        <w:rPr>
          <w:szCs w:val="24"/>
        </w:rPr>
      </w:pPr>
      <w:r>
        <w:rPr>
          <w:szCs w:val="24"/>
        </w:rPr>
        <w:t>10.</w:t>
        <w:tab/>
        <w:t xml:space="preserve">Jewett A, Shults RA, Bhat G. Parental perceptions of teen driving: Restrictions, worry and influence. </w:t>
      </w:r>
      <w:r>
        <w:rPr>
          <w:i/>
          <w:szCs w:val="24"/>
        </w:rPr>
        <w:t xml:space="preserve">Journal of safety research. </w:t>
      </w:r>
      <w:r>
        <w:rPr>
          <w:szCs w:val="24"/>
        </w:rPr>
        <w:t>2016;59:119-23.</w:t>
      </w:r>
    </w:p>
    <w:p>
      <w:pPr>
        <w:pStyle w:val="EndNoteBibliography"/>
        <w:spacing w:lineRule="auto" w:line="480" w:before="0" w:after="0"/>
        <w:ind w:left="720" w:hanging="720"/>
        <w:jc w:val="both"/>
        <w:rPr>
          <w:szCs w:val="24"/>
        </w:rPr>
      </w:pPr>
      <w:r>
        <w:rPr>
          <w:szCs w:val="24"/>
        </w:rPr>
        <w:t>11.</w:t>
        <w:tab/>
        <w:t xml:space="preserve">Tefft BC, Williams AF, Grabowski JG. Driver licensing and reasons for delaying licensure among young adults ages 18-20, United States, 2012. </w:t>
      </w:r>
      <w:r>
        <w:rPr>
          <w:i/>
          <w:szCs w:val="24"/>
        </w:rPr>
        <w:t xml:space="preserve">Injury epidemiology. </w:t>
      </w:r>
      <w:r>
        <w:rPr>
          <w:szCs w:val="24"/>
        </w:rPr>
        <w:t>2014;1(1):1-8.</w:t>
      </w:r>
    </w:p>
    <w:p>
      <w:pPr>
        <w:pStyle w:val="EndNoteBibliography"/>
        <w:spacing w:lineRule="auto" w:line="480" w:before="0" w:after="0"/>
        <w:ind w:left="720" w:hanging="720"/>
        <w:jc w:val="both"/>
        <w:rPr>
          <w:szCs w:val="24"/>
        </w:rPr>
      </w:pPr>
      <w:r>
        <w:rPr>
          <w:szCs w:val="24"/>
        </w:rPr>
        <w:t>12.</w:t>
        <w:tab/>
        <w:t xml:space="preserve">Nantulya VM, Reich MR. Equity dimensions of road traffic injuries in low-and middle-income countries. </w:t>
      </w:r>
      <w:r>
        <w:rPr>
          <w:i/>
          <w:szCs w:val="24"/>
        </w:rPr>
        <w:t xml:space="preserve">Injury control and safety promotion. </w:t>
      </w:r>
      <w:r>
        <w:rPr>
          <w:szCs w:val="24"/>
        </w:rPr>
        <w:t>2003;10(1-2):13-20.</w:t>
      </w:r>
    </w:p>
    <w:p>
      <w:pPr>
        <w:pStyle w:val="EndNoteBibliography"/>
        <w:spacing w:lineRule="auto" w:line="480" w:before="0" w:after="0"/>
        <w:ind w:left="720" w:hanging="720"/>
        <w:jc w:val="both"/>
        <w:rPr>
          <w:szCs w:val="24"/>
        </w:rPr>
      </w:pPr>
      <w:r>
        <w:rPr>
          <w:szCs w:val="24"/>
        </w:rPr>
        <w:t>13.</w:t>
        <w:tab/>
        <w:t xml:space="preserve">Ehsani JP, Bingham CR, Shope JT. The effect of the learner license Graduated Driver Licensing components on teen drivers’ crashes. </w:t>
      </w:r>
      <w:r>
        <w:rPr>
          <w:i/>
          <w:szCs w:val="24"/>
        </w:rPr>
        <w:t xml:space="preserve">Accident Analysis &amp; Prevention. </w:t>
      </w:r>
      <w:r>
        <w:rPr>
          <w:szCs w:val="24"/>
        </w:rPr>
        <w:t>2013;59:327-36.</w:t>
      </w:r>
    </w:p>
    <w:p>
      <w:pPr>
        <w:pStyle w:val="EndNoteBibliography"/>
        <w:spacing w:lineRule="auto" w:line="480" w:before="0" w:after="0"/>
        <w:ind w:left="720" w:hanging="720"/>
        <w:jc w:val="both"/>
        <w:rPr>
          <w:szCs w:val="24"/>
        </w:rPr>
      </w:pPr>
      <w:r>
        <w:rPr>
          <w:szCs w:val="24"/>
        </w:rPr>
        <w:t>14.</w:t>
        <w:tab/>
        <w:t xml:space="preserve">Masten SV, Foss RD, Marshall SW. Graduated driver licensing and fatal crashes involving 16-to 19-year-old drivers. </w:t>
      </w:r>
      <w:r>
        <w:rPr>
          <w:i/>
          <w:szCs w:val="24"/>
        </w:rPr>
        <w:t xml:space="preserve">Jama. </w:t>
      </w:r>
      <w:r>
        <w:rPr>
          <w:szCs w:val="24"/>
        </w:rPr>
        <w:t>2011;306(10):1098-103.</w:t>
      </w:r>
    </w:p>
    <w:p>
      <w:pPr>
        <w:pStyle w:val="EndNoteBibliography"/>
        <w:spacing w:lineRule="auto" w:line="480" w:before="0" w:after="0"/>
        <w:ind w:left="720" w:hanging="720"/>
        <w:jc w:val="both"/>
        <w:rPr>
          <w:szCs w:val="24"/>
        </w:rPr>
      </w:pPr>
      <w:r>
        <w:rPr>
          <w:szCs w:val="24"/>
        </w:rPr>
        <w:t>15.</w:t>
        <w:tab/>
        <w:t xml:space="preserve">Mayhew DR, Simpson HM, Pak A. Changes in collision rates among novice drivers during the first months of driving. </w:t>
      </w:r>
      <w:r>
        <w:rPr>
          <w:i/>
          <w:szCs w:val="24"/>
        </w:rPr>
        <w:t xml:space="preserve">Accident Analysis &amp; Prevention. </w:t>
      </w:r>
      <w:r>
        <w:rPr>
          <w:szCs w:val="24"/>
        </w:rPr>
        <w:t>2003;35(5):683-91.</w:t>
      </w:r>
    </w:p>
    <w:p>
      <w:pPr>
        <w:pStyle w:val="EndNoteBibliography"/>
        <w:spacing w:lineRule="auto" w:line="480" w:before="0" w:after="0"/>
        <w:ind w:left="720" w:hanging="720"/>
        <w:jc w:val="both"/>
        <w:rPr>
          <w:szCs w:val="24"/>
        </w:rPr>
      </w:pPr>
      <w:r>
        <w:rPr>
          <w:szCs w:val="24"/>
        </w:rPr>
        <w:t>16.</w:t>
        <w:tab/>
        <w:t xml:space="preserve">Lewis-Evans B. Crash involvement during the different phases of the New Zealand Graduated Driver Licensing System (GDLS). </w:t>
      </w:r>
      <w:r>
        <w:rPr>
          <w:i/>
          <w:szCs w:val="24"/>
        </w:rPr>
        <w:t xml:space="preserve">Journal of safety research. </w:t>
      </w:r>
      <w:r>
        <w:rPr>
          <w:szCs w:val="24"/>
        </w:rPr>
        <w:t>2010;41(4):359-65.</w:t>
      </w:r>
    </w:p>
    <w:p>
      <w:pPr>
        <w:pStyle w:val="EndNoteBibliography"/>
        <w:spacing w:lineRule="auto" w:line="480" w:before="0" w:after="0"/>
        <w:ind w:left="720" w:hanging="720"/>
        <w:jc w:val="both"/>
        <w:rPr>
          <w:szCs w:val="24"/>
        </w:rPr>
      </w:pPr>
      <w:r>
        <w:rPr>
          <w:szCs w:val="24"/>
        </w:rPr>
        <w:t>17.</w:t>
        <w:tab/>
        <w:t xml:space="preserve">McCartt AT, Shabanova VI, Leaf WA. Driving experience, crashes and traffic citations of teenage beginning drivers. </w:t>
      </w:r>
      <w:r>
        <w:rPr>
          <w:i/>
          <w:szCs w:val="24"/>
        </w:rPr>
        <w:t xml:space="preserve">Accident Analysis &amp; Prevention. </w:t>
      </w:r>
      <w:r>
        <w:rPr>
          <w:szCs w:val="24"/>
        </w:rPr>
        <w:t>2003;35(3):311-20.</w:t>
      </w:r>
    </w:p>
    <w:p>
      <w:pPr>
        <w:pStyle w:val="EndNoteBibliography"/>
        <w:spacing w:lineRule="auto" w:line="480" w:before="0" w:after="0"/>
        <w:ind w:left="720" w:hanging="720"/>
        <w:jc w:val="both"/>
        <w:rPr>
          <w:szCs w:val="24"/>
        </w:rPr>
      </w:pPr>
      <w:r>
        <w:rPr>
          <w:szCs w:val="24"/>
        </w:rPr>
        <w:t>18.</w:t>
        <w:tab/>
        <w:t xml:space="preserve">Simons-Morton BG, Ouimet MC, Zhang Z, et al. Crash and risky driving involvement among novice adolescent drivers and their parents. </w:t>
      </w:r>
      <w:r>
        <w:rPr>
          <w:i/>
          <w:szCs w:val="24"/>
        </w:rPr>
        <w:t xml:space="preserve">American journal of public health. </w:t>
      </w:r>
      <w:r>
        <w:rPr>
          <w:szCs w:val="24"/>
        </w:rPr>
        <w:t>2011;101(12):2362-7.</w:t>
      </w:r>
    </w:p>
    <w:p>
      <w:pPr>
        <w:pStyle w:val="EndNoteBibliography"/>
        <w:spacing w:lineRule="auto" w:line="480" w:before="0" w:after="0"/>
        <w:ind w:left="720" w:hanging="720"/>
        <w:jc w:val="both"/>
        <w:rPr>
          <w:szCs w:val="24"/>
        </w:rPr>
      </w:pPr>
      <w:r>
        <w:rPr>
          <w:szCs w:val="24"/>
        </w:rPr>
        <w:t>19.</w:t>
        <w:tab/>
        <w:t xml:space="preserve">Curry AE, Metzger KB, Williams AF, Tefft BC. Comparison of older and younger novice driver crash rates: Informing the need for extended Graduated Driver Licensing restrictions. </w:t>
      </w:r>
      <w:r>
        <w:rPr>
          <w:i/>
          <w:szCs w:val="24"/>
        </w:rPr>
        <w:t xml:space="preserve">Accident Analysis &amp; Prevention. </w:t>
      </w:r>
      <w:r>
        <w:rPr>
          <w:szCs w:val="24"/>
        </w:rPr>
        <w:t>2017;108:66-73.</w:t>
      </w:r>
    </w:p>
    <w:p>
      <w:pPr>
        <w:pStyle w:val="EndNoteBibliography"/>
        <w:spacing w:lineRule="auto" w:line="480" w:before="0" w:after="0"/>
        <w:ind w:left="720" w:hanging="720"/>
        <w:jc w:val="both"/>
        <w:rPr>
          <w:szCs w:val="24"/>
        </w:rPr>
      </w:pPr>
      <w:r>
        <w:rPr>
          <w:szCs w:val="24"/>
        </w:rPr>
        <w:t>20.</w:t>
        <w:tab/>
        <w:t xml:space="preserve">Razzak JA, Shamim MS, Mehmood A, Hussain SA, Ali MS, Jooma R. A successful model of road traffic injury surveillance in a developing country: process and lessons learnt. </w:t>
      </w:r>
      <w:r>
        <w:rPr>
          <w:i/>
          <w:szCs w:val="24"/>
        </w:rPr>
        <w:t xml:space="preserve">BMC public health. </w:t>
      </w:r>
      <w:r>
        <w:rPr>
          <w:szCs w:val="24"/>
        </w:rPr>
        <w:t>2012;12(1):1-5.</w:t>
      </w:r>
    </w:p>
    <w:p>
      <w:pPr>
        <w:pStyle w:val="EndNoteBibliography"/>
        <w:spacing w:lineRule="auto" w:line="480"/>
        <w:ind w:left="720" w:hanging="720"/>
        <w:jc w:val="both"/>
        <w:rPr>
          <w:szCs w:val="24"/>
        </w:rPr>
      </w:pPr>
      <w:r>
        <w:rPr>
          <w:szCs w:val="24"/>
        </w:rPr>
        <w:t>21.</w:t>
        <w:tab/>
        <w:t>Team R Core. R: a language and environment for statistical computing [Internet]. Vienna, Austria: R Foundation for Statistical Computing; 2020. In:2017.</w:t>
      </w:r>
      <w:r>
        <w:rPr/>
      </w:r>
      <w:r>
        <w:rPr/>
        <w:fldChar w:fldCharType="end"/>
      </w:r>
    </w:p>
    <w:p>
      <w:pPr>
        <w:pStyle w:val="EndNoteBibliography"/>
        <w:spacing w:lineRule="auto" w:line="480"/>
        <w:ind w:left="720" w:hanging="720"/>
        <w:jc w:val="both"/>
        <w:rPr>
          <w:szCs w:val="24"/>
        </w:rPr>
      </w:pPr>
      <w:r>
        <w:rPr>
          <w:szCs w:val="24"/>
        </w:rPr>
      </w:r>
    </w:p>
    <w:p>
      <w:pPr>
        <w:pStyle w:val="EndNoteBibliography"/>
        <w:spacing w:before="0" w:after="0"/>
        <w:ind w:left="720" w:hanging="720"/>
        <w:rPr/>
      </w:pPr>
      <w:r>
        <w:fldChar w:fldCharType="begin"/>
      </w:r>
      <w:r>
        <w:rPr/>
        <w:instrText>ADDIN EN.REFLIST</w:instrText>
      </w:r>
      <w:r>
        <w:rPr/>
      </w:r>
      <w:r>
        <w:rPr/>
        <w:fldChar w:fldCharType="separate"/>
      </w:r>
      <w:r>
        <w:rPr/>
        <w:t>1.</w:t>
        <w:tab/>
        <w:t xml:space="preserve">Shults RA, Banerjee T, Perry T. Who's not driving among US high school seniors: A closer look at race/ethnicity, socioeconomic factors, and driving status. </w:t>
      </w:r>
      <w:r>
        <w:rPr>
          <w:i/>
        </w:rPr>
        <w:t xml:space="preserve">Traffic injury prevention. </w:t>
      </w:r>
      <w:r>
        <w:rPr/>
        <w:t>2016;17(8):803-809.</w:t>
      </w:r>
    </w:p>
    <w:p>
      <w:pPr>
        <w:pStyle w:val="EndNoteBibliography"/>
        <w:spacing w:before="0" w:after="0"/>
        <w:ind w:left="720" w:hanging="720"/>
        <w:rPr/>
      </w:pPr>
      <w:r>
        <w:rPr/>
        <w:t>2.</w:t>
        <w:tab/>
        <w:t xml:space="preserve">Lutfi AZ. The Phenomenon of Underage Motorbike Riders in Junior High School Students: A Critical Review of Juvenile Delinquency. </w:t>
      </w:r>
      <w:r>
        <w:rPr>
          <w:i/>
        </w:rPr>
        <w:t xml:space="preserve">Journal of Indonesian Social Sciences and Humanities. </w:t>
      </w:r>
      <w:r>
        <w:rPr/>
        <w:t>2020;10(2):121-134.</w:t>
      </w:r>
    </w:p>
    <w:p>
      <w:pPr>
        <w:pStyle w:val="EndNoteBibliography"/>
        <w:spacing w:before="0" w:after="0"/>
        <w:ind w:left="720" w:hanging="720"/>
        <w:rPr/>
      </w:pPr>
      <w:r>
        <w:rPr/>
        <w:t>3.</w:t>
        <w:tab/>
        <w:t xml:space="preserve">Pervez A, Lee J, Huang H. Identifying factors contributing to the motorcycle crash severity in Pakistan. </w:t>
      </w:r>
      <w:r>
        <w:rPr>
          <w:i/>
        </w:rPr>
        <w:t xml:space="preserve">Journal of advanced transportation. </w:t>
      </w:r>
      <w:r>
        <w:rPr/>
        <w:t>2021;2021.</w:t>
      </w:r>
    </w:p>
    <w:p>
      <w:pPr>
        <w:pStyle w:val="EndNoteBibliography"/>
        <w:spacing w:before="0" w:after="0"/>
        <w:ind w:left="720" w:hanging="720"/>
        <w:rPr/>
      </w:pPr>
      <w:r>
        <w:rPr/>
        <w:t>4.</w:t>
        <w:tab/>
        <w:t xml:space="preserve">Piyapromdee U, Adulyanukosol V, Lewsirirat S. Increasing Road Traffic Injuries in Underage Motorcyclists. </w:t>
      </w:r>
      <w:r>
        <w:rPr>
          <w:i/>
        </w:rPr>
        <w:t xml:space="preserve">The Thai Journal of Orthopaedic Surgery. </w:t>
      </w:r>
      <w:r>
        <w:rPr/>
        <w:t>2015;39(1-2):3-7.</w:t>
      </w:r>
    </w:p>
    <w:p>
      <w:pPr>
        <w:pStyle w:val="EndNoteBibliography"/>
        <w:spacing w:before="0" w:after="0"/>
        <w:ind w:left="720" w:hanging="720"/>
        <w:rPr/>
      </w:pPr>
      <w:r>
        <w:rPr/>
        <w:t>5.</w:t>
        <w:tab/>
        <w:t xml:space="preserve">Rathinam C, Nair N, Gupta A, Joshi S, Bansal S. Self-reported motorcycle riding behaviour among school children in India. </w:t>
      </w:r>
      <w:r>
        <w:rPr>
          <w:i/>
        </w:rPr>
        <w:t xml:space="preserve">Accident Analysis &amp; Prevention. </w:t>
      </w:r>
      <w:r>
        <w:rPr/>
        <w:t>2007;39(2):334-339.</w:t>
      </w:r>
    </w:p>
    <w:p>
      <w:pPr>
        <w:pStyle w:val="EndNoteBibliography"/>
        <w:ind w:left="720" w:hanging="720"/>
        <w:rPr/>
      </w:pPr>
      <w:r>
        <w:rPr/>
        <w:t>6.</w:t>
        <w:tab/>
        <w:t xml:space="preserve">Schröter C, Urbanek F, Frömke C, et al. Injury severity in polytrauma patients is underestimated using the injury severity score: a single-center correlation study in air rescue. </w:t>
      </w:r>
      <w:r>
        <w:rPr>
          <w:i/>
        </w:rPr>
        <w:t xml:space="preserve">European journal of trauma and emergency surgery. </w:t>
      </w:r>
      <w:r>
        <w:rPr/>
        <w:t>2019;45(1):83-89.</w:t>
      </w:r>
    </w:p>
    <w:p>
      <w:pPr>
        <w:pStyle w:val="EndNoteBibliography"/>
        <w:spacing w:before="0" w:after="160"/>
        <w:rPr>
          <w:szCs w:val="24"/>
        </w:rPr>
      </w:pPr>
      <w:r>
        <w:rPr/>
      </w:r>
      <w:r>
        <w:rPr/>
        <w:fldChar w:fldCharType="end"/>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1-06-28T21:23:0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need a better transition to the motorcycle thing. Can you cite some figures on how much more common it is with two-wheelers than four-wheelers?</w:t>
      </w:r>
    </w:p>
  </w:comment>
  <w:comment w:id="1" w:author="Martin Gerdin Wärnberg" w:date="2021-06-28T21:21:4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change how you cite studies here, please use one system consistently.</w:t>
      </w:r>
    </w:p>
  </w:comment>
  <w:comment w:id="2" w:author="Martin Gerdin Wärnberg" w:date="2021-06-28T21:24:5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don’t think this is necessary here, consider removing.</w:t>
      </w:r>
    </w:p>
  </w:comment>
  <w:comment w:id="3" w:author="Martin Gerdin Wärnberg" w:date="2021-06-22T09:46:00Z" w:initials="MGW">
    <w:p>
      <w:r>
        <w:rPr>
          <w:rFonts w:eastAsia="DejaVu Sans" w:cs="DejaVu Sans" w:ascii="Calibri" w:hAnsi="Calibri"/>
          <w:sz w:val="20"/>
          <w:szCs w:val="24"/>
          <w:lang w:val="en-US" w:eastAsia="en-US" w:bidi="en-US"/>
        </w:rPr>
        <w:t xml:space="preserve">Not sure we should call it cross-sectional, but I think we’ve had this discussion before. </w:t>
      </w:r>
    </w:p>
    <w:p>
      <w:r>
        <w:rPr>
          <w:rFonts w:ascii="Liberation Serif" w:hAnsi="Liberation Serif" w:eastAsia="DejaVu Sans" w:cs="DejaVu Sans"/>
          <w:sz w:val="24"/>
          <w:szCs w:val="24"/>
          <w:lang w:val="en-US" w:eastAsia="en-US" w:bidi="en-US"/>
        </w:rPr>
      </w:r>
    </w:p>
    <w:p>
      <w:r>
        <w:rPr>
          <w:rFonts w:eastAsia="DejaVu Sans" w:cs="DejaVu Sans" w:ascii="Calibri" w:hAnsi="Calibri"/>
          <w:sz w:val="20"/>
          <w:szCs w:val="24"/>
          <w:lang w:val="en-US" w:eastAsia="en-US" w:bidi="en-US"/>
        </w:rPr>
        <w:t>URK: Will discuss</w:t>
      </w:r>
    </w:p>
  </w:comment>
  <w:comment w:id="4" w:author="Martin Gerdin Wärnberg" w:date="2021-06-28T21:26:0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Give full form and provide rationale.</w:t>
      </w:r>
    </w:p>
  </w:comment>
  <w:comment w:id="5" w:author="Martin Gerdin Wärnberg" w:date="2021-06-28T21:27:4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the same as injury location?</w:t>
      </w:r>
    </w:p>
  </w:comment>
  <w:comment w:id="6" w:author="Martin Gerdin Wärnberg" w:date="2021-06-28T21:28:0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Provide explanation.</w:t>
      </w:r>
    </w:p>
  </w:comment>
  <w:comment w:id="7" w:author="Martin Gerdin Wärnberg" w:date="2021-06-28T21:34:2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Are you sure you did this?</w:t>
      </w:r>
    </w:p>
  </w:comment>
  <w:comment w:id="8" w:author="Martin Gerdin Wärnberg" w:date="2021-06-28T21:28:3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Please correct.</w:t>
      </w:r>
    </w:p>
  </w:comment>
  <w:comment w:id="9" w:author="Martin Gerdin Wärnberg" w:date="2021-06-28T21:29:3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Please provide a summary of missing data before you start describing the sample, i.e. how many were there in the database, how many fit your inclusion criteria, how many had missing data etc.</w:t>
      </w:r>
    </w:p>
  </w:comment>
  <w:comment w:id="10" w:author="Martin Gerdin Wärnberg" w:date="2021-06-22T09:57:00Z" w:initials="MGW">
    <w:p>
      <w:r>
        <w:rPr>
          <w:rFonts w:eastAsia="DejaVu Sans" w:cs="DejaVu Sans" w:ascii="Calibri" w:hAnsi="Calibri"/>
          <w:sz w:val="20"/>
          <w:szCs w:val="24"/>
          <w:lang w:val="en-US" w:eastAsia="en-US" w:bidi="en-US"/>
        </w:rPr>
        <w:t>You will need to explain what this is somewhere.</w:t>
      </w:r>
    </w:p>
  </w:comment>
  <w:comment w:id="11" w:author="Martin Gerdin Wärnberg" w:date="2021-06-28T21:39:2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Use either model or analysis, not both.</w:t>
      </w:r>
    </w:p>
  </w:comment>
  <w:comment w:id="12" w:author="Martin Gerdin Wärnberg" w:date="2021-06-22T10:20:00Z" w:initials="MGW">
    <w:p>
      <w:r>
        <w:rPr>
          <w:rFonts w:eastAsia="DejaVu Sans" w:cs="DejaVu Sans" w:ascii="Calibri" w:hAnsi="Calibri"/>
          <w:sz w:val="20"/>
          <w:szCs w:val="24"/>
          <w:lang w:val="en-US" w:eastAsia="en-US" w:bidi="en-US"/>
        </w:rPr>
        <w:t>You refer to this as helmet use previously, I suggest you stick with that.</w:t>
      </w:r>
    </w:p>
  </w:comment>
  <w:comment w:id="13" w:author="Martin Gerdin Wärnberg" w:date="2021-06-28T21:40:2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Use either higher/lower or increased/reduced.</w:t>
      </w:r>
    </w:p>
  </w:comment>
  <w:comment w:id="14" w:author="Martin Gerdin Wärnberg" w:date="2021-06-28T21:44:5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Please revise like above.</w:t>
      </w:r>
    </w:p>
  </w:comment>
  <w:comment w:id="15" w:author="Martin Gerdin Wärnberg" w:date="2021-06-28T21:45:2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true.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8333318"/>
    </w:sdtPr>
    <w:sdtContent>
      <w:p>
        <w:pPr>
          <w:pStyle w:val="Footer"/>
          <w:jc w:val="right"/>
          <w:rPr/>
        </w:pPr>
        <w:r>
          <w:rPr/>
          <w:fldChar w:fldCharType="begin"/>
        </w:r>
        <w:r>
          <w:rPr/>
          <w:instrText> PAGE </w:instrText>
        </w:r>
        <w:r>
          <w:rPr/>
          <w:fldChar w:fldCharType="separate"/>
        </w:r>
        <w:r>
          <w:rPr/>
          <w:t>12</w:t>
        </w:r>
        <w:r>
          <w:rPr/>
          <w:fldChar w:fldCharType="end"/>
        </w:r>
      </w:p>
    </w:sdtContent>
  </w:sdt>
  <w:p>
    <w:pPr>
      <w:pStyle w:val="Footer"/>
      <w:rPr/>
    </w:pPr>
    <w:r>
      <w:rPr/>
    </w:r>
  </w:p>
</w:ftr>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EndNoteBibliographyTitleChar" w:customStyle="1">
    <w:name w:val="EndNote Bibliography Title Char"/>
    <w:basedOn w:val="DefaultParagraphFont"/>
    <w:link w:val="EndNoteBibliographyTitle"/>
    <w:qFormat/>
    <w:rsid w:val="005875e6"/>
    <w:rPr>
      <w:rFonts w:ascii="Times New Roman" w:hAnsi="Times New Roman" w:cs="Times New Roman"/>
      <w:sz w:val="24"/>
    </w:rPr>
  </w:style>
  <w:style w:type="character" w:styleId="EndNoteBibliographyChar" w:customStyle="1">
    <w:name w:val="EndNote Bibliography Char"/>
    <w:basedOn w:val="DefaultParagraphFont"/>
    <w:link w:val="EndNoteBibliography"/>
    <w:qFormat/>
    <w:rsid w:val="005875e6"/>
    <w:rPr>
      <w:rFonts w:ascii="Times New Roman" w:hAnsi="Times New Roman" w:cs="Times New Roman"/>
      <w:sz w:val="24"/>
    </w:rPr>
  </w:style>
  <w:style w:type="character" w:styleId="HeaderChar" w:customStyle="1">
    <w:name w:val="Header Char"/>
    <w:basedOn w:val="DefaultParagraphFont"/>
    <w:link w:val="Header"/>
    <w:uiPriority w:val="99"/>
    <w:qFormat/>
    <w:rsid w:val="00af1767"/>
    <w:rPr/>
  </w:style>
  <w:style w:type="character" w:styleId="FooterChar" w:customStyle="1">
    <w:name w:val="Footer Char"/>
    <w:basedOn w:val="DefaultParagraphFont"/>
    <w:link w:val="Footer"/>
    <w:uiPriority w:val="99"/>
    <w:qFormat/>
    <w:rsid w:val="00af1767"/>
    <w:rPr/>
  </w:style>
  <w:style w:type="character" w:styleId="Annotationreference">
    <w:name w:val="annotation reference"/>
    <w:basedOn w:val="DefaultParagraphFont"/>
    <w:uiPriority w:val="99"/>
    <w:semiHidden/>
    <w:unhideWhenUsed/>
    <w:qFormat/>
    <w:rsid w:val="00562a03"/>
    <w:rPr>
      <w:sz w:val="16"/>
      <w:szCs w:val="16"/>
    </w:rPr>
  </w:style>
  <w:style w:type="character" w:styleId="CommentTextChar" w:customStyle="1">
    <w:name w:val="Comment Text Char"/>
    <w:basedOn w:val="DefaultParagraphFont"/>
    <w:link w:val="CommentText"/>
    <w:uiPriority w:val="99"/>
    <w:qFormat/>
    <w:rsid w:val="00562a03"/>
    <w:rPr>
      <w:sz w:val="20"/>
      <w:szCs w:val="20"/>
    </w:rPr>
  </w:style>
  <w:style w:type="character" w:styleId="CommentSubjectChar" w:customStyle="1">
    <w:name w:val="Comment Subject Char"/>
    <w:basedOn w:val="CommentTextChar"/>
    <w:link w:val="CommentSubject"/>
    <w:uiPriority w:val="99"/>
    <w:semiHidden/>
    <w:qFormat/>
    <w:rsid w:val="00562a03"/>
    <w:rPr>
      <w:b/>
      <w:bCs/>
      <w:sz w:val="20"/>
      <w:szCs w:val="20"/>
    </w:rPr>
  </w:style>
  <w:style w:type="character" w:styleId="BalloonTextChar" w:customStyle="1">
    <w:name w:val="Balloon Text Char"/>
    <w:basedOn w:val="DefaultParagraphFont"/>
    <w:link w:val="BalloonText"/>
    <w:uiPriority w:val="99"/>
    <w:semiHidden/>
    <w:qFormat/>
    <w:rsid w:val="00562a03"/>
    <w:rPr>
      <w:rFonts w:ascii="Segoe UI" w:hAnsi="Segoe UI" w:cs="Segoe UI"/>
      <w:sz w:val="18"/>
      <w:szCs w:val="18"/>
    </w:rPr>
  </w:style>
  <w:style w:type="character" w:styleId="BodyTextChar" w:customStyle="1">
    <w:name w:val="Body Text Char"/>
    <w:basedOn w:val="DefaultParagraphFont"/>
    <w:link w:val="BodyText"/>
    <w:uiPriority w:val="99"/>
    <w:semiHidden/>
    <w:qFormat/>
    <w:rsid w:val="00526b96"/>
    <w:rPr/>
  </w:style>
  <w:style w:type="paragraph" w:styleId="Heading" w:customStyle="1">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526b96"/>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EndNoteBibliographyTitle" w:customStyle="1">
    <w:name w:val="EndNote Bibliography Title"/>
    <w:basedOn w:val="Normal"/>
    <w:link w:val="EndNoteBibliographyTitleChar"/>
    <w:qFormat/>
    <w:rsid w:val="005875e6"/>
    <w:pPr>
      <w:spacing w:before="0" w:after="0"/>
      <w:jc w:val="center"/>
    </w:pPr>
    <w:rPr>
      <w:rFonts w:ascii="Times New Roman" w:hAnsi="Times New Roman" w:cs="Times New Roman"/>
      <w:sz w:val="24"/>
    </w:rPr>
  </w:style>
  <w:style w:type="paragraph" w:styleId="EndNoteBibliography" w:customStyle="1">
    <w:name w:val="EndNote Bibliography"/>
    <w:basedOn w:val="Normal"/>
    <w:link w:val="EndNoteBibliographyChar"/>
    <w:qFormat/>
    <w:rsid w:val="005875e6"/>
    <w:pPr>
      <w:spacing w:lineRule="auto" w:line="240"/>
    </w:pPr>
    <w:rPr>
      <w:rFonts w:ascii="Times New Roman" w:hAnsi="Times New Roman" w:cs="Times New Roman"/>
      <w:sz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f176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f1767"/>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unhideWhenUsed/>
    <w:qFormat/>
    <w:rsid w:val="00562a0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62a03"/>
    <w:pPr/>
    <w:rPr>
      <w:b/>
      <w:bCs/>
    </w:rPr>
  </w:style>
  <w:style w:type="paragraph" w:styleId="BalloonText">
    <w:name w:val="Balloon Text"/>
    <w:basedOn w:val="Normal"/>
    <w:link w:val="BalloonTextChar"/>
    <w:uiPriority w:val="99"/>
    <w:semiHidden/>
    <w:unhideWhenUsed/>
    <w:qFormat/>
    <w:rsid w:val="00562a03"/>
    <w:pPr>
      <w:spacing w:lineRule="auto" w:line="240" w:before="0" w:after="0"/>
    </w:pPr>
    <w:rPr>
      <w:rFonts w:ascii="Segoe UI" w:hAnsi="Segoe UI" w:cs="Segoe UI"/>
      <w:sz w:val="18"/>
      <w:szCs w:val="18"/>
    </w:rPr>
  </w:style>
  <w:style w:type="paragraph" w:styleId="NoSpacing">
    <w:name w:val="No Spacing"/>
    <w:uiPriority w:val="1"/>
    <w:qFormat/>
    <w:rsid w:val="00b802dc"/>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act" w:customStyle="1">
    <w:name w:val="Compact"/>
    <w:basedOn w:val="TextBody"/>
    <w:qFormat/>
    <w:rsid w:val="00526b96"/>
    <w:pPr>
      <w:spacing w:lineRule="auto" w:line="240" w:before="36" w:after="36"/>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77f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c77f83"/>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c91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526b96"/>
    <w:pPr>
      <w:spacing w:after="200"/>
    </w:pPr>
    <w:rPr>
      <w:sz w:val="24"/>
      <w:szCs w:val="24"/>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1019-A6CD-4A28-BDA7-A077C1B3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Application>LibreOffice/7.0.4.2$Linux_X86_64 LibreOffice_project/00$Build-2</Application>
  <AppVersion>15.0000</AppVersion>
  <Pages>12</Pages>
  <Words>2903</Words>
  <Characters>15094</Characters>
  <CharactersWithSpaces>17794</CharactersWithSpaces>
  <Paragraphs>477</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2021-06-26T14:37:00Z</dcterms:created>
  <dc:creator>Uzma Khan</dc:creator>
  <dc:description/>
  <dc:language>en-GB</dc:language>
  <cp:lastModifiedBy>Martin Gerdin Wärnberg</cp:lastModifiedBy>
  <dcterms:modified xsi:type="dcterms:W3CDTF">2021-06-28T21:45:35Z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