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Doppel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B6577"/>
          <w:sz w:val="26"/>
          <w:szCs w:val="26"/>
        </w:rPr>
        <w:t xml:space="preserve">AI-powered API authorization scanner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A51C6"/>
          <w:sz w:val="24"/>
          <w:szCs w:val="24"/>
        </w:rPr>
        <w:t xml:space="preserve">Project Completion &amp; Next-Steps Report</w:t>
      </w:r>
    </w:p>
    <w:p>
      <w:pPr>
        <w:spacing w:after="120" w:line="276"/>
      </w:pPr>
      <w:r>
        <w:rPr>
          <w:rFonts w:ascii="Calibri" w:cs="Calibri" w:eastAsia="Calibri" w:hAnsi="Calibri"/>
          <w:color w:val="5B6577"/>
          <w:sz w:val="22"/>
          <w:szCs w:val="22"/>
        </w:rPr>
        <w:t xml:space="preserve">Authors: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Mayurdhvajsinh and Aachal</w:t>
      </w:r>
      <w:r>
        <w:rPr>
          <w:rFonts w:ascii="Calibri" w:cs="Calibri" w:eastAsia="Calibri" w:hAnsi="Calibri"/>
          <w:color w:val="5B6577"/>
          <w:sz w:val="22"/>
          <w:szCs w:val="22"/>
        </w:rPr>
        <w:t xml:space="preserve">    ·    3rd-semester mini-project</w:t>
      </w:r>
      <w:r>
        <w:rPr>
          <w:rFonts w:ascii="Calibri" w:cs="Calibri" w:eastAsia="Calibri" w:hAnsi="Calibri"/>
          <w:color w:val="5B6577"/>
          <w:sz w:val="22"/>
          <w:szCs w:val="22"/>
        </w:rPr>
        <w:t xml:space="preserve">    ·    Version 1.0</w:t>
      </w:r>
      <w:r>
        <w:rPr>
          <w:rFonts w:ascii="Calibri" w:cs="Calibri" w:eastAsia="Calibri" w:hAnsi="Calibri"/>
          <w:color w:val="5B6577"/>
          <w:sz w:val="22"/>
          <w:szCs w:val="22"/>
        </w:rPr>
        <w:t xml:space="preserve">    ·    14 September 2026</w:t>
      </w:r>
    </w:p>
    <w:p>
      <w:pPr>
        <w:pBdr>
          <w:bottom w:val="single" w:color="C9CFDD" w:sz="6" w:space="1"/>
        </w:pBdr>
        <w:spacing w:after="160" w:before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Complete — all 30 planned working days delivered, tagged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v1.0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 136 automated tests pass. The one remaining hand action is recording the demo video (see “Your next steps”, Section 6).</w:t>
      </w:r>
    </w:p>
    <w:p>
      <w:pPr>
        <w:pStyle w:val="Heading1"/>
      </w:pPr>
      <w:r>
        <w:t xml:space="preserve">1. 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Doppel parses an API’s OpenAPI specification, attacks every endpoint, and uses a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locally-hosted AI model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to detect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Broken Object Level Authorization (BOLA / IDOR)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— the #1 risk in the OWASP API Security Top 10, and the hardest to detect automatically because a successful attack returns a normal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200 OK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that status-code-based scanners cannot see.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Measured on the VAmPI benchmark against a hand-verified ground truth of 12 known vulnerabilities, Doppel’s full pipeline finds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8 of 12 (0.67 recall) at perfect precision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— nearly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four times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the recall of OWASP ZAP (2 of 12, 0.17). The entire advantage is the authorization / data-exposure flaws that return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200 OK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 The same engine, unmodified, also confirmed a real BOLA on the OWASP crAPI target.</w:t>
      </w:r>
    </w:p>
    <w:p>
      <w:pPr>
        <w:pStyle w:val="Heading1"/>
      </w:pPr>
      <w:r>
        <w:t xml:space="preserve">2.  What was built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five-week, 30-day plan was completed in full. The three deliverables that </w:t>
      </w:r>
      <w:r>
        <w:rPr>
          <w:rFonts w:ascii="Calibri" w:cs="Calibri" w:eastAsia="Calibri" w:hAnsi="Calibri"/>
          <w:i/>
          <w:iCs/>
          <w:color w:val="1F2A44"/>
          <w:sz w:val="22"/>
          <w:szCs w:val="22"/>
        </w:rPr>
        <w:t xml:space="preserve">are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the project were all shipped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and measured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engines/bola.py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BOLA engine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: discovers objects owned by one user, replays the access as a second user, and adjudicates whether data leaked.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ai/oracle.py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AI response oracle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: a local LLM that makes the semantic “leak / not-a-leak” judgment status codes cannot — under strict controls.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benchmark/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benchmark harness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: a hand-verified ground truth plus a one-command scorer that turns “we detect BOLA” into a precision / recall result.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Supporting cast (the control group for the measurement): five baseline scanners (SQL injection, XSS, JWT, security misconfiguration, rate-limiting), a BFLA engine, a Typer CLI, a self-contained HTML report with the AI trace, and an offline Streamlit dashboard.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Quality: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136 automated tests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(mocked HTTP — no live target needed), a clean editable install (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pip install -e ".[dev]"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), and a git tag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v1.0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</w:t>
      </w:r>
    </w:p>
    <w:p>
      <w:pPr>
        <w:pStyle w:val="Heading1"/>
      </w:pPr>
      <w:r>
        <w:t xml:space="preserve">3.  How it works (the method)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pipeline: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OpenAPI spec → parse → log in two users → baseline scanners → BOLA/BFLA engine → report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BOLA engine is the contribution. For an object owned by User A it builds a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triple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— A’s own access, B’s cross-access, and B’s control (B reading B’s own object) — then applies three safeguards, in order: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Deterministic first.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A cheap gate resolves the clear cases with no AI call: a rejected cross-access (401/403/404), or a response identical to B’s own control, is not a leak. Only genuinely ambiguous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200 OK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cases go to the oracle.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Schema-constrained AI.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The oracle returns a validated yes/no object (never free-text that must be parsed), at temperature 0 with a fixed seed, so runs are reproducible.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Confidence is computed, never asked.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The score is a weighted blend of five measurable signals (id echo, field overlap, body divergence, status match, and the oracle’s binary verdict) — the model is one signal among five, never the confidence itself.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These are the choices that make AI use </w:t>
      </w:r>
      <w:r>
        <w:rPr>
          <w:rFonts w:ascii="Calibri" w:cs="Calibri" w:eastAsia="Calibri" w:hAnsi="Calibri"/>
          <w:i/>
          <w:iCs/>
          <w:color w:val="1F2A44"/>
          <w:sz w:val="22"/>
          <w:szCs w:val="22"/>
        </w:rPr>
        <w:t xml:space="preserve">defensible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: the tool still runs and still finds things with the model switched off; every finding carries full evidence plus a copy-paste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curl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; and no request leaves the tool unless the target is in an allowlist.</w:t>
      </w:r>
    </w:p>
    <w:p>
      <w:pPr>
        <w:pStyle w:val="Heading1"/>
      </w:pPr>
      <w:r>
        <w:t xml:space="preserve">4.  The result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headline table — reproduced by one command,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python benchmark/run_eval.py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(VAmPI, 12 known vulnerabilities):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1720"/>
        <w:gridCol w:w="1720"/>
        <w:gridCol w:w="1720"/>
        <w:gridCol w:w="940"/>
      </w:tblGrid>
      <w:tr>
        <w:trPr>
          <w:tblHeader/>
        </w:trPr>
        <w:tc>
          <w:tcPr>
            <w:tcW w:type="dxa" w:w="3260"/>
            <w:shd w:fill="EA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Arm</w:t>
            </w:r>
          </w:p>
        </w:tc>
        <w:tc>
          <w:tcPr>
            <w:tcW w:type="dxa" w:w="1720"/>
            <w:shd w:fill="EA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Recall</w:t>
            </w:r>
          </w:p>
        </w:tc>
        <w:tc>
          <w:tcPr>
            <w:tcW w:type="dxa" w:w="1720"/>
            <w:shd w:fill="EA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20"/>
            <w:shd w:fill="EA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F1</w:t>
            </w:r>
          </w:p>
        </w:tc>
        <w:tc>
          <w:tcPr>
            <w:tcW w:type="dxa" w:w="940"/>
            <w:shd w:fill="EA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3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Static wordlist payloads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5/12  (0.42)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1.00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0.59</w:t>
            </w:r>
          </w:p>
        </w:tc>
        <w:tc>
          <w:tcPr>
            <w:tcW w:type="dxa" w:w="9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71</w:t>
            </w:r>
          </w:p>
        </w:tc>
      </w:tr>
      <w:tr>
        <w:tc>
          <w:tcPr>
            <w:tcW w:type="dxa" w:w="3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AI-generated payloads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5/12  (0.42)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1.00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0.59</w:t>
            </w:r>
          </w:p>
        </w:tc>
        <w:tc>
          <w:tcPr>
            <w:tcW w:type="dxa" w:w="9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3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AI + self-repair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5/12  (0.42)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1.00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0.59</w:t>
            </w:r>
          </w:p>
        </w:tc>
        <w:tc>
          <w:tcPr>
            <w:tcW w:type="dxa" w:w="9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3260"/>
            <w:shd w:fill="DDE3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Full (incl. BOLA engine)</w:t>
            </w:r>
          </w:p>
        </w:tc>
        <w:tc>
          <w:tcPr>
            <w:tcW w:type="dxa" w:w="1720"/>
            <w:shd w:fill="DDE3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8/12  (0.67)</w:t>
            </w:r>
          </w:p>
        </w:tc>
        <w:tc>
          <w:tcPr>
            <w:tcW w:type="dxa" w:w="1720"/>
            <w:shd w:fill="DDE3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1.00</w:t>
            </w:r>
          </w:p>
        </w:tc>
        <w:tc>
          <w:tcPr>
            <w:tcW w:type="dxa" w:w="1720"/>
            <w:shd w:fill="DDE3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0.80</w:t>
            </w:r>
          </w:p>
        </w:tc>
        <w:tc>
          <w:tcPr>
            <w:tcW w:type="dxa" w:w="940"/>
            <w:shd w:fill="DDE3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260"/>
            <w:shd w:fill="FBEEE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OWASP ZAP (external baseline)</w:t>
            </w:r>
          </w:p>
        </w:tc>
        <w:tc>
          <w:tcPr>
            <w:tcW w:type="dxa" w:w="1720"/>
            <w:shd w:fill="FBEEE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2/12  (0.17)</w:t>
            </w:r>
          </w:p>
        </w:tc>
        <w:tc>
          <w:tcPr>
            <w:tcW w:type="dxa" w:w="1720"/>
            <w:shd w:fill="FBEEE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0.50</w:t>
            </w:r>
          </w:p>
        </w:tc>
        <w:tc>
          <w:tcPr>
            <w:tcW w:type="dxa" w:w="1720"/>
            <w:shd w:fill="FBEEE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0.25</w:t>
            </w:r>
          </w:p>
        </w:tc>
        <w:tc>
          <w:tcPr>
            <w:tcW w:type="dxa" w:w="940"/>
            <w:shd w:fill="FBEEE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What it proves: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the baseline scanners find the same five statically-detectable flaws in every arm; adding the BOLA/BFLA engine adds exactly three more — a book-secret BOLA, a public-user-record data exposure, and a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_debug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BFLA — all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200 OK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 Most tellingly, OWASP ZAP retrieved the endpoint that dumps every user’s password, and the cross-user data, and flagged </w:t>
      </w:r>
      <w:r>
        <w:rPr>
          <w:rFonts w:ascii="Calibri" w:cs="Calibri" w:eastAsia="Calibri" w:hAnsi="Calibri"/>
          <w:b/>
          <w:bCs/>
          <w:i/>
          <w:iCs/>
          <w:color w:val="1F2A44"/>
          <w:sz w:val="22"/>
          <w:szCs w:val="22"/>
        </w:rPr>
        <w:t xml:space="preserve">nothing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— because it cannot reason about authorization. (crAPI second target: 1 real BOLA at 0.85 confidence, 0 false positives.)</w:t>
      </w:r>
    </w:p>
    <w:p>
      <w:pPr>
        <w:pStyle w:val="Heading1"/>
      </w:pPr>
      <w:r>
        <w:t xml:space="preserve">5.  What’s in the repository &amp; how to run it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Key locations: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doppel/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engine (a library): core, scanners, ai, engines, scoring, report.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benchmark/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ground_truth.yaml, run_eval.py, results/, the ZAP adapter, the crAPI driver.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dashboard.py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offline Streamlit demo.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docs/report.md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formal technical report.  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docs/demo_script.md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recording walkthrough.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BRAIN.md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docs/journal.md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full design record and day-by-day log.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Run it (Windows PowerShell). Activate the venv first — the commands live in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.venv\Scripts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, not on the global PATH:</w:t>
      </w:r>
    </w:p>
    <w:p>
      <w:pPr>
        <w:spacing w:after="20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PS&gt; .\.venv\Scripts\Activate.ps1</w:t>
      </w:r>
    </w:p>
    <w:p>
      <w:pPr>
        <w:spacing w:after="20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PS&gt; doppel scan --spec http://localhost:5000/openapi.json --payloads ai --repair --bola --report out.html</w:t>
      </w:r>
    </w:p>
    <w:p>
      <w:pPr>
        <w:spacing w:after="20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PS&gt; python benchmark/run_eval.py          # the ablation table</w:t>
      </w:r>
    </w:p>
    <w:p>
      <w:pPr>
        <w:spacing w:after="20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PS&gt; streamlit run dashboard.py            # the offline demo</w:t>
      </w:r>
    </w:p>
    <w:p>
      <w:pPr>
        <w:spacing w:after="20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PS&gt; doppel scan --replay cassettes/vampi/   # runs fully offline, target stopped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(If a command is “not recognized”, the venv isn’t active — either activate it as above, or call the tool by full path, e.g.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.\.venv\Scripts\streamlit.exe run dashboard.py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.)</w:t>
      </w:r>
    </w:p>
    <w:p>
      <w:r>
        <w:br w:type="page"/>
      </w:r>
    </w:p>
    <w:p>
      <w:pPr>
        <w:pStyle w:val="Heading1"/>
      </w:pPr>
      <w:r>
        <w:t xml:space="preserve">6.  Your next steps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software is finished. What remains is presentation and submission — in priority order:</w:t>
      </w:r>
    </w:p>
    <w:p>
      <w:pPr>
        <w:pStyle w:val="Heading3"/>
      </w:pPr>
      <w:r>
        <w:t xml:space="preserve">Step 1  —  Record the demo video  (the one remaining roadmap item)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Follow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docs/demo_script.md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— it is a seven-scene, ~5-minute walkthrough with copy-paste commands and exact narration. Use any screen recorder (Windows Game Bar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Win+G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, OBS, or your phone). It has a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LIVE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path (VAmPI + Ollama running) and an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OFFLINE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path (replay + saved results) — the offline path cannot fail live, so use it if Ollama feels slow. Scenes 3–5 (the scan, the AI trace, the ablation table) are the core; keep it under five minutes.</w:t>
      </w:r>
    </w:p>
    <w:p>
      <w:pPr>
        <w:pStyle w:val="Heading3"/>
      </w:pPr>
      <w:r>
        <w:t xml:space="preserve">Step 2  —  Prepare for the viva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Rehearse the defensible one-liners in the cheat-sheet below (Section 7) and be ready to state the honest limitations (Section 8) before an examiner raises them — owning them reads as rigour. The single most important sentence: 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7"/>
          <w:sz w:val="22"/>
          <w:szCs w:val="22"/>
        </w:rPr>
        <w:t xml:space="preserve">“A BOLA leak returns 200 OK, so status-code scanners are blind to it; we use a local LLM as a semantic oracle — but only on ambiguous cases, with schema-constrained output and a confidence we compute rather than ask for.”</w:t>
      </w:r>
    </w:p>
    <w:p>
      <w:pPr>
        <w:pStyle w:val="Heading3"/>
      </w:pPr>
      <w:r>
        <w:t xml:space="preserve">Step 3  —  Assemble &amp; submit the package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code at tag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v1.0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(zip the repo, or push to GitHub — see Step 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report as a PDF — export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docs/report.md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(how-to below).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This completion report and the demo video.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Confirm reproducibility for the examiner: a fresh checkout runs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pip install -e ".[dev]"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then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pytest -q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(136 pass) and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python benchmark/run_eval.py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(the table).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Produce the report PDF from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docs/report.md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one of two ways: (a) open it in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VS Code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and use the </w:t>
      </w:r>
      <w:r>
        <w:rPr>
          <w:rFonts w:ascii="Calibri" w:cs="Calibri" w:eastAsia="Calibri" w:hAnsi="Calibri"/>
          <w:i/>
          <w:iCs/>
          <w:color w:val="1F2A44"/>
          <w:sz w:val="22"/>
          <w:szCs w:val="22"/>
        </w:rPr>
        <w:t xml:space="preserve">Markdown PDF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extension — right-click → “Markdown PDF: Export (pdf)”; or (b) with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pandoc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installed, run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pandoc docs/report.md -o Doppel_report.pdf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 Include that PDF in the submission package.</w:t>
      </w:r>
    </w:p>
    <w:p>
      <w:pPr>
        <w:pStyle w:val="Heading3"/>
      </w:pPr>
      <w:r>
        <w:t xml:space="preserve">Step 4  —  (Optional) publish to GitHub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If you want it online: create an empty GitHub repo, then from the project folder run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git remote add origin &lt;url&gt;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git push -u origin main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git push origin v1.0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 The README is already written for a stranger to clone and run.</w:t>
      </w:r>
    </w:p>
    <w:p>
      <w:pPr>
        <w:pStyle w:val="Heading3"/>
      </w:pPr>
      <w:r>
        <w:t xml:space="preserve">Step 5  —  (Optional) future work, if you extend 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Generalize object discovery to email-gated resources (to scan more of crAPI than one endpoint).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Add write-side authorization testing — the engine currently adjudicates cross-user </w:t>
      </w:r>
      <w:r>
        <w:rPr>
          <w:rFonts w:ascii="Calibri" w:cs="Calibri" w:eastAsia="Calibri" w:hAnsi="Calibri"/>
          <w:i/>
          <w:iCs/>
          <w:color w:val="1F2A44"/>
          <w:sz w:val="22"/>
          <w:szCs w:val="22"/>
        </w:rPr>
        <w:t xml:space="preserve">reads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Test on a target with validation-gated parameters, to show an AI-payload </w:t>
      </w:r>
      <w:r>
        <w:rPr>
          <w:rFonts w:ascii="Calibri" w:cs="Calibri" w:eastAsia="Calibri" w:hAnsi="Calibri"/>
          <w:i/>
          <w:iCs/>
          <w:color w:val="1F2A44"/>
          <w:sz w:val="22"/>
          <w:szCs w:val="22"/>
        </w:rPr>
        <w:t xml:space="preserve">recall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win (on VAmPI the AI arm wins only on efficiency).</w:t>
      </w:r>
    </w:p>
    <w:p>
      <w:pPr>
        <w:pStyle w:val="Heading1"/>
      </w:pPr>
      <w:r>
        <w:t xml:space="preserve">7.  Viva cheat-sheet (defensible points &amp; likely questions)</w:t>
      </w:r>
    </w:p>
    <w:p>
      <w:pPr>
        <w:pStyle w:val="Heading3"/>
      </w:pPr>
      <w:r>
        <w:t xml:space="preserve">The points that make it defensible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Deterministic first, LLM second — the model is called only on ambiguous cases; with it off, the tool still runs and still finds things.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Never parse free text — every AI response is schema-validated JSON.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Confidence is computed from five measurable signals, not asked of the model (an LLM’s stated confidence is a plausible token, not a probability).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Reproducible — every AI call pins a seed; each result records its model and seed.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Honest ground truth — it includes the four vulnerabilities the tool cannot detect, so recall is 8 of 12 real flaws, not 8 of the 8 we can find.</w:t>
      </w:r>
    </w:p>
    <w:p>
      <w:pPr>
        <w:pStyle w:val="Heading3"/>
      </w:pPr>
      <w:r>
        <w:t xml:space="preserve">Likely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“Why not just check the status code?”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— BOLA returns 200 OK; that is the whole problem, and why a semantic oracle is needed.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“Can you trust the LLM?”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— It is one bounded signal behind a deterministic gate and schema validation; it never sets the confidence and never runs on cases the cheap checks resolve.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“Is it reproducible?”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— Yes within a session (pinned seed); across model reloads output can drift, so the committed result files are the canonical numbers — stated openly as a limitation.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“Why did the AI-payload arm not beat static on recall?”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— VAmPI’s injectable flaws are all findable with generic payloads; the AI arm’s measured win there is efficiency (~11% fewer requests). Reported honestly, not inflated.</w:t>
      </w:r>
    </w:p>
    <w:p>
      <w:pPr>
        <w:pStyle w:val="Heading1"/>
      </w:pPr>
      <w:r>
        <w:t xml:space="preserve">8.  Known limitations (state these before the examiner does)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On VAmPI the AI-payload arm shows an efficiency advantage, not a recall one (its vulnerabilities are all statically findable).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crAPI result is a single validated endpoint, not a full scan — object discovery there is target-specific; the adjudication engine is not.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LLM determinism is within-session only; the committed result files are the canonical measurements.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offline replay covers the deterministic scanners; the AI/BOLA arms need Ollama live (their traffic is not recorded).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Ground truth is hand-authored for two targets (independently verified, and deliberately inclusive of the tool’s blind spots).</w:t>
      </w:r>
    </w:p>
    <w:p>
      <w:pPr>
        <w:pBdr>
          <w:bottom w:val="single" w:color="C9CFDD" w:sz="6" w:space="1"/>
        </w:pBdr>
        <w:spacing w:after="16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5B6577"/>
          <w:sz w:val="18"/>
          <w:szCs w:val="18"/>
        </w:rPr>
        <w:t xml:space="preserve">Prepared by Mayurdhvajsinh and Aachal · Doppel v1.0 · full engineering record in </w:t>
      </w:r>
      <w:r>
        <w:rPr>
          <w:rFonts w:ascii="Consolas" w:cs="Consolas" w:eastAsia="Consolas" w:hAnsi="Consolas"/>
          <w:color w:val="213040"/>
          <w:sz w:val="17"/>
          <w:szCs w:val="17"/>
        </w:rPr>
        <w:t xml:space="preserve">BRAIN.md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 and </w:t>
      </w:r>
      <w:r>
        <w:rPr>
          <w:rFonts w:ascii="Consolas" w:cs="Consolas" w:eastAsia="Consolas" w:hAnsi="Consolas"/>
          <w:color w:val="213040"/>
          <w:sz w:val="17"/>
          <w:szCs w:val="17"/>
        </w:rPr>
        <w:t xml:space="preserve">docs/journal.md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3A51C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40"/>
    </w:pPr>
    <w:rPr>
      <w:rFonts w:ascii="Calibri" w:cs="Calibri" w:eastAsia="Calibri" w:hAnsi="Calibri"/>
      <w:b/>
      <w:bCs/>
      <w:color w:val="1F2A44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Calibri" w:cs="Calibri" w:eastAsia="Calibri" w:hAnsi="Calibri"/>
      <w:b/>
      <w:bCs/>
      <w:color w:val="3A51C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Calibri" w:cs="Calibri" w:eastAsia="Calibri" w:hAnsi="Calibri"/>
      <w:b/>
      <w:bCs/>
      <w:color w:val="1F2A44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40" w:before="150"/>
      <w:outlineLvl w:val="2"/>
    </w:pPr>
    <w:rPr>
      <w:rFonts w:ascii="Calibri" w:cs="Calibri" w:eastAsia="Calibri" w:hAnsi="Calibri"/>
      <w:b/>
      <w:bCs/>
      <w:color w:val="3A51C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Doppel — Project Completion &amp; Next-Steps Report</dc:title>
  <dc:creator>Mayurdhvajsinh and Aachal</dc:creator>
  <cp:lastModifiedBy>Un-named</cp:lastModifiedBy>
  <cp:revision>1</cp:revision>
  <dcterms:created xsi:type="dcterms:W3CDTF">2026-09-14T13:32:32.141Z</dcterms:created>
  <dcterms:modified xsi:type="dcterms:W3CDTF">2026-09-14T13:32:32.141Z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