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drawing>
          <wp:inline distT="0" distB="0" distL="0" distR="0">
            <wp:extent cx="3619500" cy="1085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800"/>
        <w:jc w:val="center"/>
      </w:pPr>
      <w:r>
        <w:rPr>
          <w:rFonts w:ascii="Space Grotesk" w:cs="Space Grotesk" w:eastAsia="Space Grotesk" w:hAnsi="Space Grotesk"/>
          <w:b/>
          <w:bCs/>
          <w:caps/>
          <w:color w:val="0077C8"/>
          <w:spacing w:val="30"/>
          <w:sz w:val="26"/>
          <w:szCs w:val="26"/>
        </w:rPr>
        <w:t xml:space="preserve">BRAND &amp; WEBSITE STYLE GUIDE</w:t>
      </w:r>
    </w:p>
    <w:p>
      <w:pPr>
        <w:jc w:val="center"/>
      </w:pPr>
      <w:r>
        <w:rPr>
          <w:rFonts w:ascii="Fraunces" w:cs="Fraunces" w:eastAsia="Fraunces" w:hAnsi="Fraunces"/>
          <w:i/>
          <w:iCs/>
          <w:color w:val="6B6E73"/>
          <w:sz w:val="24"/>
          <w:szCs w:val="24"/>
        </w:rPr>
        <w:t xml:space="preserve">Gear and lifestyle for people who live the sport</w:t>
      </w:r>
    </w:p>
    <w:p>
      <w:pPr>
        <w:spacing w:before="6000"/>
        <w:jc w:val="center"/>
      </w:pPr>
      <w:r>
        <w:rPr>
          <w:rFonts w:ascii="Inter" w:cs="Inter" w:eastAsia="Inter" w:hAnsi="Inter"/>
          <w:color w:val="9A9D93"/>
          <w:sz w:val="18"/>
          <w:szCs w:val="18"/>
        </w:rPr>
        <w:t xml:space="preserve">Version 1.0 —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pace Grotesk" w:cs="Space Grotesk" w:eastAsia="Space Grotesk" w:hAnsi="Space Grotesk"/>
          <w:b/>
          <w:bCs/>
          <w:color w:val="16324F"/>
          <w:sz w:val="30"/>
          <w:szCs w:val="30"/>
        </w:rPr>
        <w:t xml:space="preserve">Brand overview</w:t>
      </w:r>
    </w:p>
    <w:p>
      <w:pPr>
        <w:pBdr>
          <w:bottom w:val="single" w:color="D7E639" w:sz="24"/>
        </w:pBdr>
        <w:spacing w:after="200"/>
      </w:pPr>
      <w:r>
        <w:t xml:space="preserve"/>
      </w:r>
    </w:p>
    <w:p>
      <w:pPr>
        <w:spacing w:after="60"/>
      </w:pPr>
      <w:r>
        <w:rPr>
          <w:rFonts w:ascii="Inter" w:cs="Inter" w:eastAsia="Inter" w:hAnsi="Inter"/>
          <w:b/>
          <w:bCs/>
          <w:caps/>
          <w:color w:val="6B6E73"/>
          <w:sz w:val="16"/>
          <w:szCs w:val="16"/>
        </w:rPr>
        <w:t xml:space="preserve">Positioning statement</w:t>
      </w:r>
    </w:p>
    <w:p>
      <w:pPr>
        <w:spacing w:after="160" w:line="300"/>
      </w:pPr>
      <w:r>
        <w:rPr>
          <w:rFonts w:ascii="Inter" w:cs="Inter" w:eastAsia="Inter" w:hAnsi="Inter"/>
          <w:i w:val="false"/>
          <w:iCs w:val="false"/>
          <w:color w:val="23262B"/>
          <w:sz w:val="21"/>
          <w:szCs w:val="21"/>
        </w:rPr>
        <w:t xml:space="preserve">The Tennis Life is the go-to gear and lifestyle destination for tennis players who see the sport as an identity, not just a hobby. We combine performance-grade equipment with the culture around the game — on-court focus, off-court style — for players aged 25 to 60 who take their tennis, and their taste, seriously.</w:t>
      </w:r>
    </w:p>
    <w:p>
      <w:pPr>
        <w:spacing w:after="60"/>
      </w:pPr>
      <w:r>
        <w:rPr>
          <w:rFonts w:ascii="Inter" w:cs="Inter" w:eastAsia="Inter" w:hAnsi="Inter"/>
          <w:b/>
          <w:bCs/>
          <w:caps/>
          <w:color w:val="6B6E73"/>
          <w:sz w:val="16"/>
          <w:szCs w:val="16"/>
        </w:rPr>
        <w:t xml:space="preserve">Audience</w:t>
      </w:r>
    </w:p>
    <w:p>
      <w:pPr>
        <w:spacing w:after="160" w:line="300"/>
      </w:pPr>
      <w:r>
        <w:rPr>
          <w:rFonts w:ascii="Inter" w:cs="Inter" w:eastAsia="Inter" w:hAnsi="Inter"/>
          <w:i w:val="false"/>
          <w:iCs w:val="false"/>
          <w:color w:val="23262B"/>
          <w:sz w:val="21"/>
          <w:szCs w:val="21"/>
        </w:rPr>
        <w:t xml:space="preserve">Tennis lovers and enthusiasts, 25–60, across the US, UK and Canada. Club players, weekend competitors and lifelong fans who associate tennis with discipline, travel, social life and personal style — not just the scoreline.</w:t>
      </w:r>
    </w:p>
    <w:p>
      <w:pPr>
        <w:spacing w:after="60"/>
      </w:pPr>
      <w:r>
        <w:rPr>
          <w:rFonts w:ascii="Inter" w:cs="Inter" w:eastAsia="Inter" w:hAnsi="Inter"/>
          <w:b/>
          <w:bCs/>
          <w:caps/>
          <w:color w:val="6B6E73"/>
          <w:sz w:val="16"/>
          <w:szCs w:val="16"/>
        </w:rPr>
        <w:t xml:space="preserve">Brand personality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color w:val="23262B"/>
          <w:sz w:val="21"/>
          <w:szCs w:val="21"/>
        </w:rPr>
        <w:t xml:space="preserve">Confident — speaks like someone who has actually played the point, not a stock-photo sports brand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color w:val="23262B"/>
          <w:sz w:val="21"/>
          <w:szCs w:val="21"/>
        </w:rPr>
        <w:t xml:space="preserve">Warm — clay-court warmth, not cold locker-room minimalism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color w:val="23262B"/>
          <w:sz w:val="21"/>
          <w:szCs w:val="21"/>
        </w:rPr>
        <w:t xml:space="preserve">Sharp — clean, considered, editorial rather than cluttered or discount-driven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color w:val="23262B"/>
          <w:sz w:val="21"/>
          <w:szCs w:val="21"/>
        </w:rPr>
        <w:t xml:space="preserve">Aspirational but grounded — premium feel, accessible tone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pace Grotesk" w:cs="Space Grotesk" w:eastAsia="Space Grotesk" w:hAnsi="Space Grotesk"/>
          <w:b/>
          <w:bCs/>
          <w:color w:val="16324F"/>
          <w:sz w:val="30"/>
          <w:szCs w:val="30"/>
        </w:rPr>
        <w:t xml:space="preserve">Logo</w:t>
      </w:r>
    </w:p>
    <w:p>
      <w:pPr>
        <w:pBdr>
          <w:bottom w:val="single" w:color="D7E639" w:sz="24"/>
        </w:pBdr>
        <w:spacing w:after="200"/>
      </w:pPr>
      <w:r>
        <w:t xml:space="preserve"/>
      </w:r>
    </w:p>
    <w:p>
      <w:pPr>
        <w:spacing w:after="60"/>
      </w:pPr>
      <w:r>
        <w:rPr>
          <w:rFonts w:ascii="Inter" w:cs="Inter" w:eastAsia="Inter" w:hAnsi="Inter"/>
          <w:b/>
          <w:bCs/>
          <w:caps/>
          <w:color w:val="6B6E73"/>
          <w:sz w:val="16"/>
          <w:szCs w:val="16"/>
        </w:rPr>
        <w:t xml:space="preserve">Primary lockup</w:t>
      </w:r>
    </w:p>
    <w:p>
      <w:pPr>
        <w:spacing w:after="100"/>
      </w:pPr>
      <w:r>
        <w:drawing>
          <wp:inline distT="0" distB="0" distL="0" distR="0">
            <wp:extent cx="30480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/>
      </w:pPr>
      <w:r>
        <w:rPr>
          <w:rFonts w:ascii="Inter" w:cs="Inter" w:eastAsia="Inter" w:hAnsi="Inter"/>
          <w:i w:val="false"/>
          <w:iCs w:val="false"/>
          <w:color w:val="23262B"/>
          <w:sz w:val="21"/>
          <w:szCs w:val="21"/>
        </w:rPr>
        <w:t xml:space="preserve">The primary lockup pairs the ball-seam mark with the wordmark set in Archivo Black. Use on white or Chalk grey backgrounds.</w:t>
      </w:r>
    </w:p>
    <w:p>
      <w:pPr>
        <w:spacing w:after="60"/>
      </w:pPr>
      <w:r>
        <w:rPr>
          <w:rFonts w:ascii="Inter" w:cs="Inter" w:eastAsia="Inter" w:hAnsi="Inter"/>
          <w:b/>
          <w:bCs/>
          <w:caps/>
          <w:color w:val="6B6E73"/>
          <w:sz w:val="16"/>
          <w:szCs w:val="16"/>
        </w:rPr>
        <w:t xml:space="preserve">Reversed lockup</w:t>
      </w:r>
    </w:p>
    <w:p>
      <w:pPr>
        <w:shd w:fill="16324F" w:val="clear"/>
        <w:spacing w:after="100"/>
      </w:pPr>
      <w:r>
        <w:drawing>
          <wp:inline distT="0" distB="0" distL="0" distR="0">
            <wp:extent cx="30480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/>
      </w:pPr>
      <w:r>
        <w:rPr>
          <w:rFonts w:ascii="Inter" w:cs="Inter" w:eastAsia="Inter" w:hAnsi="Inter"/>
          <w:i w:val="false"/>
          <w:iCs w:val="false"/>
          <w:color w:val="23262B"/>
          <w:sz w:val="21"/>
          <w:szCs w:val="21"/>
        </w:rPr>
        <w:t xml:space="preserve">Use the reversed lockup on Court blue, Ink charcoal, or photographic backgrounds dark enough for white text to sit comfortably.</w:t>
      </w:r>
    </w:p>
    <w:p>
      <w:pPr>
        <w:spacing w:after="60"/>
      </w:pPr>
      <w:r>
        <w:rPr>
          <w:rFonts w:ascii="Inter" w:cs="Inter" w:eastAsia="Inter" w:hAnsi="Inter"/>
          <w:b/>
          <w:bCs/>
          <w:caps/>
          <w:color w:val="6B6E73"/>
          <w:sz w:val="16"/>
          <w:szCs w:val="16"/>
        </w:rPr>
        <w:t xml:space="preserve">Icon mark</w:t>
      </w:r>
    </w:p>
    <w:p>
      <w:pPr>
        <w:spacing w:after="100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/>
      </w:pPr>
      <w:r>
        <w:rPr>
          <w:rFonts w:ascii="Inter" w:cs="Inter" w:eastAsia="Inter" w:hAnsi="Inter"/>
          <w:i w:val="false"/>
          <w:iCs w:val="false"/>
          <w:color w:val="23262B"/>
          <w:sz w:val="21"/>
          <w:szCs w:val="21"/>
        </w:rPr>
        <w:t xml:space="preserve">The standalone ball-seam mark is used for favicons, app icons, social avatars and small-space applications where the full wordmark won't read clearly.</w:t>
      </w:r>
    </w:p>
    <w:p>
      <w:pPr>
        <w:spacing w:after="60"/>
      </w:pPr>
      <w:r>
        <w:rPr>
          <w:rFonts w:ascii="Inter" w:cs="Inter" w:eastAsia="Inter" w:hAnsi="Inter"/>
          <w:b/>
          <w:bCs/>
          <w:caps/>
          <w:color w:val="6B6E73"/>
          <w:sz w:val="16"/>
          <w:szCs w:val="16"/>
        </w:rPr>
        <w:t xml:space="preserve">Clear space and minimum size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color w:val="23262B"/>
          <w:sz w:val="21"/>
          <w:szCs w:val="21"/>
        </w:rPr>
        <w:t xml:space="preserve">Maintain clear space around the logo equal to the height of the ball mark on all sides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color w:val="23262B"/>
          <w:sz w:val="21"/>
          <w:szCs w:val="21"/>
        </w:rPr>
        <w:t xml:space="preserve">Minimum digital width: 120px for the full lockup, 24px for the icon mark alone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color w:val="23262B"/>
          <w:sz w:val="21"/>
          <w:szCs w:val="21"/>
        </w:rPr>
        <w:t xml:space="preserve">Never place the primary (dark-on-light) lockup on a background darker than Chalk grey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color w:val="23262B"/>
          <w:sz w:val="21"/>
          <w:szCs w:val="21"/>
        </w:rPr>
        <w:t xml:space="preserve">Never stretch, rotate, recolor outside the palette, or add drop shadows to the mark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pace Grotesk" w:cs="Space Grotesk" w:eastAsia="Space Grotesk" w:hAnsi="Space Grotesk"/>
          <w:b/>
          <w:bCs/>
          <w:color w:val="16324F"/>
          <w:sz w:val="30"/>
          <w:szCs w:val="30"/>
        </w:rPr>
        <w:t xml:space="preserve">Colour palette</w:t>
      </w:r>
    </w:p>
    <w:p>
      <w:pPr>
        <w:pBdr>
          <w:bottom w:val="single" w:color="D7E639" w:sz="24"/>
        </w:pBdr>
        <w:spacing w:after="200"/>
      </w:pPr>
      <w:r>
        <w:t xml:space="preserve"/>
      </w:r>
    </w:p>
    <w:p>
      <w:pPr>
        <w:spacing w:after="160" w:line="300"/>
      </w:pPr>
      <w:r>
        <w:rPr>
          <w:rFonts w:ascii="Inter" w:cs="Inter" w:eastAsia="Inter" w:hAnsi="Inter"/>
          <w:i w:val="false"/>
          <w:iCs w:val="false"/>
          <w:color w:val="23262B"/>
          <w:sz w:val="21"/>
          <w:szCs w:val="21"/>
        </w:rPr>
        <w:t xml:space="preserve">A brighter, higher-energy palette built around an optic tennis-ball green and a vivid court blue, warmed up with clay coral and cooled down with sky cyan. Ink charcoal and chalk grey carry text and structure.</w:t>
      </w:r>
    </w:p>
    <w:p>
      <w:pPr>
        <w:spacing w:after="60"/>
      </w:pPr>
      <w:r>
        <w:rPr>
          <w:rFonts w:ascii="Inter" w:cs="Inter" w:eastAsia="Inter" w:hAnsi="Inter"/>
          <w:b/>
          <w:bCs/>
          <w:caps/>
          <w:color w:val="6B6E73"/>
          <w:sz w:val="16"/>
          <w:szCs w:val="16"/>
        </w:rPr>
        <w:t xml:space="preserve">Primary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dxa" w:w="4300"/>
            <w:shd w:fill="D7E639" w:color="auto" w:val="clear"/>
            <w:tcMar>
              <w:top w:type="dxa" w:w="300"/>
              <w:left w:type="dxa" w:w="200"/>
              <w:bottom w:type="dxa" w:w="300"/>
              <w:right w:type="dxa" w:w="20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23262B"/>
                <w:sz w:val="22"/>
                <w:szCs w:val="22"/>
              </w:rPr>
              <w:t xml:space="preserve">Ace green</w:t>
            </w:r>
          </w:p>
          <w:p>
            <w:pPr>
              <w:spacing w:before="80"/>
            </w:pPr>
            <w:r>
              <w:rPr>
                <w:rFonts w:ascii="Inter" w:cs="Inter" w:eastAsia="Inter" w:hAnsi="Inter"/>
                <w:color w:val="23262B"/>
                <w:sz w:val="17"/>
                <w:szCs w:val="17"/>
              </w:rPr>
              <w:t xml:space="preserve">HEX #D7E639</w:t>
            </w:r>
          </w:p>
          <w:p>
            <w:r>
              <w:rPr>
                <w:rFonts w:ascii="Inter" w:cs="Inter" w:eastAsia="Inter" w:hAnsi="Inter"/>
                <w:color w:val="23262B"/>
                <w:sz w:val="17"/>
                <w:szCs w:val="17"/>
              </w:rPr>
              <w:t xml:space="preserve">RGB 215, 230, 57</w:t>
            </w:r>
          </w:p>
          <w:p>
            <w:r>
              <w:rPr>
                <w:rFonts w:ascii="Inter" w:cs="Inter" w:eastAsia="Inter" w:hAnsi="Inter"/>
                <w:color w:val="23262B"/>
                <w:sz w:val="17"/>
                <w:szCs w:val="17"/>
              </w:rPr>
              <w:t xml:space="preserve">CMYK 7, 0, 75, 10</w:t>
            </w:r>
          </w:p>
        </w:tc>
        <w:tc>
          <w:tcPr>
            <w:tcW w:type="dxa" w:w="5300"/>
            <w:tcBorders>
              <w:top w:val="single" w:color="DDDCD3" w:sz="4"/>
              <w:left w:val="single" w:color="DDDCD3" w:sz="4"/>
              <w:bottom w:val="single" w:color="DDDCD3" w:sz="4"/>
              <w:right w:val="single" w:color="DDDCD3" w:sz="4"/>
            </w:tcBorders>
            <w:tcMar>
              <w:top w:type="dxa" w:w="300"/>
              <w:left w:type="dxa" w:w="200"/>
              <w:bottom w:type="dxa" w:w="300"/>
              <w:right w:type="dxa" w:w="200"/>
            </w:tcMar>
            <w:vAlign w:val="center"/>
          </w:tcPr>
          <w:p>
            <w:r>
              <w:rPr>
                <w:rFonts w:ascii="Inter" w:cs="Inter" w:eastAsia="Inter" w:hAnsi="Inter"/>
                <w:color w:val="3A3D42"/>
                <w:sz w:val="19"/>
                <w:szCs w:val="19"/>
              </w:rPr>
              <w:t xml:space="preserve">Primary CTA buttons, sale tags, hover accents, brand energy moments</w:t>
            </w:r>
          </w:p>
        </w:tc>
      </w:tr>
      <w:tr>
        <w:trPr>
          <w:cantSplit/>
        </w:trPr>
        <w:tc>
          <w:tcPr>
            <w:tcW w:type="dxa" w:w="4300"/>
            <w:shd w:fill="0077C8" w:color="auto" w:val="clear"/>
            <w:tcMar>
              <w:top w:type="dxa" w:w="300"/>
              <w:left w:type="dxa" w:w="200"/>
              <w:bottom w:type="dxa" w:w="300"/>
              <w:right w:type="dxa" w:w="20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2"/>
                <w:szCs w:val="22"/>
              </w:rPr>
              <w:t xml:space="preserve">Court blue</w:t>
            </w:r>
          </w:p>
          <w:p>
            <w:pPr>
              <w:spacing w:before="80"/>
            </w:pPr>
            <w:r>
              <w:rPr>
                <w:rFonts w:ascii="Inter" w:cs="Inter" w:eastAsia="Inter" w:hAnsi="Inter"/>
                <w:color w:val="FFFFFF"/>
                <w:sz w:val="17"/>
                <w:szCs w:val="17"/>
              </w:rPr>
              <w:t xml:space="preserve">HEX #0077C8</w:t>
            </w:r>
          </w:p>
          <w:p>
            <w:r>
              <w:rPr>
                <w:rFonts w:ascii="Inter" w:cs="Inter" w:eastAsia="Inter" w:hAnsi="Inter"/>
                <w:color w:val="FFFFFF"/>
                <w:sz w:val="17"/>
                <w:szCs w:val="17"/>
              </w:rPr>
              <w:t xml:space="preserve">RGB 0, 119, 200</w:t>
            </w:r>
          </w:p>
          <w:p>
            <w:r>
              <w:rPr>
                <w:rFonts w:ascii="Inter" w:cs="Inter" w:eastAsia="Inter" w:hAnsi="Inter"/>
                <w:color w:val="FFFFFF"/>
                <w:sz w:val="17"/>
                <w:szCs w:val="17"/>
              </w:rPr>
              <w:t xml:space="preserve">CMYK 100, 40, 0, 22</w:t>
            </w:r>
          </w:p>
        </w:tc>
        <w:tc>
          <w:tcPr>
            <w:tcW w:type="dxa" w:w="5300"/>
            <w:tcBorders>
              <w:top w:val="single" w:color="DDDCD3" w:sz="4"/>
              <w:left w:val="single" w:color="DDDCD3" w:sz="4"/>
              <w:bottom w:val="single" w:color="DDDCD3" w:sz="4"/>
              <w:right w:val="single" w:color="DDDCD3" w:sz="4"/>
            </w:tcBorders>
            <w:tcMar>
              <w:top w:type="dxa" w:w="300"/>
              <w:left w:type="dxa" w:w="200"/>
              <w:bottom w:type="dxa" w:w="300"/>
              <w:right w:type="dxa" w:w="200"/>
            </w:tcMar>
            <w:vAlign w:val="center"/>
          </w:tcPr>
          <w:p>
            <w:r>
              <w:rPr>
                <w:rFonts w:ascii="Inter" w:cs="Inter" w:eastAsia="Inter" w:hAnsi="Inter"/>
                <w:color w:val="3A3D42"/>
                <w:sz w:val="19"/>
                <w:szCs w:val="19"/>
              </w:rPr>
              <w:t xml:space="preserve">Navigation, headers, footers, links, trust-building UI</w:t>
            </w:r>
          </w:p>
        </w:tc>
      </w:tr>
      <w:tr>
        <w:trPr>
          <w:cantSplit/>
        </w:trPr>
        <w:tc>
          <w:tcPr>
            <w:tcW w:type="dxa" w:w="4300"/>
            <w:shd w:fill="FFFFFF" w:color="auto" w:val="clear"/>
            <w:tcMar>
              <w:top w:type="dxa" w:w="300"/>
              <w:left w:type="dxa" w:w="200"/>
              <w:bottom w:type="dxa" w:w="300"/>
              <w:right w:type="dxa" w:w="20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23262B"/>
                <w:sz w:val="22"/>
                <w:szCs w:val="22"/>
              </w:rPr>
              <w:t xml:space="preserve">Pure white</w:t>
            </w:r>
          </w:p>
          <w:p>
            <w:pPr>
              <w:spacing w:before="80"/>
            </w:pPr>
            <w:r>
              <w:rPr>
                <w:rFonts w:ascii="Inter" w:cs="Inter" w:eastAsia="Inter" w:hAnsi="Inter"/>
                <w:color w:val="23262B"/>
                <w:sz w:val="17"/>
                <w:szCs w:val="17"/>
              </w:rPr>
              <w:t xml:space="preserve">HEX #FFFFFF</w:t>
            </w:r>
          </w:p>
          <w:p>
            <w:r>
              <w:rPr>
                <w:rFonts w:ascii="Inter" w:cs="Inter" w:eastAsia="Inter" w:hAnsi="Inter"/>
                <w:color w:val="23262B"/>
                <w:sz w:val="17"/>
                <w:szCs w:val="17"/>
              </w:rPr>
              <w:t xml:space="preserve">RGB 255, 255, 255</w:t>
            </w:r>
          </w:p>
          <w:p>
            <w:r>
              <w:rPr>
                <w:rFonts w:ascii="Inter" w:cs="Inter" w:eastAsia="Inter" w:hAnsi="Inter"/>
                <w:color w:val="23262B"/>
                <w:sz w:val="17"/>
                <w:szCs w:val="17"/>
              </w:rPr>
              <w:t xml:space="preserve">CMYK 0, 0, 0, 0</w:t>
            </w:r>
          </w:p>
        </w:tc>
        <w:tc>
          <w:tcPr>
            <w:tcW w:type="dxa" w:w="5300"/>
            <w:tcBorders>
              <w:top w:val="single" w:color="DDDCD3" w:sz="4"/>
              <w:left w:val="single" w:color="DDDCD3" w:sz="4"/>
              <w:bottom w:val="single" w:color="DDDCD3" w:sz="4"/>
              <w:right w:val="single" w:color="DDDCD3" w:sz="4"/>
            </w:tcBorders>
            <w:tcMar>
              <w:top w:type="dxa" w:w="300"/>
              <w:left w:type="dxa" w:w="200"/>
              <w:bottom w:type="dxa" w:w="300"/>
              <w:right w:type="dxa" w:w="200"/>
            </w:tcMar>
            <w:vAlign w:val="center"/>
          </w:tcPr>
          <w:p>
            <w:r>
              <w:rPr>
                <w:rFonts w:ascii="Inter" w:cs="Inter" w:eastAsia="Inter" w:hAnsi="Inter"/>
                <w:color w:val="3A3D42"/>
                <w:sz w:val="19"/>
                <w:szCs w:val="19"/>
              </w:rPr>
              <w:t xml:space="preserve">Base background, product photography canvas, negative space</w:t>
            </w:r>
          </w:p>
        </w:tc>
      </w:tr>
    </w:tbl>
    <w:p>
      <w:pPr>
        <w:spacing w:before="300"/>
      </w:pPr>
    </w:p>
    <w:p>
      <w:pPr>
        <w:spacing w:after="60"/>
      </w:pPr>
      <w:r>
        <w:rPr>
          <w:rFonts w:ascii="Inter" w:cs="Inter" w:eastAsia="Inter" w:hAnsi="Inter"/>
          <w:b/>
          <w:bCs/>
          <w:caps/>
          <w:color w:val="6B6E73"/>
          <w:sz w:val="16"/>
          <w:szCs w:val="16"/>
        </w:rPr>
        <w:t xml:space="preserve">Secondary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dxa" w:w="4300"/>
            <w:shd w:fill="FF6B45" w:color="auto" w:val="clear"/>
            <w:tcMar>
              <w:top w:type="dxa" w:w="300"/>
              <w:left w:type="dxa" w:w="200"/>
              <w:bottom w:type="dxa" w:w="300"/>
              <w:right w:type="dxa" w:w="20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2"/>
                <w:szCs w:val="22"/>
              </w:rPr>
              <w:t xml:space="preserve">Clay coral</w:t>
            </w:r>
          </w:p>
          <w:p>
            <w:pPr>
              <w:spacing w:before="80"/>
            </w:pPr>
            <w:r>
              <w:rPr>
                <w:rFonts w:ascii="Inter" w:cs="Inter" w:eastAsia="Inter" w:hAnsi="Inter"/>
                <w:color w:val="FFFFFF"/>
                <w:sz w:val="17"/>
                <w:szCs w:val="17"/>
              </w:rPr>
              <w:t xml:space="preserve">HEX #FF6B45</w:t>
            </w:r>
          </w:p>
          <w:p>
            <w:r>
              <w:rPr>
                <w:rFonts w:ascii="Inter" w:cs="Inter" w:eastAsia="Inter" w:hAnsi="Inter"/>
                <w:color w:val="FFFFFF"/>
                <w:sz w:val="17"/>
                <w:szCs w:val="17"/>
              </w:rPr>
              <w:t xml:space="preserve">RGB 255, 107, 69</w:t>
            </w:r>
          </w:p>
          <w:p>
            <w:r>
              <w:rPr>
                <w:rFonts w:ascii="Inter" w:cs="Inter" w:eastAsia="Inter" w:hAnsi="Inter"/>
                <w:color w:val="FFFFFF"/>
                <w:sz w:val="17"/>
                <w:szCs w:val="17"/>
              </w:rPr>
              <w:t xml:space="preserve">CMYK 0, 58, 73, 0</w:t>
            </w:r>
          </w:p>
        </w:tc>
        <w:tc>
          <w:tcPr>
            <w:tcW w:type="dxa" w:w="5300"/>
            <w:tcBorders>
              <w:top w:val="single" w:color="DDDCD3" w:sz="4"/>
              <w:left w:val="single" w:color="DDDCD3" w:sz="4"/>
              <w:bottom w:val="single" w:color="DDDCD3" w:sz="4"/>
              <w:right w:val="single" w:color="DDDCD3" w:sz="4"/>
            </w:tcBorders>
            <w:tcMar>
              <w:top w:type="dxa" w:w="300"/>
              <w:left w:type="dxa" w:w="200"/>
              <w:bottom w:type="dxa" w:w="300"/>
              <w:right w:type="dxa" w:w="200"/>
            </w:tcMar>
            <w:vAlign w:val="center"/>
          </w:tcPr>
          <w:p>
            <w:r>
              <w:rPr>
                <w:rFonts w:ascii="Inter" w:cs="Inter" w:eastAsia="Inter" w:hAnsi="Inter"/>
                <w:color w:val="3A3D42"/>
                <w:sz w:val="19"/>
                <w:szCs w:val="19"/>
              </w:rPr>
              <w:t xml:space="preserve">Sale badges, limited drops, seasonal promos, warmth accents</w:t>
            </w:r>
          </w:p>
        </w:tc>
      </w:tr>
      <w:tr>
        <w:trPr>
          <w:cantSplit/>
        </w:trPr>
        <w:tc>
          <w:tcPr>
            <w:tcW w:type="dxa" w:w="4300"/>
            <w:shd w:fill="23262B" w:color="auto" w:val="clear"/>
            <w:tcMar>
              <w:top w:type="dxa" w:w="300"/>
              <w:left w:type="dxa" w:w="200"/>
              <w:bottom w:type="dxa" w:w="300"/>
              <w:right w:type="dxa" w:w="20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2"/>
                <w:szCs w:val="22"/>
              </w:rPr>
              <w:t xml:space="preserve">Ink charcoal</w:t>
            </w:r>
          </w:p>
          <w:p>
            <w:pPr>
              <w:spacing w:before="80"/>
            </w:pPr>
            <w:r>
              <w:rPr>
                <w:rFonts w:ascii="Inter" w:cs="Inter" w:eastAsia="Inter" w:hAnsi="Inter"/>
                <w:color w:val="FFFFFF"/>
                <w:sz w:val="17"/>
                <w:szCs w:val="17"/>
              </w:rPr>
              <w:t xml:space="preserve">HEX #23262B</w:t>
            </w:r>
          </w:p>
          <w:p>
            <w:r>
              <w:rPr>
                <w:rFonts w:ascii="Inter" w:cs="Inter" w:eastAsia="Inter" w:hAnsi="Inter"/>
                <w:color w:val="FFFFFF"/>
                <w:sz w:val="17"/>
                <w:szCs w:val="17"/>
              </w:rPr>
              <w:t xml:space="preserve">RGB 35, 38, 43</w:t>
            </w:r>
          </w:p>
          <w:p>
            <w:r>
              <w:rPr>
                <w:rFonts w:ascii="Inter" w:cs="Inter" w:eastAsia="Inter" w:hAnsi="Inter"/>
                <w:color w:val="FFFFFF"/>
                <w:sz w:val="17"/>
                <w:szCs w:val="17"/>
              </w:rPr>
              <w:t xml:space="preserve">CMYK 19, 12, 0, 83</w:t>
            </w:r>
          </w:p>
        </w:tc>
        <w:tc>
          <w:tcPr>
            <w:tcW w:type="dxa" w:w="5300"/>
            <w:tcBorders>
              <w:top w:val="single" w:color="DDDCD3" w:sz="4"/>
              <w:left w:val="single" w:color="DDDCD3" w:sz="4"/>
              <w:bottom w:val="single" w:color="DDDCD3" w:sz="4"/>
              <w:right w:val="single" w:color="DDDCD3" w:sz="4"/>
            </w:tcBorders>
            <w:tcMar>
              <w:top w:type="dxa" w:w="300"/>
              <w:left w:type="dxa" w:w="200"/>
              <w:bottom w:type="dxa" w:w="300"/>
              <w:right w:type="dxa" w:w="200"/>
            </w:tcMar>
            <w:vAlign w:val="center"/>
          </w:tcPr>
          <w:p>
            <w:r>
              <w:rPr>
                <w:rFonts w:ascii="Inter" w:cs="Inter" w:eastAsia="Inter" w:hAnsi="Inter"/>
                <w:color w:val="3A3D42"/>
                <w:sz w:val="19"/>
                <w:szCs w:val="19"/>
              </w:rPr>
              <w:t xml:space="preserve">Body copy, icons, footers, high-contrast text</w:t>
            </w:r>
          </w:p>
        </w:tc>
      </w:tr>
      <w:tr>
        <w:trPr>
          <w:cantSplit/>
        </w:trPr>
        <w:tc>
          <w:tcPr>
            <w:tcW w:type="dxa" w:w="4300"/>
            <w:shd w:fill="F0EFE7" w:color="auto" w:val="clear"/>
            <w:tcMar>
              <w:top w:type="dxa" w:w="300"/>
              <w:left w:type="dxa" w:w="200"/>
              <w:bottom w:type="dxa" w:w="300"/>
              <w:right w:type="dxa" w:w="20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23262B"/>
                <w:sz w:val="22"/>
                <w:szCs w:val="22"/>
              </w:rPr>
              <w:t xml:space="preserve">Chalk grey</w:t>
            </w:r>
          </w:p>
          <w:p>
            <w:pPr>
              <w:spacing w:before="80"/>
            </w:pPr>
            <w:r>
              <w:rPr>
                <w:rFonts w:ascii="Inter" w:cs="Inter" w:eastAsia="Inter" w:hAnsi="Inter"/>
                <w:color w:val="23262B"/>
                <w:sz w:val="17"/>
                <w:szCs w:val="17"/>
              </w:rPr>
              <w:t xml:space="preserve">HEX #F0EFE7</w:t>
            </w:r>
          </w:p>
          <w:p>
            <w:r>
              <w:rPr>
                <w:rFonts w:ascii="Inter" w:cs="Inter" w:eastAsia="Inter" w:hAnsi="Inter"/>
                <w:color w:val="23262B"/>
                <w:sz w:val="17"/>
                <w:szCs w:val="17"/>
              </w:rPr>
              <w:t xml:space="preserve">RGB 240, 239, 231</w:t>
            </w:r>
          </w:p>
          <w:p>
            <w:r>
              <w:rPr>
                <w:rFonts w:ascii="Inter" w:cs="Inter" w:eastAsia="Inter" w:hAnsi="Inter"/>
                <w:color w:val="23262B"/>
                <w:sz w:val="17"/>
                <w:szCs w:val="17"/>
              </w:rPr>
              <w:t xml:space="preserve">CMYK 0, 0, 4, 6</w:t>
            </w:r>
          </w:p>
        </w:tc>
        <w:tc>
          <w:tcPr>
            <w:tcW w:type="dxa" w:w="5300"/>
            <w:tcBorders>
              <w:top w:val="single" w:color="DDDCD3" w:sz="4"/>
              <w:left w:val="single" w:color="DDDCD3" w:sz="4"/>
              <w:bottom w:val="single" w:color="DDDCD3" w:sz="4"/>
              <w:right w:val="single" w:color="DDDCD3" w:sz="4"/>
            </w:tcBorders>
            <w:tcMar>
              <w:top w:type="dxa" w:w="300"/>
              <w:left w:type="dxa" w:w="200"/>
              <w:bottom w:type="dxa" w:w="300"/>
              <w:right w:type="dxa" w:w="200"/>
            </w:tcMar>
            <w:vAlign w:val="center"/>
          </w:tcPr>
          <w:p>
            <w:r>
              <w:rPr>
                <w:rFonts w:ascii="Inter" w:cs="Inter" w:eastAsia="Inter" w:hAnsi="Inter"/>
                <w:color w:val="3A3D42"/>
                <w:sz w:val="19"/>
                <w:szCs w:val="19"/>
              </w:rPr>
              <w:t xml:space="preserve">Section backgrounds, cards, dividers, subtle contrast</w:t>
            </w:r>
          </w:p>
        </w:tc>
      </w:tr>
      <w:tr>
        <w:trPr>
          <w:cantSplit/>
        </w:trPr>
        <w:tc>
          <w:tcPr>
            <w:tcW w:type="dxa" w:w="4300"/>
            <w:shd w:fill="29B6D8" w:color="auto" w:val="clear"/>
            <w:tcMar>
              <w:top w:type="dxa" w:w="300"/>
              <w:left w:type="dxa" w:w="200"/>
              <w:bottom w:type="dxa" w:w="300"/>
              <w:right w:type="dxa" w:w="20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23262B"/>
                <w:sz w:val="22"/>
                <w:szCs w:val="22"/>
              </w:rPr>
              <w:t xml:space="preserve">Sky cyan</w:t>
            </w:r>
          </w:p>
          <w:p>
            <w:pPr>
              <w:spacing w:before="80"/>
            </w:pPr>
            <w:r>
              <w:rPr>
                <w:rFonts w:ascii="Inter" w:cs="Inter" w:eastAsia="Inter" w:hAnsi="Inter"/>
                <w:color w:val="23262B"/>
                <w:sz w:val="17"/>
                <w:szCs w:val="17"/>
              </w:rPr>
              <w:t xml:space="preserve">HEX #29B6D8</w:t>
            </w:r>
          </w:p>
          <w:p>
            <w:r>
              <w:rPr>
                <w:rFonts w:ascii="Inter" w:cs="Inter" w:eastAsia="Inter" w:hAnsi="Inter"/>
                <w:color w:val="23262B"/>
                <w:sz w:val="17"/>
                <w:szCs w:val="17"/>
              </w:rPr>
              <w:t xml:space="preserve">RGB 41, 182, 216</w:t>
            </w:r>
          </w:p>
          <w:p>
            <w:r>
              <w:rPr>
                <w:rFonts w:ascii="Inter" w:cs="Inter" w:eastAsia="Inter" w:hAnsi="Inter"/>
                <w:color w:val="23262B"/>
                <w:sz w:val="17"/>
                <w:szCs w:val="17"/>
              </w:rPr>
              <w:t xml:space="preserve">CMYK 81, 16, 0, 15</w:t>
            </w:r>
          </w:p>
        </w:tc>
        <w:tc>
          <w:tcPr>
            <w:tcW w:type="dxa" w:w="5300"/>
            <w:tcBorders>
              <w:top w:val="single" w:color="DDDCD3" w:sz="4"/>
              <w:left w:val="single" w:color="DDDCD3" w:sz="4"/>
              <w:bottom w:val="single" w:color="DDDCD3" w:sz="4"/>
              <w:right w:val="single" w:color="DDDCD3" w:sz="4"/>
            </w:tcBorders>
            <w:tcMar>
              <w:top w:type="dxa" w:w="300"/>
              <w:left w:type="dxa" w:w="200"/>
              <w:bottom w:type="dxa" w:w="300"/>
              <w:right w:type="dxa" w:w="200"/>
            </w:tcMar>
            <w:vAlign w:val="center"/>
          </w:tcPr>
          <w:p>
            <w:r>
              <w:rPr>
                <w:rFonts w:ascii="Inter" w:cs="Inter" w:eastAsia="Inter" w:hAnsi="Inter"/>
                <w:color w:val="3A3D42"/>
                <w:sz w:val="19"/>
                <w:szCs w:val="19"/>
              </w:rPr>
              <w:t xml:space="preserve">Links, hover states, secondary buttons, info UI</w:t>
            </w:r>
          </w:p>
        </w:tc>
      </w:tr>
    </w:tbl>
    <w:p>
      <w:pPr>
        <w:spacing w:before="300"/>
      </w:pPr>
    </w:p>
    <w:p>
      <w:pPr>
        <w:spacing w:after="60"/>
      </w:pPr>
      <w:r>
        <w:rPr>
          <w:rFonts w:ascii="Inter" w:cs="Inter" w:eastAsia="Inter" w:hAnsi="Inter"/>
          <w:b/>
          <w:bCs/>
          <w:caps/>
          <w:color w:val="6B6E73"/>
          <w:sz w:val="16"/>
          <w:szCs w:val="16"/>
        </w:rPr>
        <w:t xml:space="preserve">Usage rules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color w:val="23262B"/>
          <w:sz w:val="21"/>
          <w:szCs w:val="21"/>
        </w:rPr>
        <w:t xml:space="preserve">Ace green is the loudest colour in the system — reserve it for one primary action per screen (main CTA, key badge)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color w:val="23262B"/>
          <w:sz w:val="21"/>
          <w:szCs w:val="21"/>
        </w:rPr>
        <w:t xml:space="preserve">Court blue carries structural UI: navigation, footer, headers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color w:val="23262B"/>
          <w:sz w:val="21"/>
          <w:szCs w:val="21"/>
        </w:rPr>
        <w:t xml:space="preserve">Never place Ace green text directly on Clay coral, or Sky cyan on Court blue — both fail contrast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color w:val="23262B"/>
          <w:sz w:val="21"/>
          <w:szCs w:val="21"/>
        </w:rPr>
        <w:t xml:space="preserve">Ink charcoal is the default body text colour on white and Chalk grey; use Pure white text on Court blue and Ink charcoal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pace Grotesk" w:cs="Space Grotesk" w:eastAsia="Space Grotesk" w:hAnsi="Space Grotesk"/>
          <w:b/>
          <w:bCs/>
          <w:color w:val="16324F"/>
          <w:sz w:val="30"/>
          <w:szCs w:val="30"/>
        </w:rPr>
        <w:t xml:space="preserve">Typography</w:t>
      </w:r>
    </w:p>
    <w:p>
      <w:pPr>
        <w:pBdr>
          <w:bottom w:val="single" w:color="D7E639" w:sz="24"/>
        </w:pBdr>
        <w:spacing w:after="200"/>
      </w:pPr>
      <w:r>
        <w:t xml:space="preserve"/>
      </w:r>
    </w:p>
    <w:p>
      <w:pPr>
        <w:spacing w:after="40"/>
      </w:pPr>
      <w:r>
        <w:rPr>
          <w:rFonts w:ascii="Archivo Black" w:cs="Archivo Black" w:eastAsia="Archivo Black" w:hAnsi="Archivo Black"/>
          <w:color w:val="16324F"/>
          <w:sz w:val="52"/>
          <w:szCs w:val="52"/>
        </w:rPr>
        <w:t xml:space="preserve">THE TENNIS LIFE</w:t>
      </w:r>
    </w:p>
    <w:p>
      <w:pPr>
        <w:spacing w:after="60"/>
      </w:pPr>
      <w:r>
        <w:rPr>
          <w:rFonts w:ascii="Inter" w:cs="Inter" w:eastAsia="Inter" w:hAnsi="Inter"/>
          <w:b/>
          <w:bCs/>
          <w:caps/>
          <w:color w:val="6B6E73"/>
          <w:sz w:val="16"/>
          <w:szCs w:val="16"/>
        </w:rPr>
        <w:t xml:space="preserve">Archivo Black — headlines, hero banners, logo wordmark</w:t>
      </w:r>
    </w:p>
    <w:p>
      <w:pPr>
        <w:spacing w:after="40" w:before="260"/>
      </w:pPr>
      <w:r>
        <w:rPr>
          <w:rFonts w:ascii="Space Grotesk" w:cs="Space Grotesk" w:eastAsia="Space Grotesk" w:hAnsi="Space Grotesk"/>
          <w:b/>
          <w:bCs/>
          <w:color w:val="16324F"/>
          <w:sz w:val="34"/>
          <w:szCs w:val="34"/>
        </w:rPr>
        <w:t xml:space="preserve">New arrivals for clay season</w:t>
      </w:r>
    </w:p>
    <w:p>
      <w:pPr>
        <w:spacing w:after="60"/>
      </w:pPr>
      <w:r>
        <w:rPr>
          <w:rFonts w:ascii="Inter" w:cs="Inter" w:eastAsia="Inter" w:hAnsi="Inter"/>
          <w:b/>
          <w:bCs/>
          <w:caps/>
          <w:color w:val="6B6E73"/>
          <w:sz w:val="16"/>
          <w:szCs w:val="16"/>
        </w:rPr>
        <w:t xml:space="preserve">Space Grotesk SemiBold — navigation, subheads, product names</w:t>
      </w:r>
    </w:p>
    <w:p>
      <w:pPr>
        <w:spacing w:after="40" w:before="260"/>
      </w:pPr>
      <w:r>
        <w:rPr>
          <w:rFonts w:ascii="Inter" w:cs="Inter" w:eastAsia="Inter" w:hAnsi="Inter"/>
          <w:color w:val="23262B"/>
          <w:sz w:val="24"/>
          <w:szCs w:val="24"/>
        </w:rPr>
        <w:t xml:space="preserve">Performance gear and off-court essentials for people who live the sport, not just play it.</w:t>
      </w:r>
    </w:p>
    <w:p>
      <w:pPr>
        <w:spacing w:after="60"/>
      </w:pPr>
      <w:r>
        <w:rPr>
          <w:rFonts w:ascii="Inter" w:cs="Inter" w:eastAsia="Inter" w:hAnsi="Inter"/>
          <w:b/>
          <w:bCs/>
          <w:caps/>
          <w:color w:val="6B6E73"/>
          <w:sz w:val="16"/>
          <w:szCs w:val="16"/>
        </w:rPr>
        <w:t xml:space="preserve">Inter Regular / Medium — body copy, product detail, UI text</w:t>
      </w:r>
    </w:p>
    <w:p>
      <w:pPr>
        <w:spacing w:after="40" w:before="260"/>
      </w:pPr>
      <w:r>
        <w:rPr>
          <w:rFonts w:ascii="Fraunces" w:cs="Fraunces" w:eastAsia="Fraunces" w:hAnsi="Fraunces"/>
          <w:i/>
          <w:iCs/>
          <w:color w:val="16324F"/>
          <w:sz w:val="30"/>
          <w:szCs w:val="30"/>
        </w:rPr>
        <w:t xml:space="preserve">Every match tells a story.</w:t>
      </w:r>
    </w:p>
    <w:p>
      <w:pPr>
        <w:spacing w:after="60"/>
      </w:pPr>
      <w:r>
        <w:rPr>
          <w:rFonts w:ascii="Inter" w:cs="Inter" w:eastAsia="Inter" w:hAnsi="Inter"/>
          <w:b/>
          <w:bCs/>
          <w:caps/>
          <w:color w:val="6B6E73"/>
          <w:sz w:val="16"/>
          <w:szCs w:val="16"/>
        </w:rPr>
        <w:t xml:space="preserve">Fraunces Italic — editorial pull-quotes, journal and lifestyle content</w:t>
      </w:r>
    </w:p>
    <w:p>
      <w:pPr>
        <w:spacing w:before="400"/>
      </w:pPr>
    </w:p>
    <w:p>
      <w:pPr>
        <w:spacing w:after="60"/>
      </w:pPr>
      <w:r>
        <w:rPr>
          <w:rFonts w:ascii="Inter" w:cs="Inter" w:eastAsia="Inter" w:hAnsi="Inter"/>
          <w:b/>
          <w:bCs/>
          <w:caps/>
          <w:color w:val="6B6E73"/>
          <w:sz w:val="16"/>
          <w:szCs w:val="16"/>
        </w:rPr>
        <w:t xml:space="preserve">Type scale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6324F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shd w:fill="16324F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Typeface</w:t>
            </w:r>
          </w:p>
        </w:tc>
        <w:tc>
          <w:tcPr>
            <w:tcW w:type="dxa" w:w="2400"/>
            <w:shd w:fill="16324F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2400"/>
            <w:shd w:fill="16324F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Size (web)</w:t>
            </w:r>
          </w:p>
        </w:tc>
      </w:tr>
      <w:tr>
        <w:tc>
          <w:tcPr>
            <w:tcW w:type="dxa" w:w="2400"/>
            <w:tcBorders>
              <w:top w:val="single" w:color="DDDCD3" w:sz="4"/>
              <w:left w:val="single" w:color="DDDCD3" w:sz="4"/>
              <w:bottom w:val="single" w:color="DDDCD3" w:sz="4"/>
              <w:right w:val="single" w:color="DDDCD3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Inter" w:cs="Inter" w:eastAsia="Inter" w:hAnsi="Inter"/>
                <w:color w:val="23262B"/>
                <w:sz w:val="19"/>
                <w:szCs w:val="19"/>
              </w:rPr>
              <w:t xml:space="preserve">H1 / hero</w:t>
            </w:r>
          </w:p>
        </w:tc>
        <w:tc>
          <w:tcPr>
            <w:tcW w:type="dxa" w:w="2400"/>
            <w:tcBorders>
              <w:top w:val="single" w:color="DDDCD3" w:sz="4"/>
              <w:left w:val="single" w:color="DDDCD3" w:sz="4"/>
              <w:bottom w:val="single" w:color="DDDCD3" w:sz="4"/>
              <w:right w:val="single" w:color="DDDCD3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Inter" w:cs="Inter" w:eastAsia="Inter" w:hAnsi="Inter"/>
                <w:color w:val="23262B"/>
                <w:sz w:val="19"/>
                <w:szCs w:val="19"/>
              </w:rPr>
              <w:t xml:space="preserve">Archivo Black</w:t>
            </w:r>
          </w:p>
        </w:tc>
        <w:tc>
          <w:tcPr>
            <w:tcW w:type="dxa" w:w="2400"/>
            <w:tcBorders>
              <w:top w:val="single" w:color="DDDCD3" w:sz="4"/>
              <w:left w:val="single" w:color="DDDCD3" w:sz="4"/>
              <w:bottom w:val="single" w:color="DDDCD3" w:sz="4"/>
              <w:right w:val="single" w:color="DDDCD3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Inter" w:cs="Inter" w:eastAsia="Inter" w:hAnsi="Inter"/>
                <w:color w:val="23262B"/>
                <w:sz w:val="19"/>
                <w:szCs w:val="19"/>
              </w:rPr>
              <w:t xml:space="preserve">800</w:t>
            </w:r>
          </w:p>
        </w:tc>
        <w:tc>
          <w:tcPr>
            <w:tcW w:type="dxa" w:w="2400"/>
            <w:tcBorders>
              <w:top w:val="single" w:color="DDDCD3" w:sz="4"/>
              <w:left w:val="single" w:color="DDDCD3" w:sz="4"/>
              <w:bottom w:val="single" w:color="DDDCD3" w:sz="4"/>
              <w:right w:val="single" w:color="DDDCD3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Inter" w:cs="Inter" w:eastAsia="Inter" w:hAnsi="Inter"/>
                <w:color w:val="23262B"/>
                <w:sz w:val="19"/>
                <w:szCs w:val="19"/>
              </w:rPr>
              <w:t xml:space="preserve">48–64px</w:t>
            </w:r>
          </w:p>
        </w:tc>
      </w:tr>
      <w:tr>
        <w:tc>
          <w:tcPr>
            <w:tcW w:type="dxa" w:w="2400"/>
            <w:tcBorders>
              <w:top w:val="single" w:color="DDDCD3" w:sz="4"/>
              <w:left w:val="single" w:color="DDDCD3" w:sz="4"/>
              <w:bottom w:val="single" w:color="DDDCD3" w:sz="4"/>
              <w:right w:val="single" w:color="DDDCD3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Inter" w:cs="Inter" w:eastAsia="Inter" w:hAnsi="Inter"/>
                <w:color w:val="23262B"/>
                <w:sz w:val="19"/>
                <w:szCs w:val="19"/>
              </w:rPr>
              <w:t xml:space="preserve">H2 / section</w:t>
            </w:r>
          </w:p>
        </w:tc>
        <w:tc>
          <w:tcPr>
            <w:tcW w:type="dxa" w:w="2400"/>
            <w:tcBorders>
              <w:top w:val="single" w:color="DDDCD3" w:sz="4"/>
              <w:left w:val="single" w:color="DDDCD3" w:sz="4"/>
              <w:bottom w:val="single" w:color="DDDCD3" w:sz="4"/>
              <w:right w:val="single" w:color="DDDCD3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Inter" w:cs="Inter" w:eastAsia="Inter" w:hAnsi="Inter"/>
                <w:color w:val="23262B"/>
                <w:sz w:val="19"/>
                <w:szCs w:val="19"/>
              </w:rPr>
              <w:t xml:space="preserve">Archivo Black</w:t>
            </w:r>
          </w:p>
        </w:tc>
        <w:tc>
          <w:tcPr>
            <w:tcW w:type="dxa" w:w="2400"/>
            <w:tcBorders>
              <w:top w:val="single" w:color="DDDCD3" w:sz="4"/>
              <w:left w:val="single" w:color="DDDCD3" w:sz="4"/>
              <w:bottom w:val="single" w:color="DDDCD3" w:sz="4"/>
              <w:right w:val="single" w:color="DDDCD3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Inter" w:cs="Inter" w:eastAsia="Inter" w:hAnsi="Inter"/>
                <w:color w:val="23262B"/>
                <w:sz w:val="19"/>
                <w:szCs w:val="19"/>
              </w:rPr>
              <w:t xml:space="preserve">800</w:t>
            </w:r>
          </w:p>
        </w:tc>
        <w:tc>
          <w:tcPr>
            <w:tcW w:type="dxa" w:w="2400"/>
            <w:tcBorders>
              <w:top w:val="single" w:color="DDDCD3" w:sz="4"/>
              <w:left w:val="single" w:color="DDDCD3" w:sz="4"/>
              <w:bottom w:val="single" w:color="DDDCD3" w:sz="4"/>
              <w:right w:val="single" w:color="DDDCD3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Inter" w:cs="Inter" w:eastAsia="Inter" w:hAnsi="Inter"/>
                <w:color w:val="23262B"/>
                <w:sz w:val="19"/>
                <w:szCs w:val="19"/>
              </w:rPr>
              <w:t xml:space="preserve">32–40px</w:t>
            </w:r>
          </w:p>
        </w:tc>
      </w:tr>
      <w:tr>
        <w:tc>
          <w:tcPr>
            <w:tcW w:type="dxa" w:w="2400"/>
            <w:tcBorders>
              <w:top w:val="single" w:color="DDDCD3" w:sz="4"/>
              <w:left w:val="single" w:color="DDDCD3" w:sz="4"/>
              <w:bottom w:val="single" w:color="DDDCD3" w:sz="4"/>
              <w:right w:val="single" w:color="DDDCD3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Inter" w:cs="Inter" w:eastAsia="Inter" w:hAnsi="Inter"/>
                <w:color w:val="23262B"/>
                <w:sz w:val="19"/>
                <w:szCs w:val="19"/>
              </w:rPr>
              <w:t xml:space="preserve">H3 / subhead</w:t>
            </w:r>
          </w:p>
        </w:tc>
        <w:tc>
          <w:tcPr>
            <w:tcW w:type="dxa" w:w="2400"/>
            <w:tcBorders>
              <w:top w:val="single" w:color="DDDCD3" w:sz="4"/>
              <w:left w:val="single" w:color="DDDCD3" w:sz="4"/>
              <w:bottom w:val="single" w:color="DDDCD3" w:sz="4"/>
              <w:right w:val="single" w:color="DDDCD3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Inter" w:cs="Inter" w:eastAsia="Inter" w:hAnsi="Inter"/>
                <w:color w:val="23262B"/>
                <w:sz w:val="19"/>
                <w:szCs w:val="19"/>
              </w:rPr>
              <w:t xml:space="preserve">Space Grotesk</w:t>
            </w:r>
          </w:p>
        </w:tc>
        <w:tc>
          <w:tcPr>
            <w:tcW w:type="dxa" w:w="2400"/>
            <w:tcBorders>
              <w:top w:val="single" w:color="DDDCD3" w:sz="4"/>
              <w:left w:val="single" w:color="DDDCD3" w:sz="4"/>
              <w:bottom w:val="single" w:color="DDDCD3" w:sz="4"/>
              <w:right w:val="single" w:color="DDDCD3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Inter" w:cs="Inter" w:eastAsia="Inter" w:hAnsi="Inter"/>
                <w:color w:val="23262B"/>
                <w:sz w:val="19"/>
                <w:szCs w:val="19"/>
              </w:rPr>
              <w:t xml:space="preserve">600</w:t>
            </w:r>
          </w:p>
        </w:tc>
        <w:tc>
          <w:tcPr>
            <w:tcW w:type="dxa" w:w="2400"/>
            <w:tcBorders>
              <w:top w:val="single" w:color="DDDCD3" w:sz="4"/>
              <w:left w:val="single" w:color="DDDCD3" w:sz="4"/>
              <w:bottom w:val="single" w:color="DDDCD3" w:sz="4"/>
              <w:right w:val="single" w:color="DDDCD3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Inter" w:cs="Inter" w:eastAsia="Inter" w:hAnsi="Inter"/>
                <w:color w:val="23262B"/>
                <w:sz w:val="19"/>
                <w:szCs w:val="19"/>
              </w:rPr>
              <w:t xml:space="preserve">20–24px</w:t>
            </w:r>
          </w:p>
        </w:tc>
      </w:tr>
      <w:tr>
        <w:tc>
          <w:tcPr>
            <w:tcW w:type="dxa" w:w="2400"/>
            <w:tcBorders>
              <w:top w:val="single" w:color="DDDCD3" w:sz="4"/>
              <w:left w:val="single" w:color="DDDCD3" w:sz="4"/>
              <w:bottom w:val="single" w:color="DDDCD3" w:sz="4"/>
              <w:right w:val="single" w:color="DDDCD3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Inter" w:cs="Inter" w:eastAsia="Inter" w:hAnsi="Inter"/>
                <w:color w:val="23262B"/>
                <w:sz w:val="19"/>
                <w:szCs w:val="19"/>
              </w:rPr>
              <w:t xml:space="preserve">Nav / labels</w:t>
            </w:r>
          </w:p>
        </w:tc>
        <w:tc>
          <w:tcPr>
            <w:tcW w:type="dxa" w:w="2400"/>
            <w:tcBorders>
              <w:top w:val="single" w:color="DDDCD3" w:sz="4"/>
              <w:left w:val="single" w:color="DDDCD3" w:sz="4"/>
              <w:bottom w:val="single" w:color="DDDCD3" w:sz="4"/>
              <w:right w:val="single" w:color="DDDCD3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Inter" w:cs="Inter" w:eastAsia="Inter" w:hAnsi="Inter"/>
                <w:color w:val="23262B"/>
                <w:sz w:val="19"/>
                <w:szCs w:val="19"/>
              </w:rPr>
              <w:t xml:space="preserve">Space Grotesk</w:t>
            </w:r>
          </w:p>
        </w:tc>
        <w:tc>
          <w:tcPr>
            <w:tcW w:type="dxa" w:w="2400"/>
            <w:tcBorders>
              <w:top w:val="single" w:color="DDDCD3" w:sz="4"/>
              <w:left w:val="single" w:color="DDDCD3" w:sz="4"/>
              <w:bottom w:val="single" w:color="DDDCD3" w:sz="4"/>
              <w:right w:val="single" w:color="DDDCD3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Inter" w:cs="Inter" w:eastAsia="Inter" w:hAnsi="Inter"/>
                <w:color w:val="23262B"/>
                <w:sz w:val="19"/>
                <w:szCs w:val="19"/>
              </w:rPr>
              <w:t xml:space="preserve">500</w:t>
            </w:r>
          </w:p>
        </w:tc>
        <w:tc>
          <w:tcPr>
            <w:tcW w:type="dxa" w:w="2400"/>
            <w:tcBorders>
              <w:top w:val="single" w:color="DDDCD3" w:sz="4"/>
              <w:left w:val="single" w:color="DDDCD3" w:sz="4"/>
              <w:bottom w:val="single" w:color="DDDCD3" w:sz="4"/>
              <w:right w:val="single" w:color="DDDCD3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Inter" w:cs="Inter" w:eastAsia="Inter" w:hAnsi="Inter"/>
                <w:color w:val="23262B"/>
                <w:sz w:val="19"/>
                <w:szCs w:val="19"/>
              </w:rPr>
              <w:t xml:space="preserve">14–16px</w:t>
            </w:r>
          </w:p>
        </w:tc>
      </w:tr>
      <w:tr>
        <w:tc>
          <w:tcPr>
            <w:tcW w:type="dxa" w:w="2400"/>
            <w:tcBorders>
              <w:top w:val="single" w:color="DDDCD3" w:sz="4"/>
              <w:left w:val="single" w:color="DDDCD3" w:sz="4"/>
              <w:bottom w:val="single" w:color="DDDCD3" w:sz="4"/>
              <w:right w:val="single" w:color="DDDCD3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Inter" w:cs="Inter" w:eastAsia="Inter" w:hAnsi="Inter"/>
                <w:color w:val="23262B"/>
                <w:sz w:val="19"/>
                <w:szCs w:val="19"/>
              </w:rPr>
              <w:t xml:space="preserve">Body</w:t>
            </w:r>
          </w:p>
        </w:tc>
        <w:tc>
          <w:tcPr>
            <w:tcW w:type="dxa" w:w="2400"/>
            <w:tcBorders>
              <w:top w:val="single" w:color="DDDCD3" w:sz="4"/>
              <w:left w:val="single" w:color="DDDCD3" w:sz="4"/>
              <w:bottom w:val="single" w:color="DDDCD3" w:sz="4"/>
              <w:right w:val="single" w:color="DDDCD3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Inter" w:cs="Inter" w:eastAsia="Inter" w:hAnsi="Inter"/>
                <w:color w:val="23262B"/>
                <w:sz w:val="19"/>
                <w:szCs w:val="19"/>
              </w:rPr>
              <w:t xml:space="preserve">Inter</w:t>
            </w:r>
          </w:p>
        </w:tc>
        <w:tc>
          <w:tcPr>
            <w:tcW w:type="dxa" w:w="2400"/>
            <w:tcBorders>
              <w:top w:val="single" w:color="DDDCD3" w:sz="4"/>
              <w:left w:val="single" w:color="DDDCD3" w:sz="4"/>
              <w:bottom w:val="single" w:color="DDDCD3" w:sz="4"/>
              <w:right w:val="single" w:color="DDDCD3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Inter" w:cs="Inter" w:eastAsia="Inter" w:hAnsi="Inter"/>
                <w:color w:val="23262B"/>
                <w:sz w:val="19"/>
                <w:szCs w:val="19"/>
              </w:rPr>
              <w:t xml:space="preserve">400</w:t>
            </w:r>
          </w:p>
        </w:tc>
        <w:tc>
          <w:tcPr>
            <w:tcW w:type="dxa" w:w="2400"/>
            <w:tcBorders>
              <w:top w:val="single" w:color="DDDCD3" w:sz="4"/>
              <w:left w:val="single" w:color="DDDCD3" w:sz="4"/>
              <w:bottom w:val="single" w:color="DDDCD3" w:sz="4"/>
              <w:right w:val="single" w:color="DDDCD3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Inter" w:cs="Inter" w:eastAsia="Inter" w:hAnsi="Inter"/>
                <w:color w:val="23262B"/>
                <w:sz w:val="19"/>
                <w:szCs w:val="19"/>
              </w:rPr>
              <w:t xml:space="preserve">16px</w:t>
            </w:r>
          </w:p>
        </w:tc>
      </w:tr>
      <w:tr>
        <w:tc>
          <w:tcPr>
            <w:tcW w:type="dxa" w:w="2400"/>
            <w:tcBorders>
              <w:top w:val="single" w:color="DDDCD3" w:sz="4"/>
              <w:left w:val="single" w:color="DDDCD3" w:sz="4"/>
              <w:bottom w:val="single" w:color="DDDCD3" w:sz="4"/>
              <w:right w:val="single" w:color="DDDCD3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Inter" w:cs="Inter" w:eastAsia="Inter" w:hAnsi="Inter"/>
                <w:color w:val="23262B"/>
                <w:sz w:val="19"/>
                <w:szCs w:val="19"/>
              </w:rPr>
              <w:t xml:space="preserve">Small / caption</w:t>
            </w:r>
          </w:p>
        </w:tc>
        <w:tc>
          <w:tcPr>
            <w:tcW w:type="dxa" w:w="2400"/>
            <w:tcBorders>
              <w:top w:val="single" w:color="DDDCD3" w:sz="4"/>
              <w:left w:val="single" w:color="DDDCD3" w:sz="4"/>
              <w:bottom w:val="single" w:color="DDDCD3" w:sz="4"/>
              <w:right w:val="single" w:color="DDDCD3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Inter" w:cs="Inter" w:eastAsia="Inter" w:hAnsi="Inter"/>
                <w:color w:val="23262B"/>
                <w:sz w:val="19"/>
                <w:szCs w:val="19"/>
              </w:rPr>
              <w:t xml:space="preserve">Inter</w:t>
            </w:r>
          </w:p>
        </w:tc>
        <w:tc>
          <w:tcPr>
            <w:tcW w:type="dxa" w:w="2400"/>
            <w:tcBorders>
              <w:top w:val="single" w:color="DDDCD3" w:sz="4"/>
              <w:left w:val="single" w:color="DDDCD3" w:sz="4"/>
              <w:bottom w:val="single" w:color="DDDCD3" w:sz="4"/>
              <w:right w:val="single" w:color="DDDCD3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Inter" w:cs="Inter" w:eastAsia="Inter" w:hAnsi="Inter"/>
                <w:color w:val="23262B"/>
                <w:sz w:val="19"/>
                <w:szCs w:val="19"/>
              </w:rPr>
              <w:t xml:space="preserve">400</w:t>
            </w:r>
          </w:p>
        </w:tc>
        <w:tc>
          <w:tcPr>
            <w:tcW w:type="dxa" w:w="2400"/>
            <w:tcBorders>
              <w:top w:val="single" w:color="DDDCD3" w:sz="4"/>
              <w:left w:val="single" w:color="DDDCD3" w:sz="4"/>
              <w:bottom w:val="single" w:color="DDDCD3" w:sz="4"/>
              <w:right w:val="single" w:color="DDDCD3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Inter" w:cs="Inter" w:eastAsia="Inter" w:hAnsi="Inter"/>
                <w:color w:val="23262B"/>
                <w:sz w:val="19"/>
                <w:szCs w:val="19"/>
              </w:rPr>
              <w:t xml:space="preserve">13px</w:t>
            </w:r>
          </w:p>
        </w:tc>
      </w:tr>
      <w:tr>
        <w:tc>
          <w:tcPr>
            <w:tcW w:type="dxa" w:w="2400"/>
            <w:tcBorders>
              <w:top w:val="single" w:color="DDDCD3" w:sz="4"/>
              <w:left w:val="single" w:color="DDDCD3" w:sz="4"/>
              <w:bottom w:val="single" w:color="DDDCD3" w:sz="4"/>
              <w:right w:val="single" w:color="DDDCD3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Inter" w:cs="Inter" w:eastAsia="Inter" w:hAnsi="Inter"/>
                <w:color w:val="23262B"/>
                <w:sz w:val="19"/>
                <w:szCs w:val="19"/>
              </w:rPr>
              <w:t xml:space="preserve">Editorial accent</w:t>
            </w:r>
          </w:p>
        </w:tc>
        <w:tc>
          <w:tcPr>
            <w:tcW w:type="dxa" w:w="2400"/>
            <w:tcBorders>
              <w:top w:val="single" w:color="DDDCD3" w:sz="4"/>
              <w:left w:val="single" w:color="DDDCD3" w:sz="4"/>
              <w:bottom w:val="single" w:color="DDDCD3" w:sz="4"/>
              <w:right w:val="single" w:color="DDDCD3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Inter" w:cs="Inter" w:eastAsia="Inter" w:hAnsi="Inter"/>
                <w:color w:val="23262B"/>
                <w:sz w:val="19"/>
                <w:szCs w:val="19"/>
              </w:rPr>
              <w:t xml:space="preserve">Fraunces (italic)</w:t>
            </w:r>
          </w:p>
        </w:tc>
        <w:tc>
          <w:tcPr>
            <w:tcW w:type="dxa" w:w="2400"/>
            <w:tcBorders>
              <w:top w:val="single" w:color="DDDCD3" w:sz="4"/>
              <w:left w:val="single" w:color="DDDCD3" w:sz="4"/>
              <w:bottom w:val="single" w:color="DDDCD3" w:sz="4"/>
              <w:right w:val="single" w:color="DDDCD3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Inter" w:cs="Inter" w:eastAsia="Inter" w:hAnsi="Inter"/>
                <w:color w:val="23262B"/>
                <w:sz w:val="19"/>
                <w:szCs w:val="19"/>
              </w:rPr>
              <w:t xml:space="preserve">500</w:t>
            </w:r>
          </w:p>
        </w:tc>
        <w:tc>
          <w:tcPr>
            <w:tcW w:type="dxa" w:w="2400"/>
            <w:tcBorders>
              <w:top w:val="single" w:color="DDDCD3" w:sz="4"/>
              <w:left w:val="single" w:color="DDDCD3" w:sz="4"/>
              <w:bottom w:val="single" w:color="DDDCD3" w:sz="4"/>
              <w:right w:val="single" w:color="DDDCD3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Inter" w:cs="Inter" w:eastAsia="Inter" w:hAnsi="Inter"/>
                <w:color w:val="23262B"/>
                <w:sz w:val="19"/>
                <w:szCs w:val="19"/>
              </w:rPr>
              <w:t xml:space="preserve">20–28px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pace Grotesk" w:cs="Space Grotesk" w:eastAsia="Space Grotesk" w:hAnsi="Space Grotesk"/>
          <w:b/>
          <w:bCs/>
          <w:color w:val="16324F"/>
          <w:sz w:val="30"/>
          <w:szCs w:val="30"/>
        </w:rPr>
        <w:t xml:space="preserve">Voice and tone</w:t>
      </w:r>
    </w:p>
    <w:p>
      <w:pPr>
        <w:pBdr>
          <w:bottom w:val="single" w:color="D7E639" w:sz="24"/>
        </w:pBdr>
        <w:spacing w:after="200"/>
      </w:pPr>
      <w:r>
        <w:t xml:space="preserve"/>
      </w:r>
    </w:p>
    <w:p>
      <w:pPr>
        <w:spacing w:after="160" w:line="300"/>
      </w:pPr>
      <w:r>
        <w:rPr>
          <w:rFonts w:ascii="Inter" w:cs="Inter" w:eastAsia="Inter" w:hAnsi="Inter"/>
          <w:i w:val="false"/>
          <w:iCs w:val="false"/>
          <w:color w:val="23262B"/>
          <w:sz w:val="21"/>
          <w:szCs w:val="21"/>
        </w:rPr>
        <w:t xml:space="preserve">The Tennis Life writes like a knowledgeable club member, not a retail catalogue. Confident, warm, a little editorial — never shouty, never jargon-heavy.</w:t>
      </w:r>
    </w:p>
    <w:p>
      <w:pPr>
        <w:spacing w:after="60"/>
      </w:pPr>
      <w:r>
        <w:rPr>
          <w:rFonts w:ascii="Inter" w:cs="Inter" w:eastAsia="Inter" w:hAnsi="Inter"/>
          <w:b/>
          <w:bCs/>
          <w:caps/>
          <w:color w:val="6B6E73"/>
          <w:sz w:val="16"/>
          <w:szCs w:val="16"/>
        </w:rPr>
        <w:t xml:space="preserve">We are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color w:val="23262B"/>
          <w:sz w:val="21"/>
          <w:szCs w:val="21"/>
        </w:rPr>
        <w:t xml:space="preserve">Direct — short sentences, active voice, no filler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color w:val="23262B"/>
          <w:sz w:val="21"/>
          <w:szCs w:val="21"/>
        </w:rPr>
        <w:t xml:space="preserve">Specific — real fabric, court and technique detail over vague superlatives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color w:val="23262B"/>
          <w:sz w:val="21"/>
          <w:szCs w:val="21"/>
        </w:rPr>
        <w:t xml:space="preserve">Warm — the tone of someone who loves the sport and wants you to enjoy it more</w:t>
      </w:r>
    </w:p>
    <w:p>
      <w:pPr>
        <w:spacing w:after="60"/>
      </w:pPr>
      <w:r>
        <w:rPr>
          <w:rFonts w:ascii="Inter" w:cs="Inter" w:eastAsia="Inter" w:hAnsi="Inter"/>
          <w:b/>
          <w:bCs/>
          <w:caps/>
          <w:color w:val="6B6E73"/>
          <w:sz w:val="16"/>
          <w:szCs w:val="16"/>
        </w:rPr>
        <w:t xml:space="preserve">We are not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color w:val="23262B"/>
          <w:sz w:val="21"/>
          <w:szCs w:val="21"/>
        </w:rPr>
        <w:t xml:space="preserve">Discount-shouty — avoid exclamation marks and ALL CAPS urgency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color w:val="23262B"/>
          <w:sz w:val="21"/>
          <w:szCs w:val="21"/>
        </w:rPr>
        <w:t xml:space="preserve">Generic sportswear — avoid stock phrases like "unleash your potential"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color w:val="23262B"/>
          <w:sz w:val="21"/>
          <w:szCs w:val="21"/>
        </w:rPr>
        <w:t xml:space="preserve">Overly technical — save spec-sheet detail for dedicated product tabs</w:t>
      </w:r>
    </w:p>
    <w:p>
      <w:pPr>
        <w:spacing w:after="60"/>
      </w:pPr>
      <w:r>
        <w:rPr>
          <w:rFonts w:ascii="Inter" w:cs="Inter" w:eastAsia="Inter" w:hAnsi="Inter"/>
          <w:b/>
          <w:bCs/>
          <w:caps/>
          <w:color w:val="6B6E73"/>
          <w:sz w:val="16"/>
          <w:szCs w:val="16"/>
        </w:rPr>
        <w:t xml:space="preserve">Example lines</w:t>
      </w:r>
    </w:p>
    <w:p>
      <w:pPr>
        <w:spacing w:after="160" w:line="300"/>
      </w:pPr>
      <w:r>
        <w:rPr>
          <w:rFonts w:ascii="Inter" w:cs="Inter" w:eastAsia="Inter" w:hAnsi="Inter"/>
          <w:i/>
          <w:iCs/>
          <w:color w:val="23262B"/>
          <w:sz w:val="21"/>
          <w:szCs w:val="21"/>
        </w:rPr>
        <w:t xml:space="preserve">“Built for three-hour matches and the coffee after.”</w:t>
      </w:r>
    </w:p>
    <w:p>
      <w:pPr>
        <w:spacing w:after="160" w:line="300"/>
      </w:pPr>
      <w:r>
        <w:rPr>
          <w:rFonts w:ascii="Inter" w:cs="Inter" w:eastAsia="Inter" w:hAnsi="Inter"/>
          <w:i/>
          <w:iCs/>
          <w:color w:val="23262B"/>
          <w:sz w:val="21"/>
          <w:szCs w:val="21"/>
        </w:rPr>
        <w:t xml:space="preserve">“Clay season calls for grip you can trust. Here's ours.”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pace Grotesk" w:cs="Space Grotesk" w:eastAsia="Space Grotesk" w:hAnsi="Space Grotesk"/>
          <w:b/>
          <w:bCs/>
          <w:color w:val="16324F"/>
          <w:sz w:val="30"/>
          <w:szCs w:val="30"/>
        </w:rPr>
        <w:t xml:space="preserve">Imagery and motifs</w:t>
      </w:r>
    </w:p>
    <w:p>
      <w:pPr>
        <w:pBdr>
          <w:bottom w:val="single" w:color="D7E639" w:sz="24"/>
        </w:pBdr>
        <w:spacing w:after="200"/>
      </w:pPr>
      <w:r>
        <w:t xml:space="preserve"/>
      </w:r>
    </w:p>
    <w:p>
      <w:pPr>
        <w:spacing w:after="60"/>
      </w:pPr>
      <w:r>
        <w:rPr>
          <w:rFonts w:ascii="Inter" w:cs="Inter" w:eastAsia="Inter" w:hAnsi="Inter"/>
          <w:b/>
          <w:bCs/>
          <w:caps/>
          <w:color w:val="6B6E73"/>
          <w:sz w:val="16"/>
          <w:szCs w:val="16"/>
        </w:rPr>
        <w:t xml:space="preserve">Photography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color w:val="23262B"/>
          <w:sz w:val="21"/>
          <w:szCs w:val="21"/>
        </w:rPr>
        <w:t xml:space="preserve">Natural light, real courts — hard, clay and grass — shown in genuine play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color w:val="23262B"/>
          <w:sz w:val="21"/>
          <w:szCs w:val="21"/>
        </w:rPr>
        <w:t xml:space="preserve">Off-court lifestyle: travel, café culture, downtime, kit bags — the "life" half of the brand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color w:val="23262B"/>
          <w:sz w:val="21"/>
          <w:szCs w:val="21"/>
        </w:rPr>
        <w:t xml:space="preserve">Avoid over-staged studio product shots as the only visual language; mix in texture and movement</w:t>
      </w:r>
    </w:p>
    <w:p>
      <w:pPr>
        <w:spacing w:after="60"/>
      </w:pPr>
      <w:r>
        <w:rPr>
          <w:rFonts w:ascii="Inter" w:cs="Inter" w:eastAsia="Inter" w:hAnsi="Inter"/>
          <w:b/>
          <w:bCs/>
          <w:caps/>
          <w:color w:val="6B6E73"/>
          <w:sz w:val="16"/>
          <w:szCs w:val="16"/>
        </w:rPr>
        <w:t xml:space="preserve">Motifs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color w:val="23262B"/>
          <w:sz w:val="21"/>
          <w:szCs w:val="21"/>
        </w:rPr>
        <w:t xml:space="preserve">Ball-seam curve as a recurring graphic device (dividers, section breaks, hover states)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color w:val="23262B"/>
          <w:sz w:val="21"/>
          <w:szCs w:val="21"/>
        </w:rPr>
        <w:t xml:space="preserve">Court line patterns as subtle background texture, never competing with content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color w:val="23262B"/>
          <w:sz w:val="21"/>
          <w:szCs w:val="21"/>
        </w:rPr>
        <w:t xml:space="preserve">String texture used sparingly for premium product callouts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pace Grotesk" w:cs="Space Grotesk" w:eastAsia="Space Grotesk" w:hAnsi="Space Grotesk"/>
          <w:b/>
          <w:bCs/>
          <w:color w:val="16324F"/>
          <w:sz w:val="30"/>
          <w:szCs w:val="30"/>
        </w:rPr>
        <w:t xml:space="preserve">Website application</w:t>
      </w:r>
    </w:p>
    <w:p>
      <w:pPr>
        <w:pBdr>
          <w:bottom w:val="single" w:color="D7E639" w:sz="24"/>
        </w:pBdr>
        <w:spacing w:after="200"/>
      </w:pPr>
      <w:r>
        <w:t xml:space="preserve"/>
      </w:r>
    </w:p>
    <w:p>
      <w:pPr>
        <w:spacing w:after="60"/>
      </w:pPr>
      <w:r>
        <w:rPr>
          <w:rFonts w:ascii="Inter" w:cs="Inter" w:eastAsia="Inter" w:hAnsi="Inter"/>
          <w:b/>
          <w:bCs/>
          <w:caps/>
          <w:color w:val="6B6E73"/>
          <w:sz w:val="16"/>
          <w:szCs w:val="16"/>
        </w:rPr>
        <w:t xml:space="preserve">Primary button</w:t>
      </w:r>
    </w:p>
    <w:tbl>
      <w:tblPr>
        <w:tblW w:type="dxa" w:w="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3200"/>
            <w:shd w:fill="D7E639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jc w:val="center"/>
            </w:pPr>
            <w:r>
              <w:rPr>
                <w:rFonts w:ascii="Space Grotesk" w:cs="Space Grotesk" w:eastAsia="Space Grotesk" w:hAnsi="Space Grotesk"/>
                <w:b/>
                <w:bCs/>
                <w:color w:val="23262B"/>
                <w:sz w:val="19"/>
                <w:szCs w:val="19"/>
              </w:rPr>
              <w:t xml:space="preserve">SHOP NEW DROP</w:t>
            </w:r>
          </w:p>
        </w:tc>
      </w:tr>
    </w:tbl>
    <w:p>
      <w:pPr>
        <w:spacing w:after="260" w:before="260"/>
      </w:pPr>
    </w:p>
    <w:p>
      <w:pPr>
        <w:spacing w:after="60"/>
      </w:pPr>
      <w:r>
        <w:rPr>
          <w:rFonts w:ascii="Inter" w:cs="Inter" w:eastAsia="Inter" w:hAnsi="Inter"/>
          <w:b/>
          <w:bCs/>
          <w:caps/>
          <w:color w:val="6B6E73"/>
          <w:sz w:val="16"/>
          <w:szCs w:val="16"/>
        </w:rPr>
        <w:t xml:space="preserve">Secondary button</w:t>
      </w:r>
    </w:p>
    <w:tbl>
      <w:tblPr>
        <w:tblW w:type="dxa" w:w="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3200"/>
            <w:tcBorders>
              <w:top w:val="single" w:color="16324F" w:sz="6"/>
              <w:left w:val="single" w:color="16324F" w:sz="6"/>
              <w:bottom w:val="single" w:color="16324F" w:sz="6"/>
              <w:right w:val="single" w:color="16324F" w:sz="6"/>
            </w:tcBorders>
            <w:shd w:fill="FFFFFF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jc w:val="center"/>
            </w:pPr>
            <w:r>
              <w:rPr>
                <w:rFonts w:ascii="Space Grotesk" w:cs="Space Grotesk" w:eastAsia="Space Grotesk" w:hAnsi="Space Grotesk"/>
                <w:b/>
                <w:bCs/>
                <w:color w:val="16324F"/>
                <w:sz w:val="19"/>
                <w:szCs w:val="19"/>
              </w:rPr>
              <w:t xml:space="preserve">VIEW COLLECTION</w:t>
            </w:r>
          </w:p>
        </w:tc>
      </w:tr>
    </w:tbl>
    <w:p>
      <w:pPr>
        <w:spacing w:after="260" w:before="260"/>
      </w:pPr>
    </w:p>
    <w:p>
      <w:pPr>
        <w:spacing w:after="60"/>
      </w:pPr>
      <w:r>
        <w:rPr>
          <w:rFonts w:ascii="Inter" w:cs="Inter" w:eastAsia="Inter" w:hAnsi="Inter"/>
          <w:b/>
          <w:bCs/>
          <w:caps/>
          <w:color w:val="6B6E73"/>
          <w:sz w:val="16"/>
          <w:szCs w:val="16"/>
        </w:rPr>
        <w:t xml:space="preserve">Sale badge</w:t>
      </w:r>
    </w:p>
    <w:tbl>
      <w:tblPr>
        <w:tblW w:type="dxa" w:w="1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600"/>
            <w:shd w:fill="FF6B4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SALE</w:t>
            </w:r>
          </w:p>
        </w:tc>
      </w:tr>
    </w:tbl>
    <w:p>
      <w:pPr>
        <w:spacing w:before="400"/>
      </w:pPr>
    </w:p>
    <w:p>
      <w:pPr>
        <w:spacing w:after="60"/>
      </w:pPr>
      <w:r>
        <w:rPr>
          <w:rFonts w:ascii="Inter" w:cs="Inter" w:eastAsia="Inter" w:hAnsi="Inter"/>
          <w:b/>
          <w:bCs/>
          <w:caps/>
          <w:color w:val="6B6E73"/>
          <w:sz w:val="16"/>
          <w:szCs w:val="16"/>
        </w:rPr>
        <w:t xml:space="preserve">Do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color w:val="23262B"/>
          <w:sz w:val="21"/>
          <w:szCs w:val="21"/>
        </w:rPr>
        <w:t xml:space="preserve">Use one Ace green CTA as the clear primary action per page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color w:val="23262B"/>
          <w:sz w:val="21"/>
          <w:szCs w:val="21"/>
        </w:rPr>
        <w:t xml:space="preserve">Pair Court blue UI chrome with generous white or Chalk grey space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color w:val="23262B"/>
          <w:sz w:val="21"/>
          <w:szCs w:val="21"/>
        </w:rPr>
        <w:t xml:space="preserve">Use Clay coral sparingly, for genuine promotional moments</w:t>
      </w:r>
    </w:p>
    <w:p>
      <w:pPr>
        <w:spacing w:after="60"/>
      </w:pPr>
      <w:r>
        <w:rPr>
          <w:rFonts w:ascii="Inter" w:cs="Inter" w:eastAsia="Inter" w:hAnsi="Inter"/>
          <w:b/>
          <w:bCs/>
          <w:caps/>
          <w:color w:val="6B6E73"/>
          <w:sz w:val="16"/>
          <w:szCs w:val="16"/>
        </w:rPr>
        <w:t xml:space="preserve">Don't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color w:val="23262B"/>
          <w:sz w:val="21"/>
          <w:szCs w:val="21"/>
        </w:rPr>
        <w:t xml:space="preserve">Use more than one high-saturation accent colour in the same component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color w:val="23262B"/>
          <w:sz w:val="21"/>
          <w:szCs w:val="21"/>
        </w:rPr>
        <w:t xml:space="preserve">Set body copy in Archivo Black or Space Grotesk — reserve those for short strings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color w:val="23262B"/>
          <w:sz w:val="21"/>
          <w:szCs w:val="21"/>
        </w:rPr>
        <w:t xml:space="preserve">Let Ace green cover more than roughly 10% of any single screen</w:t>
      </w:r>
    </w:p>
    <w:sectPr>
      <w:pgSz w:w="12240" w:h="15840" w:orient="portrait"/>
      <w:pgMar w:top="1600" w:right="1440" w:bottom="16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2326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cb68f334b73a8f8bd02ad6995e17e7b42ff6156.png"/><Relationship Id="rId8" Type="http://schemas.openxmlformats.org/officeDocument/2006/relationships/image" Target="media/e7ebfd2270ef303f8958afc85aa1df2ea96b3ab7.png"/><Relationship Id="rId9" Type="http://schemas.openxmlformats.org/officeDocument/2006/relationships/image" Target="media/89de32ae2301e990d5cd5a71f26c285b20e0ca7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2026-08-07T10:25:30.901Z</dcterms:created>
  <dcterms:modified xsi:type="dcterms:W3CDTF">2026-08-07T10:25:30.901Z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