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2025"/>
        <w:gridCol w:w="1380"/>
        <w:gridCol w:w="1395"/>
        <w:gridCol w:w="3150"/>
        <w:tblGridChange w:id="0">
          <w:tblGrid>
            <w:gridCol w:w="1365"/>
            <w:gridCol w:w="2025"/>
            <w:gridCol w:w="1380"/>
            <w:gridCol w:w="1395"/>
            <w:gridCol w:w="3150"/>
          </w:tblGrid>
        </w:tblGridChange>
      </w:tblGrid>
      <w:tr>
        <w:trPr>
          <w:cantSplit w:val="0"/>
          <w:trHeight w:val="749.61181640625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spacing w:after="480" w:lineRule="auto"/>
              <w:jc w:val="center"/>
              <w:rPr>
                <w:rFonts w:ascii="Times New Roman" w:cs="Times New Roman" w:eastAsia="Times New Roman" w:hAnsi="Times New Roman"/>
                <w:sz w:val="34"/>
                <w:szCs w:val="34"/>
              </w:rPr>
            </w:pPr>
            <w:bookmarkStart w:colFirst="0" w:colLast="0" w:name="_lnhiyhjnqi5w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34"/>
                <w:szCs w:val="34"/>
                <w:rtl w:val="0"/>
              </w:rPr>
              <w:t xml:space="preserve">StakeHolders</w:t>
            </w:r>
          </w:p>
        </w:tc>
      </w:tr>
      <w:tr>
        <w:trPr>
          <w:cantSplit w:val="0"/>
          <w:trHeight w:val="918.955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 de 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 de 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Estrategia de Gestión / Comunicación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Cristian Vergara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/ Patrocinador externo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Involucrar activamente: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Reuniones de hito al finalizar cada uno de los 3 Incrementos para validación funcional del sistema.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Alexander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Jefe de Proyecto / Analista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Gestión cercana: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Encargado de la planificación metodológica y levantamiento del modelo de base de datos. Reporte de estados de avance.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Paula Belman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Técnica / Coordinadora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Gestión cercana: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Encargada de mantener los acuerdos de trabajo, levantar las Historias de Usuario/Requisitos y liderar las pruebas de QA.</w:t>
            </w:r>
          </w:p>
        </w:tc>
      </w:tr>
      <w:tr>
        <w:trPr>
          <w:cantSplit w:val="0"/>
          <w:trHeight w:val="1667.387695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Vicente Carrasco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Fullstack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Mantener informado: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Encargado de la configuración de entornos y codificación. Sincronización semanal en las reuniones de estado.</w:t>
            </w:r>
          </w:p>
        </w:tc>
      </w:tr>
      <w:tr>
        <w:trPr>
          <w:cantSplit w:val="0"/>
          <w:trHeight w:val="1637.387695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Clientes HidroPura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Usuarios Finales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Monitorear: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No participan del desarrollo, pero el E-commerce y el motor de reservas 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centrado en su experiencia de usuario (UX).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