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5. ĐÁNH GIÁ KẾT QUẢ VÀ HƯỚNG PHÁT TRIỂN</w:t>
      </w:r>
    </w:p>
    <w:p>
      <w:pPr>
        <w:spacing w:after="320"/>
        <w:jc w:val="center"/>
      </w:pPr>
      <w:r>
        <w:rPr>
          <w:rFonts w:ascii="Times New Roman" w:hAnsi="Times New Roman"/>
          <w:i/>
          <w:sz w:val="26"/>
        </w:rPr>
        <w:t>Hệ thống Dashboard phân tích WebChat chăm sóc khách hàng</w:t>
      </w:r>
    </w:p>
    <w:p>
      <w:pPr>
        <w:pStyle w:val="Heading1"/>
      </w:pPr>
      <w:r>
        <w:t>5.1. Kết quả đạt được</w:t>
      </w:r>
    </w:p>
    <w:p>
      <w:pPr>
        <w:ind w:firstLine="576"/>
      </w:pPr>
      <w:r>
        <w:t>Sau quá trình khảo sát yêu cầu, phân tích dữ liệu, thiết kế kiến trúc và triển khai, đề tài đã xây dựng được một hệ thống dashboard phục vụ theo dõi và phân tích hoạt động chăm sóc khách hàng trên kênh WebChat. Hệ thống được tổ chức theo kiến trúc nhiều lớp gồm giao diện React/TypeScript, backend FastAPI, dịch vụ học máy độc lập và cơ sở dữ liệu Microsoft SQL Server. Cách tổ chức này tạo ranh giới rõ giữa trình bày, nghiệp vụ, truy xuất dữ liệu và phân tích thông minh, đồng thời thuận lợi cho bảo trì và mở rộng.</w:t>
      </w:r>
    </w:p>
    <w:p>
      <w:pPr>
        <w:ind w:firstLine="576"/>
      </w:pPr>
      <w:r>
        <w:t>Về chức năng, hệ thống đã cung cấp các nhóm màn hình và nghiệp vụ chính: tổng quan chỉ số KPI; phân tích cảm xúc và mức độ hài lòng; phân tích kênh, chủ đề và từ khóa; theo dõi các hội thoại tiêu cực hoặc cần kiểm tra; đánh giá chất lượng câu trả lời của AI; tra cứu lịch sử hoạt động; quản lý dữ liệu Sheet Chatbot; tạo biểu đồ tùy biến; quản lý người dùng, hồ sơ cá nhân và thiết lập hệ thống. Bộ lọc thời gian, nguồn, chủ đề và các điều kiện nghiệp vụ giúp người dùng thu hẹp phạm vi dữ liệu theo nhu cầu phân tích.</w:t>
      </w:r>
    </w:p>
    <w:p>
      <w:pPr>
        <w:ind w:firstLine="576"/>
      </w:pPr>
      <w:r>
        <w:t>Dữ liệu được cung cấp qua các API FastAPI, được xử lý tại lớp dịch vụ và truy xuất từ SQL Server. Đối với phân tích cảm xúc, backend có thể phối hợp với dịch vụ ML sử dụng mô hình PhoBERT/ONNX và cơ chế ensemble; khi dịch vụ mô hình không sẵn sàng, hệ thống có phương án dự phòng theo luật để tránh làm gián đoạn toàn bộ dashboard. Các tác vụ nền được tách qua Celery và Redis, qua đó giảm mức độ phụ thuộc giữa yêu cầu tương tác của người dùng và các công việc xử lý định kỳ.</w:t>
      </w:r>
    </w:p>
    <w:p>
      <w:pPr>
        <w:ind w:firstLine="576"/>
      </w:pPr>
      <w:r>
        <w:t>Ngoài chức năng nghiệp vụ, dự án đã hình thành nền tảng kỹ thuật hỗ trợ vận hành gồm API kiểm tra sức khỏe, tài liệu Swagger, cấu hình môi trường, Docker Compose, cơ chế phân trang và xuất dữ liệu, cùng hệ thống kiểm thử cho frontend, backend và dịch vụ ML. Đây là cơ sở cần thiết để kiểm tra hồi quy và triển khai hệ thống trong các môi trường khác nhau.</w:t>
      </w:r>
    </w:p>
    <w:p>
      <w:pPr>
        <w:pStyle w:val="Heading1"/>
      </w:pPr>
      <w:r>
        <w:t>5.2. Đánh giá hiệu năng và tính đáp ứng của hệ thống</w:t>
      </w:r>
    </w:p>
    <w:p>
      <w:pPr>
        <w:ind w:firstLine="576"/>
      </w:pPr>
      <w:r>
        <w:t>Xét về kiến trúc, hệ thống có khả năng đáp ứng tốt đối với nhu cầu khai thác dashboard ở quy mô triển khai nội bộ. Frontend được xây dựng bằng Vite và tổ chức theo các màn hình, thành phần và lớp dịch vụ API riêng biệt; nhờ đó việc tải mã, cập nhật giao diện và tái sử dụng thành phần thuận lợi. React Query và cơ chế quản lý trạng thái bộ lọc giúp kiểm soát vòng đời dữ liệu, hạn chế các yêu cầu trùng lặp và duy trì trải nghiệm nhất quán giữa các trang.</w:t>
      </w:r>
    </w:p>
    <w:p>
      <w:pPr>
        <w:ind w:firstLine="576"/>
      </w:pPr>
      <w:r>
        <w:t>Ở phía máy chủ, FastAPI hỗ trợ xử lý bất đồng bộ, kiểm tra dữ liệu đầu vào bằng schema và phân tách router - service - repository. Các danh sách lớn được phân trang; những truy vấn phân tích được thực hiện tại cơ sở dữ liệu thay vì chuyển toàn bộ dữ liệu về trình duyệt. Dịch vụ ML được tách khỏi backend chính, vì vậy việc tải mô hình và suy luận không trực tiếp làm tăng độ phức tạp của các API nghiệp vụ thông thường. Celery/Redis hỗ trợ đưa các tác vụ nền ra khỏi luồng phản hồi trực tiếp.</w:t>
      </w:r>
    </w:p>
    <w:p>
      <w:pPr>
        <w:ind w:firstLine="576"/>
      </w:pPr>
      <w:r>
        <w:t>Về tính đáp ứng, giao diện có các trạng thái đang tải, lỗi và rỗng; bố cục có khả năng thích ứng với nhiều kích thước màn hình; người dùng có thể lọc, xem biểu đồ, mở danh sách chi tiết và xuất dữ liệu theo luồng thao tác tương đối liền mạch. Tuy nhiên, thời gian phản hồi thực tế phụ thuộc đáng kể vào phạm vi bộ lọc, số lượng bản ghi, độ phức tạp của phép tổng hợp, trạng thái bộ nhớ đệm, chỉ mục SQL Server và khả năng sẵn sàng của dịch vụ ML.</w:t>
      </w:r>
    </w:p>
    <w:p>
      <w:pPr>
        <w:ind w:firstLine="576"/>
      </w:pPr>
      <w:r>
        <w:t>Trong phạm vi báo cáo này, không đưa ra các con số thời gian tải hoặc số người dùng đồng thời khi chưa có phép đo chuẩn hóa trên môi trường triển khai mục tiêu. Vì vậy, kết luận phù hợp là hệ thống đã có nền tảng kỹ thuật để đáp ứng tốt và đã hỗ trợ kiểm thử tự động, nhưng cần tiếp tục đo tải theo kịch bản cụ thể trước khi cam kết SLA. Các phép đo nên tách riêng lần tải đầu và lần tải lặp lại, đồng thời theo dõi p50, p95, tỷ lệ lỗi, thời gian truy vấn cơ sở dữ liệu và mức sử dụng CPU/RAM.</w:t>
      </w:r>
    </w:p>
    <w:p>
      <w:pPr>
        <w:pStyle w:val="Heading1"/>
      </w:pPr>
      <w:r>
        <w:t>5.3. So sánh kết quả với mục tiêu đề ra</w:t>
      </w:r>
    </w:p>
    <w:tbl>
      <w:tblPr>
        <w:tblW w:type="auto" w:w="0"/>
        <w:jc w:val="center"/>
        <w:tblLayout w:type="fixed"/>
        <w:tblLook w:firstColumn="1" w:firstRow="1" w:lastColumn="0" w:lastRow="0" w:noHBand="0" w:noVBand="1" w:val="04A0"/>
      </w:tblPr>
      <w:tblGrid>
        <w:gridCol w:w="3120"/>
        <w:gridCol w:w="3120"/>
        <w:gridCol w:w="3120"/>
      </w:tblGrid>
      <w:tr>
        <w:tc>
          <w:tcPr>
            <w:tcW w:type="dxa" w:w="2520"/>
            <w:vAlign w:val="center"/>
            <w:tcMar>
              <w:top w:w="90" w:type="dxa"/>
              <w:start w:w="120" w:type="dxa"/>
              <w:bottom w:w="90" w:type="dxa"/>
              <w:end w:w="120" w:type="dxa"/>
            </w:tcMar>
            <w:shd w:fill="1F4E79"/>
          </w:tcPr>
          <w:p>
            <w:pPr>
              <w:spacing w:after="0" w:line="264" w:lineRule="auto"/>
              <w:jc w:val="center"/>
            </w:pPr>
            <w:r/>
            <w:r>
              <w:rPr>
                <w:rFonts w:ascii="Times New Roman" w:hAnsi="Times New Roman" w:eastAsia="Times New Roman"/>
                <w:b/>
                <w:color w:val="FFFFFF"/>
                <w:sz w:val="22"/>
              </w:rPr>
              <w:t>Mục tiêu</w:t>
            </w:r>
          </w:p>
        </w:tc>
        <w:tc>
          <w:tcPr>
            <w:tcW w:type="dxa" w:w="5112"/>
            <w:vAlign w:val="center"/>
            <w:tcMar>
              <w:top w:w="90" w:type="dxa"/>
              <w:start w:w="120" w:type="dxa"/>
              <w:bottom w:w="90" w:type="dxa"/>
              <w:end w:w="120" w:type="dxa"/>
            </w:tcMar>
            <w:shd w:fill="1F4E79"/>
          </w:tcPr>
          <w:p>
            <w:pPr>
              <w:spacing w:after="0" w:line="264" w:lineRule="auto"/>
              <w:jc w:val="center"/>
            </w:pPr>
            <w:r/>
            <w:r>
              <w:rPr>
                <w:rFonts w:ascii="Times New Roman" w:hAnsi="Times New Roman" w:eastAsia="Times New Roman"/>
                <w:b/>
                <w:color w:val="FFFFFF"/>
                <w:sz w:val="22"/>
              </w:rPr>
              <w:t>Kết quả thực hiện</w:t>
            </w:r>
          </w:p>
        </w:tc>
        <w:tc>
          <w:tcPr>
            <w:tcW w:type="dxa" w:w="1728"/>
            <w:vAlign w:val="center"/>
            <w:tcMar>
              <w:top w:w="90" w:type="dxa"/>
              <w:start w:w="120" w:type="dxa"/>
              <w:bottom w:w="90" w:type="dxa"/>
              <w:end w:w="120" w:type="dxa"/>
            </w:tcMar>
            <w:shd w:fill="1F4E79"/>
          </w:tcPr>
          <w:p>
            <w:pPr>
              <w:spacing w:after="0" w:line="264" w:lineRule="auto"/>
              <w:jc w:val="center"/>
            </w:pPr>
            <w:r/>
            <w:r>
              <w:rPr>
                <w:rFonts w:ascii="Times New Roman" w:hAnsi="Times New Roman" w:eastAsia="Times New Roman"/>
                <w:b/>
                <w:color w:val="FFFFFF"/>
                <w:sz w:val="22"/>
              </w:rPr>
              <w:t>Đánh giá</w:t>
            </w:r>
          </w:p>
        </w:tc>
      </w:tr>
      <w:tr>
        <w:tc>
          <w:tcPr>
            <w:tcW w:type="dxa" w:w="2520"/>
            <w:vAlign w:val="center"/>
            <w:tcMar>
              <w:top w:w="90" w:type="dxa"/>
              <w:start w:w="120" w:type="dxa"/>
              <w:bottom w:w="90" w:type="dxa"/>
              <w:end w:w="120" w:type="dxa"/>
            </w:tcMar>
          </w:tcPr>
          <w:p>
            <w:pPr>
              <w:spacing w:after="0" w:line="264" w:lineRule="auto"/>
              <w:jc w:val="left"/>
            </w:pPr>
            <w:r/>
            <w:r>
              <w:rPr>
                <w:rFonts w:ascii="Times New Roman" w:hAnsi="Times New Roman" w:eastAsia="Times New Roman"/>
                <w:b/>
                <w:sz w:val="22"/>
              </w:rPr>
              <w:t>Tập trung hóa dữ liệu</w:t>
            </w:r>
          </w:p>
        </w:tc>
        <w:tc>
          <w:tcPr>
            <w:tcW w:type="dxa" w:w="5112"/>
            <w:vAlign w:val="center"/>
            <w:tcMar>
              <w:top w:w="90" w:type="dxa"/>
              <w:start w:w="120" w:type="dxa"/>
              <w:bottom w:w="90" w:type="dxa"/>
              <w:end w:w="120" w:type="dxa"/>
            </w:tcMar>
          </w:tcPr>
          <w:p>
            <w:pPr>
              <w:spacing w:after="0" w:line="264" w:lineRule="auto"/>
              <w:jc w:val="left"/>
            </w:pPr>
            <w:r/>
            <w:r>
              <w:rPr>
                <w:rFonts w:ascii="Times New Roman" w:hAnsi="Times New Roman" w:eastAsia="Times New Roman"/>
                <w:b w:val="0"/>
                <w:sz w:val="22"/>
              </w:rPr>
              <w:t>Kết nối các chỉ số hội thoại, cảm xúc, mức hài lòng, chủ đề, từ khóa và chất lượng AI trên một dashboard.</w:t>
            </w:r>
          </w:p>
        </w:tc>
        <w:tc>
          <w:tcPr>
            <w:tcW w:type="dxa" w:w="1728"/>
            <w:vAlign w:val="center"/>
            <w:tcMar>
              <w:top w:w="90" w:type="dxa"/>
              <w:start w:w="120" w:type="dxa"/>
              <w:bottom w:w="90" w:type="dxa"/>
              <w:end w:w="120" w:type="dxa"/>
            </w:tcMar>
          </w:tcPr>
          <w:p>
            <w:pPr>
              <w:spacing w:after="0" w:line="264" w:lineRule="auto"/>
              <w:jc w:val="center"/>
            </w:pPr>
            <w:r/>
            <w:r>
              <w:rPr>
                <w:rFonts w:ascii="Times New Roman" w:hAnsi="Times New Roman" w:eastAsia="Times New Roman"/>
                <w:b w:val="0"/>
                <w:sz w:val="22"/>
              </w:rPr>
              <w:t>Đạt</w:t>
            </w:r>
          </w:p>
        </w:tc>
      </w:tr>
      <w:tr>
        <w:tc>
          <w:tcPr>
            <w:tcW w:type="dxa" w:w="2520"/>
            <w:vAlign w:val="center"/>
            <w:tcMar>
              <w:top w:w="90" w:type="dxa"/>
              <w:start w:w="120" w:type="dxa"/>
              <w:bottom w:w="90" w:type="dxa"/>
              <w:end w:w="120" w:type="dxa"/>
            </w:tcMar>
            <w:shd w:fill="F2F4F7"/>
          </w:tcPr>
          <w:p>
            <w:pPr>
              <w:spacing w:after="0" w:line="264" w:lineRule="auto"/>
              <w:jc w:val="left"/>
            </w:pPr>
            <w:r/>
            <w:r>
              <w:rPr>
                <w:rFonts w:ascii="Times New Roman" w:hAnsi="Times New Roman" w:eastAsia="Times New Roman"/>
                <w:b/>
                <w:sz w:val="22"/>
              </w:rPr>
              <w:t>Hỗ trợ phân tích</w:t>
            </w:r>
          </w:p>
        </w:tc>
        <w:tc>
          <w:tcPr>
            <w:tcW w:type="dxa" w:w="5112"/>
            <w:vAlign w:val="center"/>
            <w:tcMar>
              <w:top w:w="90" w:type="dxa"/>
              <w:start w:w="120" w:type="dxa"/>
              <w:bottom w:w="90" w:type="dxa"/>
              <w:end w:w="120" w:type="dxa"/>
            </w:tcMar>
            <w:shd w:fill="F2F4F7"/>
          </w:tcPr>
          <w:p>
            <w:pPr>
              <w:spacing w:after="0" w:line="264" w:lineRule="auto"/>
              <w:jc w:val="left"/>
            </w:pPr>
            <w:r/>
            <w:r>
              <w:rPr>
                <w:rFonts w:ascii="Times New Roman" w:hAnsi="Times New Roman" w:eastAsia="Times New Roman"/>
                <w:b w:val="0"/>
                <w:sz w:val="22"/>
              </w:rPr>
              <w:t>Có KPI, biểu đồ xu hướng, phân bổ, danh sách chi tiết, bộ lọc và khả năng tạo biểu đồ tùy biến.</w:t>
            </w:r>
          </w:p>
        </w:tc>
        <w:tc>
          <w:tcPr>
            <w:tcW w:type="dxa" w:w="1728"/>
            <w:vAlign w:val="center"/>
            <w:tcMar>
              <w:top w:w="90" w:type="dxa"/>
              <w:start w:w="120" w:type="dxa"/>
              <w:bottom w:w="90" w:type="dxa"/>
              <w:end w:w="120" w:type="dxa"/>
            </w:tcMar>
            <w:shd w:fill="F2F4F7"/>
          </w:tcPr>
          <w:p>
            <w:pPr>
              <w:spacing w:after="0" w:line="264" w:lineRule="auto"/>
              <w:jc w:val="center"/>
            </w:pPr>
            <w:r/>
            <w:r>
              <w:rPr>
                <w:rFonts w:ascii="Times New Roman" w:hAnsi="Times New Roman" w:eastAsia="Times New Roman"/>
                <w:b w:val="0"/>
                <w:sz w:val="22"/>
              </w:rPr>
              <w:t>Đạt</w:t>
            </w:r>
          </w:p>
        </w:tc>
      </w:tr>
      <w:tr>
        <w:tc>
          <w:tcPr>
            <w:tcW w:type="dxa" w:w="2520"/>
            <w:vAlign w:val="center"/>
            <w:tcMar>
              <w:top w:w="90" w:type="dxa"/>
              <w:start w:w="120" w:type="dxa"/>
              <w:bottom w:w="90" w:type="dxa"/>
              <w:end w:w="120" w:type="dxa"/>
            </w:tcMar>
          </w:tcPr>
          <w:p>
            <w:pPr>
              <w:spacing w:after="0" w:line="264" w:lineRule="auto"/>
              <w:jc w:val="left"/>
            </w:pPr>
            <w:r/>
            <w:r>
              <w:rPr>
                <w:rFonts w:ascii="Times New Roman" w:hAnsi="Times New Roman" w:eastAsia="Times New Roman"/>
                <w:b/>
                <w:sz w:val="22"/>
              </w:rPr>
              <w:t>Ứng dụng AI/NLP</w:t>
            </w:r>
          </w:p>
        </w:tc>
        <w:tc>
          <w:tcPr>
            <w:tcW w:type="dxa" w:w="5112"/>
            <w:vAlign w:val="center"/>
            <w:tcMar>
              <w:top w:w="90" w:type="dxa"/>
              <w:start w:w="120" w:type="dxa"/>
              <w:bottom w:w="90" w:type="dxa"/>
              <w:end w:w="120" w:type="dxa"/>
            </w:tcMar>
          </w:tcPr>
          <w:p>
            <w:pPr>
              <w:spacing w:after="0" w:line="264" w:lineRule="auto"/>
              <w:jc w:val="left"/>
            </w:pPr>
            <w:r/>
            <w:r>
              <w:rPr>
                <w:rFonts w:ascii="Times New Roman" w:hAnsi="Times New Roman" w:eastAsia="Times New Roman"/>
                <w:b w:val="0"/>
                <w:sz w:val="22"/>
              </w:rPr>
              <w:t>Tích hợp dịch vụ phân tích cảm xúc PhoBERT/ONNX, ensemble và cơ chế dự phòng theo luật.</w:t>
            </w:r>
          </w:p>
        </w:tc>
        <w:tc>
          <w:tcPr>
            <w:tcW w:type="dxa" w:w="1728"/>
            <w:vAlign w:val="center"/>
            <w:tcMar>
              <w:top w:w="90" w:type="dxa"/>
              <w:start w:w="120" w:type="dxa"/>
              <w:bottom w:w="90" w:type="dxa"/>
              <w:end w:w="120" w:type="dxa"/>
            </w:tcMar>
          </w:tcPr>
          <w:p>
            <w:pPr>
              <w:spacing w:after="0" w:line="264" w:lineRule="auto"/>
              <w:jc w:val="center"/>
            </w:pPr>
            <w:r/>
            <w:r>
              <w:rPr>
                <w:rFonts w:ascii="Times New Roman" w:hAnsi="Times New Roman" w:eastAsia="Times New Roman"/>
                <w:b w:val="0"/>
                <w:sz w:val="22"/>
              </w:rPr>
              <w:t>Đạt</w:t>
            </w:r>
          </w:p>
        </w:tc>
      </w:tr>
      <w:tr>
        <w:tc>
          <w:tcPr>
            <w:tcW w:type="dxa" w:w="2520"/>
            <w:vAlign w:val="center"/>
            <w:tcMar>
              <w:top w:w="90" w:type="dxa"/>
              <w:start w:w="120" w:type="dxa"/>
              <w:bottom w:w="90" w:type="dxa"/>
              <w:end w:w="120" w:type="dxa"/>
            </w:tcMar>
            <w:shd w:fill="F2F4F7"/>
          </w:tcPr>
          <w:p>
            <w:pPr>
              <w:spacing w:after="0" w:line="264" w:lineRule="auto"/>
              <w:jc w:val="left"/>
            </w:pPr>
            <w:r/>
            <w:r>
              <w:rPr>
                <w:rFonts w:ascii="Times New Roman" w:hAnsi="Times New Roman" w:eastAsia="Times New Roman"/>
                <w:b/>
                <w:sz w:val="22"/>
              </w:rPr>
              <w:t>Dễ sử dụng</w:t>
            </w:r>
          </w:p>
        </w:tc>
        <w:tc>
          <w:tcPr>
            <w:tcW w:type="dxa" w:w="5112"/>
            <w:vAlign w:val="center"/>
            <w:tcMar>
              <w:top w:w="90" w:type="dxa"/>
              <w:start w:w="120" w:type="dxa"/>
              <w:bottom w:w="90" w:type="dxa"/>
              <w:end w:w="120" w:type="dxa"/>
            </w:tcMar>
            <w:shd w:fill="F2F4F7"/>
          </w:tcPr>
          <w:p>
            <w:pPr>
              <w:spacing w:after="0" w:line="264" w:lineRule="auto"/>
              <w:jc w:val="left"/>
            </w:pPr>
            <w:r/>
            <w:r>
              <w:rPr>
                <w:rFonts w:ascii="Times New Roman" w:hAnsi="Times New Roman" w:eastAsia="Times New Roman"/>
                <w:b w:val="0"/>
                <w:sz w:val="22"/>
              </w:rPr>
              <w:t>Giao diện chia theo nghiệp vụ, có trạng thái tải/lỗi/rỗng, xuất dữ liệu và bố cục đáp ứng.</w:t>
            </w:r>
          </w:p>
        </w:tc>
        <w:tc>
          <w:tcPr>
            <w:tcW w:type="dxa" w:w="1728"/>
            <w:vAlign w:val="center"/>
            <w:tcMar>
              <w:top w:w="90" w:type="dxa"/>
              <w:start w:w="120" w:type="dxa"/>
              <w:bottom w:w="90" w:type="dxa"/>
              <w:end w:w="120" w:type="dxa"/>
            </w:tcMar>
            <w:shd w:fill="F2F4F7"/>
          </w:tcPr>
          <w:p>
            <w:pPr>
              <w:spacing w:after="0" w:line="264" w:lineRule="auto"/>
              <w:jc w:val="center"/>
            </w:pPr>
            <w:r/>
            <w:r>
              <w:rPr>
                <w:rFonts w:ascii="Times New Roman" w:hAnsi="Times New Roman" w:eastAsia="Times New Roman"/>
                <w:b w:val="0"/>
                <w:sz w:val="22"/>
              </w:rPr>
              <w:t>Cơ bản đạt</w:t>
            </w:r>
          </w:p>
        </w:tc>
      </w:tr>
      <w:tr>
        <w:tc>
          <w:tcPr>
            <w:tcW w:type="dxa" w:w="2520"/>
            <w:vAlign w:val="center"/>
            <w:tcMar>
              <w:top w:w="90" w:type="dxa"/>
              <w:start w:w="120" w:type="dxa"/>
              <w:bottom w:w="90" w:type="dxa"/>
              <w:end w:w="120" w:type="dxa"/>
            </w:tcMar>
          </w:tcPr>
          <w:p>
            <w:pPr>
              <w:spacing w:after="0" w:line="264" w:lineRule="auto"/>
              <w:jc w:val="left"/>
            </w:pPr>
            <w:r/>
            <w:r>
              <w:rPr>
                <w:rFonts w:ascii="Times New Roman" w:hAnsi="Times New Roman" w:eastAsia="Times New Roman"/>
                <w:b/>
                <w:sz w:val="22"/>
              </w:rPr>
              <w:t>Khả năng mở rộng</w:t>
            </w:r>
          </w:p>
        </w:tc>
        <w:tc>
          <w:tcPr>
            <w:tcW w:type="dxa" w:w="5112"/>
            <w:vAlign w:val="center"/>
            <w:tcMar>
              <w:top w:w="90" w:type="dxa"/>
              <w:start w:w="120" w:type="dxa"/>
              <w:bottom w:w="90" w:type="dxa"/>
              <w:end w:w="120" w:type="dxa"/>
            </w:tcMar>
          </w:tcPr>
          <w:p>
            <w:pPr>
              <w:spacing w:after="0" w:line="264" w:lineRule="auto"/>
              <w:jc w:val="left"/>
            </w:pPr>
            <w:r/>
            <w:r>
              <w:rPr>
                <w:rFonts w:ascii="Times New Roman" w:hAnsi="Times New Roman" w:eastAsia="Times New Roman"/>
                <w:b w:val="0"/>
                <w:sz w:val="22"/>
              </w:rPr>
              <w:t>Kiến trúc tách frontend, backend, ML service, tác vụ nền và lớp truy xuất dữ liệu.</w:t>
            </w:r>
          </w:p>
        </w:tc>
        <w:tc>
          <w:tcPr>
            <w:tcW w:type="dxa" w:w="1728"/>
            <w:vAlign w:val="center"/>
            <w:tcMar>
              <w:top w:w="90" w:type="dxa"/>
              <w:start w:w="120" w:type="dxa"/>
              <w:bottom w:w="90" w:type="dxa"/>
              <w:end w:w="120" w:type="dxa"/>
            </w:tcMar>
          </w:tcPr>
          <w:p>
            <w:pPr>
              <w:spacing w:after="0" w:line="264" w:lineRule="auto"/>
              <w:jc w:val="center"/>
            </w:pPr>
            <w:r/>
            <w:r>
              <w:rPr>
                <w:rFonts w:ascii="Times New Roman" w:hAnsi="Times New Roman" w:eastAsia="Times New Roman"/>
                <w:b w:val="0"/>
                <w:sz w:val="22"/>
              </w:rPr>
              <w:t>Đạt về kiến trúc</w:t>
            </w:r>
          </w:p>
        </w:tc>
      </w:tr>
      <w:tr>
        <w:tc>
          <w:tcPr>
            <w:tcW w:type="dxa" w:w="2520"/>
            <w:vAlign w:val="center"/>
            <w:tcMar>
              <w:top w:w="90" w:type="dxa"/>
              <w:start w:w="120" w:type="dxa"/>
              <w:bottom w:w="90" w:type="dxa"/>
              <w:end w:w="120" w:type="dxa"/>
            </w:tcMar>
            <w:shd w:fill="F2F4F7"/>
          </w:tcPr>
          <w:p>
            <w:pPr>
              <w:spacing w:after="0" w:line="264" w:lineRule="auto"/>
              <w:jc w:val="left"/>
            </w:pPr>
            <w:r/>
            <w:r>
              <w:rPr>
                <w:rFonts w:ascii="Times New Roman" w:hAnsi="Times New Roman" w:eastAsia="Times New Roman"/>
                <w:b/>
                <w:sz w:val="22"/>
              </w:rPr>
              <w:t>Đảm bảo chất lượng</w:t>
            </w:r>
          </w:p>
        </w:tc>
        <w:tc>
          <w:tcPr>
            <w:tcW w:type="dxa" w:w="5112"/>
            <w:vAlign w:val="center"/>
            <w:tcMar>
              <w:top w:w="90" w:type="dxa"/>
              <w:start w:w="120" w:type="dxa"/>
              <w:bottom w:w="90" w:type="dxa"/>
              <w:end w:w="120" w:type="dxa"/>
            </w:tcMar>
            <w:shd w:fill="F2F4F7"/>
          </w:tcPr>
          <w:p>
            <w:pPr>
              <w:spacing w:after="0" w:line="264" w:lineRule="auto"/>
              <w:jc w:val="left"/>
            </w:pPr>
            <w:r/>
            <w:r>
              <w:rPr>
                <w:rFonts w:ascii="Times New Roman" w:hAnsi="Times New Roman" w:eastAsia="Times New Roman"/>
                <w:b w:val="0"/>
                <w:sz w:val="22"/>
              </w:rPr>
              <w:t>Có kiểm thử frontend, FastAPI, ML service và kiểm thử E2E cho các luồng quan trọng.</w:t>
            </w:r>
          </w:p>
        </w:tc>
        <w:tc>
          <w:tcPr>
            <w:tcW w:type="dxa" w:w="1728"/>
            <w:vAlign w:val="center"/>
            <w:tcMar>
              <w:top w:w="90" w:type="dxa"/>
              <w:start w:w="120" w:type="dxa"/>
              <w:bottom w:w="90" w:type="dxa"/>
              <w:end w:w="120" w:type="dxa"/>
            </w:tcMar>
            <w:shd w:fill="F2F4F7"/>
          </w:tcPr>
          <w:p>
            <w:pPr>
              <w:spacing w:after="0" w:line="264" w:lineRule="auto"/>
              <w:jc w:val="center"/>
            </w:pPr>
            <w:r/>
            <w:r>
              <w:rPr>
                <w:rFonts w:ascii="Times New Roman" w:hAnsi="Times New Roman" w:eastAsia="Times New Roman"/>
                <w:b w:val="0"/>
                <w:sz w:val="22"/>
              </w:rPr>
              <w:t>Cơ bản đạt</w:t>
            </w:r>
          </w:p>
        </w:tc>
      </w:tr>
      <w:tr>
        <w:tc>
          <w:tcPr>
            <w:tcW w:type="dxa" w:w="2520"/>
            <w:vAlign w:val="center"/>
            <w:tcMar>
              <w:top w:w="90" w:type="dxa"/>
              <w:start w:w="120" w:type="dxa"/>
              <w:bottom w:w="90" w:type="dxa"/>
              <w:end w:w="120" w:type="dxa"/>
            </w:tcMar>
          </w:tcPr>
          <w:p>
            <w:pPr>
              <w:spacing w:after="0" w:line="264" w:lineRule="auto"/>
              <w:jc w:val="left"/>
            </w:pPr>
            <w:r/>
            <w:r>
              <w:rPr>
                <w:rFonts w:ascii="Times New Roman" w:hAnsi="Times New Roman" w:eastAsia="Times New Roman"/>
                <w:b/>
                <w:sz w:val="22"/>
              </w:rPr>
              <w:t>Hiệu năng định lượng</w:t>
            </w:r>
          </w:p>
        </w:tc>
        <w:tc>
          <w:tcPr>
            <w:tcW w:type="dxa" w:w="5112"/>
            <w:vAlign w:val="center"/>
            <w:tcMar>
              <w:top w:w="90" w:type="dxa"/>
              <w:start w:w="120" w:type="dxa"/>
              <w:bottom w:w="90" w:type="dxa"/>
              <w:end w:w="120" w:type="dxa"/>
            </w:tcMar>
          </w:tcPr>
          <w:p>
            <w:pPr>
              <w:spacing w:after="0" w:line="264" w:lineRule="auto"/>
              <w:jc w:val="left"/>
            </w:pPr>
            <w:r/>
            <w:r>
              <w:rPr>
                <w:rFonts w:ascii="Times New Roman" w:hAnsi="Times New Roman" w:eastAsia="Times New Roman"/>
                <w:b w:val="0"/>
                <w:sz w:val="22"/>
              </w:rPr>
              <w:t>Đã có các cơ chế tối ưu nền tảng, nhưng chưa đủ dữ liệu benchmark chuẩn hóa để cam kết SLA.</w:t>
            </w:r>
          </w:p>
        </w:tc>
        <w:tc>
          <w:tcPr>
            <w:tcW w:type="dxa" w:w="1728"/>
            <w:vAlign w:val="center"/>
            <w:tcMar>
              <w:top w:w="90" w:type="dxa"/>
              <w:start w:w="120" w:type="dxa"/>
              <w:bottom w:w="90" w:type="dxa"/>
              <w:end w:w="120" w:type="dxa"/>
            </w:tcMar>
          </w:tcPr>
          <w:p>
            <w:pPr>
              <w:spacing w:after="0" w:line="264" w:lineRule="auto"/>
              <w:jc w:val="center"/>
            </w:pPr>
            <w:r/>
            <w:r>
              <w:rPr>
                <w:rFonts w:ascii="Times New Roman" w:hAnsi="Times New Roman" w:eastAsia="Times New Roman"/>
                <w:b w:val="0"/>
                <w:sz w:val="22"/>
              </w:rPr>
              <w:t>Cần tiếp tục</w:t>
            </w:r>
          </w:p>
        </w:tc>
      </w:tr>
    </w:tbl>
    <w:p>
      <w:pPr>
        <w:pStyle w:val="Heading1"/>
      </w:pPr>
      <w:r>
        <w:t>5.4. Các hạn chế còn tồn tại</w:t>
      </w:r>
    </w:p>
    <w:p>
      <w:pPr>
        <w:pStyle w:val="ListBullet"/>
      </w:pPr>
      <w:r>
        <w:t>Chất lượng kết quả phân tích cảm xúc và phân loại lỗi AI vẫn phụ thuộc vào dữ liệu huấn luyện, ngữ cảnh tiếng Việt, từ viết tắt, câu đa nghĩa và sự thay đổi cách diễn đạt của người dùng.</w:t>
      </w:r>
    </w:p>
    <w:p>
      <w:pPr>
        <w:pStyle w:val="ListBullet"/>
      </w:pPr>
      <w:r>
        <w:t>Một số truy vấn tổng hợp trên phạm vi dữ liệu lớn có thể tạo độ trễ, đặc biệt ở lần tải đầu, khi áp dụng nhiều bộ lọc hoặc khi cơ sở dữ liệu chưa có chỉ mục phù hợp.</w:t>
      </w:r>
    </w:p>
    <w:p>
      <w:pPr>
        <w:pStyle w:val="ListBullet"/>
      </w:pPr>
      <w:r>
        <w:t>Hệ thống gồm nhiều thành phần vận hành như SQL Server, Redis, Celery, backend và ML service; do đó việc cài đặt, giám sát và xử lý sự cố đòi hỏi quy trình vận hành thống nhất.</w:t>
      </w:r>
    </w:p>
    <w:p>
      <w:pPr>
        <w:pStyle w:val="ListBullet"/>
      </w:pPr>
      <w:r>
        <w:t>Cơ chế dự phòng giúp duy trì tính sẵn sàng khi mô hình ML gặp sự cố, nhưng độ chính xác của kết quả dự phòng theo luật có thể thấp hơn mô hình chuyên biệt.</w:t>
      </w:r>
    </w:p>
    <w:p>
      <w:pPr>
        <w:pStyle w:val="ListBullet"/>
      </w:pPr>
      <w:r>
        <w:t>Việc đánh giá hiệu năng hiện chưa bao phủ đầy đủ các kịch bản tải đồng thời, dữ liệu tăng trưởng dài hạn và điều kiện mạng của môi trường triển khai thực tế.</w:t>
      </w:r>
    </w:p>
    <w:p>
      <w:pPr>
        <w:pStyle w:val="ListBullet"/>
      </w:pPr>
      <w:r>
        <w:t>Các chỉ số phân tích chỉ có giá trị khi dữ liệu nguồn đầy đủ và nhất quán; bản ghi thiếu nội dung, sai nhãn hoặc không đồng nhất định danh có thể ảnh hưởng đến kết quả tổng hợp.</w:t>
      </w:r>
    </w:p>
    <w:p>
      <w:pPr>
        <w:pStyle w:val="ListBullet"/>
      </w:pPr>
      <w:r>
        <w:t>Một số chức năng quản trị và tái xử lý phân tích cần được hoàn thiện thêm về quy trình phê duyệt, phân quyền chi tiết, nhật ký kiểm toán và khả năng phục hồi sau lỗi.</w:t>
      </w:r>
    </w:p>
    <w:p>
      <w:pPr>
        <w:pStyle w:val="Heading1"/>
      </w:pPr>
      <w:r>
        <w:t>5.5. Hướng phát triển trong tương lai</w:t>
      </w:r>
    </w:p>
    <w:p>
      <w:pPr>
        <w:pStyle w:val="ListBullet"/>
      </w:pPr>
      <w:r>
        <w:t>Hoàn thiện hệ thống đo lường hiệu năng bằng APM và dashboard giám sát; xây dựng benchmark với dữ liệu thực, xác định p95, tỷ lệ lỗi và SLA cho từng nhóm API.</w:t>
      </w:r>
    </w:p>
    <w:p>
      <w:pPr>
        <w:pStyle w:val="ListBullet"/>
      </w:pPr>
      <w:r>
        <w:t>Tối ưu truy vấn SQL Server thông qua phân tích execution plan, bổ sung chỉ mục, tiền tổng hợp có kiểm soát, cache theo bộ lọc và chiến lược làm mới dữ liệu phù hợp.</w:t>
      </w:r>
    </w:p>
    <w:p>
      <w:pPr>
        <w:pStyle w:val="ListBullet"/>
      </w:pPr>
      <w:r>
        <w:t>Nâng cao mô hình tiếng Việt bằng dữ liệu đã gán nhãn từ miền chăm sóc khách hàng, đánh giá định kỳ theo precision, recall, F1-score và triển khai cơ chế human-in-the-loop.</w:t>
      </w:r>
    </w:p>
    <w:p>
      <w:pPr>
        <w:pStyle w:val="ListBullet"/>
      </w:pPr>
      <w:r>
        <w:t>Phát triển cảnh báo chủ động theo thời gian gần thực cho hội thoại tiêu cực, lỗi AI bất thường hoặc chỉ số chất lượng suy giảm; hỗ trợ thông báo qua email và các kênh cộng tác.</w:t>
      </w:r>
    </w:p>
    <w:p>
      <w:pPr>
        <w:pStyle w:val="ListBullet"/>
      </w:pPr>
      <w:r>
        <w:t>Hoàn thiện phân quyền theo vai trò, nhật ký kiểm toán, mã hóa bí mật, sao lưu - phục hồi và chính sách lưu trữ dữ liệu nhằm đáp ứng yêu cầu bảo mật khi triển khai chính thức.</w:t>
      </w:r>
    </w:p>
    <w:p>
      <w:pPr>
        <w:pStyle w:val="ListBullet"/>
      </w:pPr>
      <w:r>
        <w:t>Mở rộng báo cáo tùy biến, lập lịch gửi báo cáo, so sánh nhiều giai đoạn, drill-down từ KPI đến hội thoại và xuất dữ liệu theo mẫu quản trị.</w:t>
      </w:r>
    </w:p>
    <w:p>
      <w:pPr>
        <w:pStyle w:val="ListBullet"/>
      </w:pPr>
      <w:r>
        <w:t>Chuẩn hóa quy trình CI/CD, kiểm thử tải và kiểm thử bảo mật; triển khai container có health check, giám sát tập trung và phương án mở rộng ngang cho backend/worker.</w:t>
      </w:r>
    </w:p>
    <w:p>
      <w:r>
        <w:br w:type="page"/>
      </w:r>
    </w:p>
    <w:p>
      <w:pPr>
        <w:pStyle w:val="Heading1"/>
      </w:pPr>
      <w:r>
        <w:t>KẾT LUẬN</w:t>
      </w:r>
    </w:p>
    <w:p>
      <w:pPr>
        <w:pStyle w:val="Heading2"/>
      </w:pPr>
      <w:r>
        <w:t>1. Tổng kết quá trình thực hiện đề tài</w:t>
      </w:r>
    </w:p>
    <w:p>
      <w:pPr>
        <w:ind w:firstLine="576"/>
      </w:pPr>
      <w:r>
        <w:t>Đề tài đã trải qua các giai đoạn khảo sát bài toán chăm sóc khách hàng, xác định nhu cầu thông tin, phân tích cấu trúc dữ liệu, thiết kế giao diện, xây dựng API, tích hợp cơ sở dữ liệu, triển khai phân tích cảm xúc và kiểm thử hệ thống. Quá trình thực hiện không chỉ tập trung vào việc hiển thị biểu đồ mà còn chú trọng đường đi của dữ liệu từ SQL Server qua lớp repository, service và API đến giao diện người dùng.</w:t>
      </w:r>
    </w:p>
    <w:p>
      <w:pPr>
        <w:ind w:firstLine="576"/>
      </w:pPr>
      <w:r>
        <w:t>Kết quả cuối cùng là một hệ thống dashboard có khả năng tổng hợp nhiều góc nhìn về hoạt động WebChat, từ số lượng hội thoại và thời gian phản hồi đến cảm xúc, mức độ hài lòng, chủ đề, từ khóa và chất lượng phản hồi của AI. Kiến trúc tách lớp và tách dịch vụ tạo điều kiện để từng thành phần được kiểm thử, bảo trì và mở rộng độc lập.</w:t>
      </w:r>
    </w:p>
    <w:p>
      <w:pPr>
        <w:pStyle w:val="Heading2"/>
      </w:pPr>
      <w:r>
        <w:t>2. Những đóng góp của đề tài</w:t>
      </w:r>
    </w:p>
    <w:p>
      <w:pPr>
        <w:pStyle w:val="ListBullet"/>
      </w:pPr>
      <w:r>
        <w:t>Xây dựng một công cụ trực quan hóa tập trung, giúp chuyển dữ liệu hội thoại phân tán thành thông tin quản trị có thể theo dõi và hành động.</w:t>
      </w:r>
    </w:p>
    <w:p>
      <w:pPr>
        <w:pStyle w:val="ListBullet"/>
      </w:pPr>
      <w:r>
        <w:t>Kết hợp phân tích dữ liệu truyền thống với NLP tiếng Việt để hỗ trợ phát hiện cảm xúc tiêu cực, hội thoại cần kiểm tra và vấn đề trong phản hồi AI.</w:t>
      </w:r>
    </w:p>
    <w:p>
      <w:pPr>
        <w:pStyle w:val="ListBullet"/>
      </w:pPr>
      <w:r>
        <w:t>Đề xuất và hiện thực hóa kiến trúc web nhiều lớp gồm React/TypeScript, FastAPI, SQL Server, ML service và hàng đợi tác vụ nền.</w:t>
      </w:r>
    </w:p>
    <w:p>
      <w:pPr>
        <w:pStyle w:val="ListBullet"/>
      </w:pPr>
      <w:r>
        <w:t>Hỗ trợ truy vết từ chỉ số tổng quan xuống dữ liệu chi tiết thông qua bộ lọc, danh sách hội thoại, phân tích từ khóa và biểu đồ tùy biến.</w:t>
      </w:r>
    </w:p>
    <w:p>
      <w:pPr>
        <w:pStyle w:val="ListBullet"/>
      </w:pPr>
      <w:r>
        <w:t>Tạo nền tảng kiểm thử và vận hành gồm health check, tài liệu API, unit/integration test, E2E test và cấu hình triển khai.</w:t>
      </w:r>
    </w:p>
    <w:p>
      <w:pPr>
        <w:pStyle w:val="Heading2"/>
      </w:pPr>
      <w:r>
        <w:t>3. Kiến nghị và đề xuất phát triển</w:t>
      </w:r>
    </w:p>
    <w:p>
      <w:pPr>
        <w:ind w:firstLine="576"/>
      </w:pPr>
      <w:r>
        <w:t>Để đưa hệ thống vào khai thác ổn định, cần ưu tiên chuẩn hóa chất lượng dữ liệu đầu vào và xây dựng bộ tiêu chí nghiệm thu định lượng. Mỗi chỉ số trên dashboard nên có định nghĩa nghiệp vụ, nguồn dữ liệu, chu kỳ cập nhật và người chịu trách nhiệm rõ ràng. Đồng thời, cần tổ chức đo tải trên hạ tầng gần với môi trường thực tế trước khi xác lập SLA.</w:t>
      </w:r>
    </w:p>
    <w:p>
      <w:pPr>
        <w:ind w:firstLine="576"/>
      </w:pPr>
      <w:r>
        <w:t>Đối với thành phần AI, nên duy trì quy trình lấy mẫu, đánh giá thủ công và tái huấn luyện định kỳ. Các trường hợp mô hình không chắc chắn cần được chuyển cho người phụ trách xác nhận; kết quả xác nhận nên quay trở lại kho dữ liệu gán nhãn để cải thiện mô hình. Đây là hướng phát triển bền vững hơn so với chỉ điều chỉnh tập luật tĩnh.</w:t>
      </w:r>
    </w:p>
    <w:p>
      <w:pPr>
        <w:ind w:firstLine="576"/>
      </w:pPr>
      <w:r>
        <w:t>Về vận hành, đề xuất triển khai theo từng giai đoạn: thử nghiệm nội bộ, chạy song song với quy trình hiện tại, đánh giá chỉ số chất lượng, sau đó mở rộng phạm vi người dùng. Song song với đó cần bổ sung giám sát tập trung, cảnh báo, sao lưu, phân quyền và tài liệu xử lý sự cố. Nếu các kiến nghị này được thực hiện, hệ thống có thể phát triển từ một dashboard phân tích thành nền tảng hỗ trợ ra quyết định và cải tiến chất lượng chăm sóc khách hàng liên tục.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TTH DASHBOARD - WEBCHAT CSKH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720" w:hanging="360"/>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720" w:hanging="360"/>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5 - Đánh giá kết quả và hướng phát triển</dc:title>
  <dc:subject>Báo cáo hệ thống Dashboard WebChat CSKH</dc:subject>
  <dc:creator>Nhóm thực hiện đề tài</dc:creator>
  <cp:keywords/>
  <dc:description>generated by python-docx</dc:description>
  <cp:lastModifiedBy/>
  <cp:revision>1</cp:revision>
  <dcterms:created xsi:type="dcterms:W3CDTF">2013-12-23T23:15:00Z</dcterms:created>
  <dcterms:modified xsi:type="dcterms:W3CDTF">2013-12-23T23:15:00Z</dcterms:modified>
  <cp:category/>
</cp:coreProperties>
</file>